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color w:val="auto"/>
          <w:sz w:val="24"/>
          <w:szCs w:val="24"/>
          <w:highlight w:val="none"/>
        </w:rPr>
      </w:pPr>
      <w:bookmarkStart w:id="0" w:name="_Toc487204770"/>
      <w:bookmarkStart w:id="1" w:name="_Toc11641050"/>
      <w:bookmarkStart w:id="2" w:name="_Toc12789052"/>
    </w:p>
    <w:p>
      <w:pPr>
        <w:pStyle w:val="2"/>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p>
    <w:p>
      <w:pPr>
        <w:spacing w:line="360" w:lineRule="auto"/>
        <w:jc w:val="center"/>
        <w:outlineLvl w:val="0"/>
        <w:rPr>
          <w:rFonts w:hint="eastAsia" w:ascii="仿宋" w:hAnsi="仿宋" w:eastAsia="仿宋" w:cs="仿宋"/>
          <w:b/>
          <w:color w:val="auto"/>
          <w:spacing w:val="80"/>
          <w:sz w:val="120"/>
          <w:szCs w:val="120"/>
          <w:highlight w:val="none"/>
        </w:rPr>
      </w:pPr>
      <w:r>
        <w:rPr>
          <w:rFonts w:hint="eastAsia" w:ascii="仿宋" w:hAnsi="仿宋" w:eastAsia="仿宋" w:cs="仿宋"/>
          <w:b/>
          <w:color w:val="auto"/>
          <w:spacing w:val="80"/>
          <w:sz w:val="120"/>
          <w:szCs w:val="120"/>
          <w:highlight w:val="none"/>
        </w:rPr>
        <w:t>询价通知书</w:t>
      </w:r>
    </w:p>
    <w:p>
      <w:pPr>
        <w:spacing w:line="360" w:lineRule="auto"/>
        <w:jc w:val="center"/>
        <w:rPr>
          <w:rFonts w:hint="eastAsia" w:ascii="仿宋" w:hAnsi="仿宋" w:eastAsia="仿宋" w:cs="仿宋"/>
          <w:color w:val="auto"/>
          <w:sz w:val="24"/>
          <w:szCs w:val="24"/>
          <w:highlight w:val="none"/>
        </w:rPr>
      </w:pPr>
    </w:p>
    <w:p>
      <w:pPr>
        <w:spacing w:line="360" w:lineRule="auto"/>
        <w:jc w:val="both"/>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val="en-US" w:eastAsia="zh-CN"/>
        </w:rPr>
        <w:t>1064-252HD1415105</w:t>
      </w:r>
    </w:p>
    <w:p>
      <w:pPr>
        <w:spacing w:line="360" w:lineRule="auto"/>
        <w:jc w:val="center"/>
        <w:rPr>
          <w:rFonts w:hint="eastAsia" w:ascii="仿宋" w:hAnsi="仿宋" w:eastAsia="仿宋" w:cs="仿宋"/>
          <w:b/>
          <w:bCs/>
          <w:color w:val="auto"/>
          <w:sz w:val="36"/>
          <w:szCs w:val="36"/>
          <w:highlight w:val="none"/>
          <w:lang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eastAsia="zh-CN"/>
        </w:rPr>
        <w:t>重庆市生态环境业务数据安全服务</w:t>
      </w:r>
    </w:p>
    <w:p>
      <w:pPr>
        <w:pStyle w:val="2"/>
        <w:spacing w:line="360" w:lineRule="auto"/>
        <w:rPr>
          <w:rFonts w:hint="eastAsia" w:ascii="仿宋" w:hAnsi="仿宋" w:eastAsia="仿宋" w:cs="仿宋"/>
          <w:b/>
          <w:bCs/>
          <w:color w:val="auto"/>
          <w:sz w:val="36"/>
          <w:szCs w:val="36"/>
          <w:highlight w:val="none"/>
        </w:rPr>
      </w:pPr>
    </w:p>
    <w:p>
      <w:pPr>
        <w:spacing w:line="360" w:lineRule="auto"/>
        <w:rPr>
          <w:rFonts w:hint="eastAsia" w:ascii="仿宋" w:hAnsi="仿宋" w:eastAsia="仿宋" w:cs="仿宋"/>
          <w:color w:val="auto"/>
          <w:sz w:val="36"/>
          <w:szCs w:val="36"/>
          <w:highlight w:val="none"/>
        </w:rPr>
      </w:pPr>
    </w:p>
    <w:p>
      <w:pPr>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eastAsia="zh-CN"/>
        </w:rPr>
        <w:t>采购人</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lang w:val="en-US" w:eastAsia="zh-CN"/>
        </w:rPr>
        <w:t>重庆市生态环境大数据应用中心</w:t>
      </w:r>
    </w:p>
    <w:p>
      <w:pPr>
        <w:spacing w:line="360" w:lineRule="auto"/>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采购代理机构</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lang w:eastAsia="zh-CN"/>
        </w:rPr>
        <w:t>重庆和定招标代理有限责任公司</w:t>
      </w:r>
    </w:p>
    <w:p>
      <w:pPr>
        <w:spacing w:line="360" w:lineRule="auto"/>
        <w:rPr>
          <w:rFonts w:hint="eastAsia" w:ascii="仿宋" w:hAnsi="仿宋" w:eastAsia="仿宋" w:cs="仿宋"/>
          <w:color w:val="auto"/>
          <w:sz w:val="36"/>
          <w:szCs w:val="36"/>
          <w:highlight w:val="none"/>
        </w:rPr>
      </w:pPr>
    </w:p>
    <w:p>
      <w:pPr>
        <w:spacing w:line="360" w:lineRule="auto"/>
        <w:jc w:val="center"/>
        <w:rPr>
          <w:rFonts w:hint="eastAsia" w:ascii="仿宋" w:hAnsi="仿宋" w:eastAsia="仿宋" w:cs="仿宋"/>
          <w:b/>
          <w:color w:val="auto"/>
          <w:sz w:val="48"/>
          <w:szCs w:val="48"/>
          <w:highlight w:val="none"/>
        </w:rPr>
        <w:sectPr>
          <w:headerReference r:id="rId3"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3"/>
          <w:cols w:space="720" w:num="1"/>
          <w:docGrid w:linePitch="380" w:charSpace="-5735"/>
        </w:sect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val="en-US" w:eastAsia="zh-CN"/>
        </w:rPr>
        <w:t>九</w:t>
      </w:r>
      <w:r>
        <w:rPr>
          <w:rFonts w:hint="eastAsia" w:ascii="仿宋" w:hAnsi="仿宋" w:eastAsia="仿宋" w:cs="仿宋"/>
          <w:color w:val="auto"/>
          <w:sz w:val="36"/>
          <w:szCs w:val="36"/>
          <w:highlight w:val="none"/>
        </w:rPr>
        <w:t>月</w:t>
      </w:r>
    </w:p>
    <w:p>
      <w:pPr>
        <w:spacing w:line="360" w:lineRule="auto"/>
        <w:jc w:val="center"/>
        <w:outlineLvl w:val="0"/>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r>
        <w:rPr>
          <w:rFonts w:hint="eastAsia" w:ascii="仿宋" w:hAnsi="仿宋" w:eastAsia="仿宋" w:cs="仿宋"/>
          <w:b/>
          <w:color w:val="auto"/>
          <w:sz w:val="48"/>
          <w:szCs w:val="48"/>
          <w:highlight w:val="none"/>
        </w:rPr>
        <w:t>目  录</w:t>
      </w:r>
    </w:p>
    <w:p>
      <w:pPr>
        <w:pStyle w:val="46"/>
        <w:tabs>
          <w:tab w:val="right" w:leader="dot" w:pos="9071"/>
        </w:tabs>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"1-3" \h \z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_Toc18639 </w:instrText>
      </w:r>
      <w:r>
        <w:rPr>
          <w:rFonts w:hint="eastAsia" w:ascii="仿宋" w:hAnsi="仿宋" w:eastAsia="仿宋" w:cs="仿宋"/>
          <w:szCs w:val="28"/>
          <w:highlight w:val="none"/>
        </w:rPr>
        <w:fldChar w:fldCharType="separate"/>
      </w:r>
      <w:r>
        <w:rPr>
          <w:rFonts w:hint="eastAsia" w:ascii="仿宋" w:hAnsi="仿宋" w:eastAsia="仿宋" w:cs="仿宋"/>
          <w:szCs w:val="32"/>
          <w:highlight w:val="none"/>
        </w:rPr>
        <w:t>第一篇 询价邀请书</w:t>
      </w:r>
      <w:r>
        <w:tab/>
      </w:r>
      <w:r>
        <w:fldChar w:fldCharType="begin"/>
      </w:r>
      <w:r>
        <w:instrText xml:space="preserve"> PAGEREF _Toc18639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_Toc75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一、询价内容</w:t>
      </w:r>
      <w:r>
        <w:tab/>
      </w:r>
      <w:r>
        <w:fldChar w:fldCharType="begin"/>
      </w:r>
      <w:r>
        <w:instrText xml:space="preserve"> PAGEREF _Toc75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_Toc32750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二、资金来源</w:t>
      </w:r>
      <w:r>
        <w:tab/>
      </w:r>
      <w:r>
        <w:fldChar w:fldCharType="begin"/>
      </w:r>
      <w:r>
        <w:instrText xml:space="preserve"> PAGEREF _Toc32750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_Toc28978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三、供应商资格要求</w:t>
      </w:r>
      <w:r>
        <w:tab/>
      </w:r>
      <w:r>
        <w:fldChar w:fldCharType="begin"/>
      </w:r>
      <w:r>
        <w:instrText xml:space="preserve"> PAGEREF _Toc28978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_Toc25995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四、询价有关说明</w:t>
      </w:r>
      <w:r>
        <w:tab/>
      </w:r>
      <w:r>
        <w:fldChar w:fldCharType="begin"/>
      </w:r>
      <w:r>
        <w:instrText xml:space="preserve"> PAGEREF _Toc25995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_Toc9730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五、竞标有关规定</w:t>
      </w:r>
      <w:r>
        <w:tab/>
      </w:r>
      <w:r>
        <w:fldChar w:fldCharType="begin"/>
      </w:r>
      <w:r>
        <w:instrText xml:space="preserve"> PAGEREF _Toc9730 \h </w:instrText>
      </w:r>
      <w:r>
        <w:fldChar w:fldCharType="separate"/>
      </w:r>
      <w:r>
        <w:t>- 2 -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_Toc27208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六、联系方式</w:t>
      </w:r>
      <w:r>
        <w:tab/>
      </w:r>
      <w:r>
        <w:fldChar w:fldCharType="begin"/>
      </w:r>
      <w:r>
        <w:instrText xml:space="preserve"> PAGEREF _Toc27208 \h </w:instrText>
      </w:r>
      <w:r>
        <w:fldChar w:fldCharType="separate"/>
      </w:r>
      <w:r>
        <w:t>- 3 -</w:t>
      </w:r>
      <w:r>
        <w:fldChar w:fldCharType="end"/>
      </w:r>
      <w:r>
        <w:rPr>
          <w:rFonts w:hint="eastAsia" w:ascii="仿宋" w:hAnsi="仿宋" w:eastAsia="仿宋" w:cs="仿宋"/>
          <w:color w:val="auto"/>
          <w:szCs w:val="28"/>
          <w:highlight w:val="none"/>
        </w:rPr>
        <w:fldChar w:fldCharType="end"/>
      </w:r>
    </w:p>
    <w:p>
      <w:pPr>
        <w:pStyle w:val="46"/>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_Toc12774 </w:instrText>
      </w:r>
      <w:r>
        <w:rPr>
          <w:rFonts w:hint="eastAsia" w:ascii="仿宋" w:hAnsi="仿宋" w:eastAsia="仿宋" w:cs="仿宋"/>
          <w:szCs w:val="28"/>
          <w:highlight w:val="none"/>
        </w:rPr>
        <w:fldChar w:fldCharType="separate"/>
      </w:r>
      <w:r>
        <w:rPr>
          <w:rFonts w:hint="eastAsia" w:ascii="仿宋" w:hAnsi="仿宋" w:eastAsia="仿宋" w:cs="仿宋"/>
          <w:bCs/>
          <w:szCs w:val="32"/>
          <w:highlight w:val="none"/>
        </w:rPr>
        <w:t>第二篇 供应商须知</w:t>
      </w:r>
      <w:r>
        <w:tab/>
      </w:r>
      <w:r>
        <w:fldChar w:fldCharType="begin"/>
      </w:r>
      <w:r>
        <w:instrText xml:space="preserve"> PAGEREF _Toc12774 \h </w:instrText>
      </w:r>
      <w:r>
        <w:fldChar w:fldCharType="separate"/>
      </w:r>
      <w:r>
        <w:t>- 4 -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_Toc28012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一、询价费用</w:t>
      </w:r>
      <w:r>
        <w:tab/>
      </w:r>
      <w:r>
        <w:fldChar w:fldCharType="begin"/>
      </w:r>
      <w:r>
        <w:instrText xml:space="preserve"> PAGEREF _Toc28012 \h </w:instrText>
      </w:r>
      <w:r>
        <w:fldChar w:fldCharType="separate"/>
      </w:r>
      <w:r>
        <w:t>- 4 -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_Toc21675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二、询价通知书</w:t>
      </w:r>
      <w:r>
        <w:tab/>
      </w:r>
      <w:r>
        <w:fldChar w:fldCharType="begin"/>
      </w:r>
      <w:r>
        <w:instrText xml:space="preserve"> PAGEREF _Toc21675 \h </w:instrText>
      </w:r>
      <w:r>
        <w:fldChar w:fldCharType="separate"/>
      </w:r>
      <w:r>
        <w:t>- 4 -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_Toc7850 </w:instrText>
      </w:r>
      <w:r>
        <w:rPr>
          <w:rFonts w:hint="eastAsia" w:ascii="仿宋" w:hAnsi="仿宋" w:eastAsia="仿宋" w:cs="仿宋"/>
          <w:szCs w:val="28"/>
          <w:highlight w:val="none"/>
        </w:rPr>
        <w:fldChar w:fldCharType="separate"/>
      </w:r>
      <w:r>
        <w:rPr>
          <w:rFonts w:hint="eastAsia" w:ascii="仿宋" w:hAnsi="仿宋" w:eastAsia="仿宋" w:cs="仿宋"/>
          <w:kern w:val="0"/>
          <w:szCs w:val="24"/>
          <w:highlight w:val="none"/>
          <w:lang w:val="en-US" w:eastAsia="zh-CN" w:bidi="ar-SA"/>
        </w:rPr>
        <w:t>三、询价要求</w:t>
      </w:r>
      <w:r>
        <w:tab/>
      </w:r>
      <w:r>
        <w:fldChar w:fldCharType="begin"/>
      </w:r>
      <w:r>
        <w:instrText xml:space="preserve"> PAGEREF _Toc7850 \h </w:instrText>
      </w:r>
      <w:r>
        <w:fldChar w:fldCharType="separate"/>
      </w:r>
      <w:r>
        <w:t>- 4 -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_Toc6634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、询价程序及成交标准</w:t>
      </w:r>
      <w:r>
        <w:tab/>
      </w:r>
      <w:r>
        <w:fldChar w:fldCharType="begin"/>
      </w:r>
      <w:r>
        <w:instrText xml:space="preserve"> PAGEREF _Toc6634 \h </w:instrText>
      </w:r>
      <w:r>
        <w:fldChar w:fldCharType="separate"/>
      </w:r>
      <w:r>
        <w:t>- 7 -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_Toc21282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五、评审依据</w:t>
      </w:r>
      <w:r>
        <w:tab/>
      </w:r>
      <w:r>
        <w:fldChar w:fldCharType="begin"/>
      </w:r>
      <w:r>
        <w:instrText xml:space="preserve"> PAGEREF _Toc21282 \h </w:instrText>
      </w:r>
      <w:r>
        <w:fldChar w:fldCharType="separate"/>
      </w:r>
      <w:r>
        <w:t>- 10 -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_Toc17031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、成交通知</w:t>
      </w:r>
      <w:r>
        <w:tab/>
      </w:r>
      <w:r>
        <w:fldChar w:fldCharType="begin"/>
      </w:r>
      <w:r>
        <w:instrText xml:space="preserve"> PAGEREF _Toc17031 \h </w:instrText>
      </w:r>
      <w:r>
        <w:fldChar w:fldCharType="separate"/>
      </w:r>
      <w:r>
        <w:t>- 10 -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_Toc3935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七</w:t>
      </w:r>
      <w:r>
        <w:rPr>
          <w:rFonts w:hint="eastAsia" w:ascii="仿宋" w:hAnsi="仿宋" w:eastAsia="仿宋" w:cs="仿宋"/>
          <w:szCs w:val="24"/>
          <w:highlight w:val="none"/>
        </w:rPr>
        <w:t>、签订合同</w:t>
      </w:r>
      <w:r>
        <w:tab/>
      </w:r>
      <w:r>
        <w:fldChar w:fldCharType="begin"/>
      </w:r>
      <w:r>
        <w:instrText xml:space="preserve"> PAGEREF _Toc3935 \h </w:instrText>
      </w:r>
      <w:r>
        <w:fldChar w:fldCharType="separate"/>
      </w:r>
      <w:r>
        <w:t>- 10 -</w:t>
      </w:r>
      <w:r>
        <w:fldChar w:fldCharType="end"/>
      </w:r>
      <w:r>
        <w:rPr>
          <w:rFonts w:hint="eastAsia" w:ascii="仿宋" w:hAnsi="仿宋" w:eastAsia="仿宋" w:cs="仿宋"/>
          <w:color w:val="auto"/>
          <w:szCs w:val="28"/>
          <w:highlight w:val="none"/>
        </w:rPr>
        <w:fldChar w:fldCharType="end"/>
      </w:r>
    </w:p>
    <w:p>
      <w:pPr>
        <w:pStyle w:val="46"/>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_Toc21296 </w:instrText>
      </w:r>
      <w:r>
        <w:rPr>
          <w:rFonts w:hint="eastAsia" w:ascii="仿宋" w:hAnsi="仿宋" w:eastAsia="仿宋" w:cs="仿宋"/>
          <w:szCs w:val="28"/>
          <w:highlight w:val="none"/>
        </w:rPr>
        <w:fldChar w:fldCharType="separate"/>
      </w:r>
      <w:r>
        <w:rPr>
          <w:rFonts w:hint="eastAsia" w:ascii="仿宋" w:hAnsi="仿宋" w:eastAsia="仿宋" w:cs="仿宋"/>
          <w:bCs/>
          <w:szCs w:val="32"/>
          <w:highlight w:val="none"/>
        </w:rPr>
        <w:t>第三篇 询价项目</w:t>
      </w:r>
      <w:r>
        <w:rPr>
          <w:rFonts w:hint="eastAsia" w:ascii="仿宋" w:hAnsi="仿宋" w:eastAsia="仿宋" w:cs="仿宋"/>
          <w:bCs/>
          <w:szCs w:val="32"/>
          <w:highlight w:val="none"/>
          <w:lang w:val="en-US" w:eastAsia="zh-CN"/>
        </w:rPr>
        <w:t>服务</w:t>
      </w:r>
      <w:r>
        <w:rPr>
          <w:rFonts w:hint="eastAsia" w:ascii="仿宋" w:hAnsi="仿宋" w:eastAsia="仿宋" w:cs="仿宋"/>
          <w:bCs/>
          <w:szCs w:val="32"/>
          <w:highlight w:val="none"/>
        </w:rPr>
        <w:t>需求</w:t>
      </w:r>
      <w:r>
        <w:tab/>
      </w:r>
      <w:r>
        <w:fldChar w:fldCharType="begin"/>
      </w:r>
      <w:r>
        <w:instrText xml:space="preserve"> PAGEREF _Toc21296 \h </w:instrText>
      </w:r>
      <w:r>
        <w:fldChar w:fldCharType="separate"/>
      </w:r>
      <w:r>
        <w:t>- 11 -</w:t>
      </w:r>
      <w:r>
        <w:fldChar w:fldCharType="end"/>
      </w:r>
      <w:r>
        <w:rPr>
          <w:rFonts w:hint="eastAsia" w:ascii="仿宋" w:hAnsi="仿宋" w:eastAsia="仿宋" w:cs="仿宋"/>
          <w:color w:val="auto"/>
          <w:szCs w:val="28"/>
          <w:highlight w:val="none"/>
        </w:rPr>
        <w:fldChar w:fldCharType="end"/>
      </w:r>
    </w:p>
    <w:p>
      <w:pPr>
        <w:pStyle w:val="46"/>
        <w:keepNext w:val="0"/>
        <w:keepLines w:val="0"/>
        <w:pageBreakBefore w:val="0"/>
        <w:widowControl w:val="0"/>
        <w:tabs>
          <w:tab w:val="right" w:leader="dot" w:pos="9071"/>
        </w:tabs>
        <w:kinsoku/>
        <w:wordWrap/>
        <w:overflowPunct/>
        <w:topLinePunct w:val="0"/>
        <w:autoSpaceDE/>
        <w:autoSpaceDN/>
        <w:bidi w:val="0"/>
        <w:adjustRightInd/>
        <w:snapToGrid/>
        <w:ind w:firstLine="560" w:firstLineChars="200"/>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_Toc22117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一、项目情况</w:t>
      </w:r>
      <w:r>
        <w:tab/>
      </w:r>
      <w:r>
        <w:fldChar w:fldCharType="begin"/>
      </w:r>
      <w:r>
        <w:instrText xml:space="preserve"> PAGEREF _Toc22117 \h </w:instrText>
      </w:r>
      <w:r>
        <w:fldChar w:fldCharType="separate"/>
      </w:r>
      <w:r>
        <w:t>- 11 -</w:t>
      </w:r>
      <w:r>
        <w:fldChar w:fldCharType="end"/>
      </w:r>
      <w:r>
        <w:rPr>
          <w:rFonts w:hint="eastAsia" w:ascii="仿宋" w:hAnsi="仿宋" w:eastAsia="仿宋" w:cs="仿宋"/>
          <w:color w:val="auto"/>
          <w:szCs w:val="28"/>
          <w:highlight w:val="none"/>
        </w:rPr>
        <w:fldChar w:fldCharType="end"/>
      </w:r>
    </w:p>
    <w:p>
      <w:pPr>
        <w:pStyle w:val="46"/>
        <w:keepNext w:val="0"/>
        <w:keepLines w:val="0"/>
        <w:pageBreakBefore w:val="0"/>
        <w:widowControl w:val="0"/>
        <w:tabs>
          <w:tab w:val="right" w:leader="dot" w:pos="9071"/>
        </w:tabs>
        <w:kinsoku/>
        <w:wordWrap/>
        <w:overflowPunct/>
        <w:topLinePunct w:val="0"/>
        <w:autoSpaceDE/>
        <w:autoSpaceDN/>
        <w:bidi w:val="0"/>
        <w:adjustRightInd/>
        <w:snapToGrid/>
        <w:ind w:firstLine="560" w:firstLineChars="200"/>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_Toc14266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二、项目服务需求</w:t>
      </w:r>
      <w:r>
        <w:tab/>
      </w:r>
      <w:r>
        <w:fldChar w:fldCharType="begin"/>
      </w:r>
      <w:r>
        <w:instrText xml:space="preserve"> PAGEREF _Toc14266 \h </w:instrText>
      </w:r>
      <w:r>
        <w:fldChar w:fldCharType="separate"/>
      </w:r>
      <w:r>
        <w:t>- 11 -</w:t>
      </w:r>
      <w:r>
        <w:fldChar w:fldCharType="end"/>
      </w:r>
      <w:r>
        <w:rPr>
          <w:rFonts w:hint="eastAsia" w:ascii="仿宋" w:hAnsi="仿宋" w:eastAsia="仿宋" w:cs="仿宋"/>
          <w:color w:val="auto"/>
          <w:szCs w:val="28"/>
          <w:highlight w:val="none"/>
        </w:rPr>
        <w:fldChar w:fldCharType="end"/>
      </w:r>
    </w:p>
    <w:p>
      <w:pPr>
        <w:pStyle w:val="46"/>
        <w:keepNext w:val="0"/>
        <w:keepLines w:val="0"/>
        <w:pageBreakBefore w:val="0"/>
        <w:widowControl w:val="0"/>
        <w:tabs>
          <w:tab w:val="right" w:leader="dot" w:pos="9071"/>
        </w:tabs>
        <w:kinsoku/>
        <w:wordWrap/>
        <w:overflowPunct/>
        <w:topLinePunct w:val="0"/>
        <w:autoSpaceDE/>
        <w:autoSpaceDN/>
        <w:bidi w:val="0"/>
        <w:adjustRightInd/>
        <w:snapToGrid/>
        <w:ind w:firstLine="560" w:firstLineChars="200"/>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_Toc3595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三、服务要求</w:t>
      </w:r>
      <w:r>
        <w:tab/>
      </w:r>
      <w:r>
        <w:fldChar w:fldCharType="begin"/>
      </w:r>
      <w:r>
        <w:instrText xml:space="preserve"> PAGEREF _Toc3595 \h </w:instrText>
      </w:r>
      <w:r>
        <w:fldChar w:fldCharType="separate"/>
      </w:r>
      <w:r>
        <w:t>- 12 -</w:t>
      </w:r>
      <w:r>
        <w:fldChar w:fldCharType="end"/>
      </w:r>
      <w:r>
        <w:rPr>
          <w:rFonts w:hint="eastAsia" w:ascii="仿宋" w:hAnsi="仿宋" w:eastAsia="仿宋" w:cs="仿宋"/>
          <w:color w:val="auto"/>
          <w:szCs w:val="28"/>
          <w:highlight w:val="none"/>
        </w:rPr>
        <w:fldChar w:fldCharType="end"/>
      </w:r>
    </w:p>
    <w:p>
      <w:pPr>
        <w:pStyle w:val="46"/>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_Toc10902 </w:instrText>
      </w:r>
      <w:r>
        <w:rPr>
          <w:rFonts w:hint="eastAsia" w:ascii="仿宋" w:hAnsi="仿宋" w:eastAsia="仿宋" w:cs="仿宋"/>
          <w:szCs w:val="28"/>
          <w:highlight w:val="none"/>
        </w:rPr>
        <w:fldChar w:fldCharType="separate"/>
      </w:r>
      <w:r>
        <w:rPr>
          <w:rFonts w:hint="eastAsia" w:ascii="仿宋" w:hAnsi="仿宋" w:eastAsia="仿宋" w:cs="仿宋"/>
          <w:bCs/>
          <w:szCs w:val="32"/>
          <w:highlight w:val="none"/>
          <w:lang w:val="en-US" w:eastAsia="zh-CN"/>
        </w:rPr>
        <w:t>第四篇 询价项目商务需求</w:t>
      </w:r>
      <w:r>
        <w:tab/>
      </w:r>
      <w:r>
        <w:fldChar w:fldCharType="begin"/>
      </w:r>
      <w:r>
        <w:instrText xml:space="preserve"> PAGEREF _Toc10902 \h </w:instrText>
      </w:r>
      <w:r>
        <w:fldChar w:fldCharType="separate"/>
      </w:r>
      <w:r>
        <w:t>- 13 -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_Toc2862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一、服务期、服务地点、验收方式</w:t>
      </w:r>
      <w:r>
        <w:tab/>
      </w:r>
      <w:r>
        <w:fldChar w:fldCharType="begin"/>
      </w:r>
      <w:r>
        <w:instrText xml:space="preserve"> PAGEREF _Toc2862 \h </w:instrText>
      </w:r>
      <w:r>
        <w:fldChar w:fldCharType="separate"/>
      </w:r>
      <w:r>
        <w:t>- 13 -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_Toc18605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二、报价要求</w:t>
      </w:r>
      <w:r>
        <w:tab/>
      </w:r>
      <w:r>
        <w:fldChar w:fldCharType="begin"/>
      </w:r>
      <w:r>
        <w:instrText xml:space="preserve"> PAGEREF _Toc18605 \h </w:instrText>
      </w:r>
      <w:r>
        <w:fldChar w:fldCharType="separate"/>
      </w:r>
      <w:r>
        <w:t>- 13 -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_Toc11399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三、售后服务</w:t>
      </w:r>
      <w:r>
        <w:tab/>
      </w:r>
      <w:r>
        <w:fldChar w:fldCharType="begin"/>
      </w:r>
      <w:r>
        <w:instrText xml:space="preserve"> PAGEREF _Toc11399 \h </w:instrText>
      </w:r>
      <w:r>
        <w:fldChar w:fldCharType="separate"/>
      </w:r>
      <w:r>
        <w:t>- 13 -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_Toc15720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四、付款方式</w:t>
      </w:r>
      <w:r>
        <w:tab/>
      </w:r>
      <w:r>
        <w:fldChar w:fldCharType="begin"/>
      </w:r>
      <w:r>
        <w:instrText xml:space="preserve"> PAGEREF _Toc15720 \h </w:instrText>
      </w:r>
      <w:r>
        <w:fldChar w:fldCharType="separate"/>
      </w:r>
      <w:r>
        <w:t>- 13 -</w:t>
      </w:r>
      <w:r>
        <w:fldChar w:fldCharType="end"/>
      </w:r>
      <w:r>
        <w:rPr>
          <w:rFonts w:hint="eastAsia" w:ascii="仿宋" w:hAnsi="仿宋" w:eastAsia="仿宋" w:cs="仿宋"/>
          <w:color w:val="auto"/>
          <w:szCs w:val="28"/>
          <w:highlight w:val="none"/>
        </w:rPr>
        <w:fldChar w:fldCharType="end"/>
      </w:r>
    </w:p>
    <w:p>
      <w:pPr>
        <w:pStyle w:val="46"/>
        <w:keepNext w:val="0"/>
        <w:keepLines w:val="0"/>
        <w:pageBreakBefore w:val="0"/>
        <w:widowControl w:val="0"/>
        <w:tabs>
          <w:tab w:val="right" w:leader="dot" w:pos="9071"/>
        </w:tabs>
        <w:kinsoku/>
        <w:wordWrap/>
        <w:overflowPunct/>
        <w:topLinePunct w:val="0"/>
        <w:autoSpaceDE/>
        <w:autoSpaceDN/>
        <w:bidi w:val="0"/>
        <w:adjustRightInd/>
        <w:snapToGrid/>
        <w:ind w:firstLine="560" w:firstLineChars="200"/>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_Toc24872 </w:instrText>
      </w:r>
      <w:r>
        <w:rPr>
          <w:rFonts w:hint="eastAsia" w:ascii="仿宋" w:hAnsi="仿宋" w:eastAsia="仿宋" w:cs="仿宋"/>
          <w:szCs w:val="28"/>
          <w:highlight w:val="none"/>
        </w:rPr>
        <w:fldChar w:fldCharType="separate"/>
      </w:r>
      <w:r>
        <w:rPr>
          <w:rFonts w:hint="eastAsia" w:ascii="方正仿宋_GBK" w:hAnsi="宋体" w:eastAsia="方正仿宋_GBK"/>
          <w:highlight w:val="none"/>
          <w:lang w:val="en-US" w:eastAsia="zh-CN"/>
        </w:rPr>
        <w:t>五、保密要求</w:t>
      </w:r>
      <w:r>
        <w:tab/>
      </w:r>
      <w:r>
        <w:fldChar w:fldCharType="begin"/>
      </w:r>
      <w:r>
        <w:instrText xml:space="preserve"> PAGEREF _Toc24872 \h </w:instrText>
      </w:r>
      <w:r>
        <w:fldChar w:fldCharType="separate"/>
      </w:r>
      <w:r>
        <w:t>- 13 -</w:t>
      </w:r>
      <w:r>
        <w:fldChar w:fldCharType="end"/>
      </w:r>
      <w:r>
        <w:rPr>
          <w:rFonts w:hint="eastAsia" w:ascii="仿宋" w:hAnsi="仿宋" w:eastAsia="仿宋" w:cs="仿宋"/>
          <w:color w:val="auto"/>
          <w:szCs w:val="28"/>
          <w:highlight w:val="none"/>
        </w:rPr>
        <w:fldChar w:fldCharType="end"/>
      </w:r>
    </w:p>
    <w:p>
      <w:pPr>
        <w:pStyle w:val="46"/>
        <w:keepNext w:val="0"/>
        <w:keepLines w:val="0"/>
        <w:pageBreakBefore w:val="0"/>
        <w:widowControl w:val="0"/>
        <w:tabs>
          <w:tab w:val="right" w:leader="dot" w:pos="9071"/>
        </w:tabs>
        <w:kinsoku/>
        <w:wordWrap/>
        <w:overflowPunct/>
        <w:topLinePunct w:val="0"/>
        <w:autoSpaceDE/>
        <w:autoSpaceDN/>
        <w:bidi w:val="0"/>
        <w:adjustRightInd/>
        <w:snapToGrid/>
        <w:ind w:firstLine="560" w:firstLineChars="200"/>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_Toc4017 </w:instrText>
      </w:r>
      <w:r>
        <w:rPr>
          <w:rFonts w:hint="eastAsia" w:ascii="仿宋" w:hAnsi="仿宋" w:eastAsia="仿宋" w:cs="仿宋"/>
          <w:szCs w:val="28"/>
          <w:highlight w:val="none"/>
        </w:rPr>
        <w:fldChar w:fldCharType="separate"/>
      </w:r>
      <w:r>
        <w:rPr>
          <w:rFonts w:hint="eastAsia" w:ascii="方正仿宋_GBK" w:hAnsi="宋体" w:eastAsia="方正仿宋_GBK" w:cs="Times New Roman"/>
          <w:highlight w:val="none"/>
          <w:lang w:val="en-US" w:eastAsia="zh-CN"/>
        </w:rPr>
        <w:t>六、违约责任</w:t>
      </w:r>
      <w:r>
        <w:tab/>
      </w:r>
      <w:r>
        <w:fldChar w:fldCharType="begin"/>
      </w:r>
      <w:r>
        <w:instrText xml:space="preserve"> PAGEREF _Toc4017 \h </w:instrText>
      </w:r>
      <w:r>
        <w:fldChar w:fldCharType="separate"/>
      </w:r>
      <w:r>
        <w:t>- 14 -</w:t>
      </w:r>
      <w:r>
        <w:fldChar w:fldCharType="end"/>
      </w:r>
      <w:r>
        <w:rPr>
          <w:rFonts w:hint="eastAsia" w:ascii="仿宋" w:hAnsi="仿宋" w:eastAsia="仿宋" w:cs="仿宋"/>
          <w:color w:val="auto"/>
          <w:szCs w:val="28"/>
          <w:highlight w:val="none"/>
        </w:rPr>
        <w:fldChar w:fldCharType="end"/>
      </w:r>
    </w:p>
    <w:p>
      <w:pPr>
        <w:pStyle w:val="46"/>
        <w:keepNext w:val="0"/>
        <w:keepLines w:val="0"/>
        <w:pageBreakBefore w:val="0"/>
        <w:widowControl w:val="0"/>
        <w:tabs>
          <w:tab w:val="right" w:leader="dot" w:pos="9071"/>
        </w:tabs>
        <w:kinsoku/>
        <w:wordWrap/>
        <w:overflowPunct/>
        <w:topLinePunct w:val="0"/>
        <w:autoSpaceDE/>
        <w:autoSpaceDN/>
        <w:bidi w:val="0"/>
        <w:adjustRightInd/>
        <w:snapToGrid/>
        <w:ind w:firstLine="560" w:firstLineChars="200"/>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_Toc8172 </w:instrText>
      </w:r>
      <w:r>
        <w:rPr>
          <w:rFonts w:hint="eastAsia" w:ascii="仿宋" w:hAnsi="仿宋" w:eastAsia="仿宋" w:cs="仿宋"/>
          <w:szCs w:val="28"/>
          <w:highlight w:val="none"/>
        </w:rPr>
        <w:fldChar w:fldCharType="separate"/>
      </w:r>
      <w:r>
        <w:rPr>
          <w:rFonts w:hint="eastAsia" w:ascii="方正仿宋_GBK" w:hAnsi="宋体" w:eastAsia="方正仿宋_GBK"/>
          <w:highlight w:val="none"/>
          <w:lang w:val="en-US" w:eastAsia="zh-CN"/>
        </w:rPr>
        <w:t>七</w:t>
      </w:r>
      <w:r>
        <w:rPr>
          <w:rFonts w:hint="eastAsia" w:ascii="方正仿宋_GBK" w:hAnsi="宋体" w:eastAsia="方正仿宋_GBK"/>
          <w:highlight w:val="none"/>
        </w:rPr>
        <w:t>、其他</w:t>
      </w:r>
      <w:r>
        <w:tab/>
      </w:r>
      <w:r>
        <w:fldChar w:fldCharType="begin"/>
      </w:r>
      <w:r>
        <w:instrText xml:space="preserve"> PAGEREF _Toc8172 \h </w:instrText>
      </w:r>
      <w:r>
        <w:fldChar w:fldCharType="separate"/>
      </w:r>
      <w:r>
        <w:t>- 15 -</w:t>
      </w:r>
      <w:r>
        <w:fldChar w:fldCharType="end"/>
      </w:r>
      <w:r>
        <w:rPr>
          <w:rFonts w:hint="eastAsia" w:ascii="仿宋" w:hAnsi="仿宋" w:eastAsia="仿宋" w:cs="仿宋"/>
          <w:color w:val="auto"/>
          <w:szCs w:val="28"/>
          <w:highlight w:val="none"/>
        </w:rPr>
        <w:fldChar w:fldCharType="end"/>
      </w:r>
    </w:p>
    <w:p>
      <w:pPr>
        <w:pStyle w:val="46"/>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_Toc8230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第五篇 合同主要条款和格式合同（参考样本）</w:t>
      </w:r>
      <w:r>
        <w:tab/>
      </w:r>
      <w:r>
        <w:fldChar w:fldCharType="begin"/>
      </w:r>
      <w:r>
        <w:instrText xml:space="preserve"> PAGEREF _Toc8230 \h </w:instrText>
      </w:r>
      <w:r>
        <w:fldChar w:fldCharType="separate"/>
      </w:r>
      <w:r>
        <w:t>- 16 -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_Toc16225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一、合同主要条款</w:t>
      </w:r>
      <w:r>
        <w:tab/>
      </w:r>
      <w:r>
        <w:fldChar w:fldCharType="begin"/>
      </w:r>
      <w:r>
        <w:instrText xml:space="preserve"> PAGEREF _Toc16225 \h </w:instrText>
      </w:r>
      <w:r>
        <w:fldChar w:fldCharType="separate"/>
      </w:r>
      <w:r>
        <w:t>- 16 -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_Toc10725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二、采购合同（格式）</w:t>
      </w:r>
      <w:r>
        <w:tab/>
      </w:r>
      <w:r>
        <w:fldChar w:fldCharType="begin"/>
      </w:r>
      <w:r>
        <w:instrText xml:space="preserve"> PAGEREF _Toc10725 \h </w:instrText>
      </w:r>
      <w:r>
        <w:fldChar w:fldCharType="separate"/>
      </w:r>
      <w:r>
        <w:t>- 20 -</w:t>
      </w:r>
      <w:r>
        <w:fldChar w:fldCharType="end"/>
      </w:r>
      <w:r>
        <w:rPr>
          <w:rFonts w:hint="eastAsia" w:ascii="仿宋" w:hAnsi="仿宋" w:eastAsia="仿宋" w:cs="仿宋"/>
          <w:color w:val="auto"/>
          <w:szCs w:val="28"/>
          <w:highlight w:val="none"/>
        </w:rPr>
        <w:fldChar w:fldCharType="end"/>
      </w:r>
    </w:p>
    <w:p>
      <w:pPr>
        <w:pStyle w:val="46"/>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_Toc23022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 xml:space="preserve">第六篇  </w:t>
      </w:r>
      <w:r>
        <w:rPr>
          <w:rFonts w:hint="eastAsia" w:ascii="仿宋" w:hAnsi="仿宋" w:eastAsia="仿宋" w:cs="仿宋"/>
          <w:highlight w:val="none"/>
          <w:lang w:eastAsia="zh-CN"/>
        </w:rPr>
        <w:t>报价文件</w:t>
      </w:r>
      <w:r>
        <w:rPr>
          <w:rFonts w:hint="eastAsia" w:ascii="仿宋" w:hAnsi="仿宋" w:eastAsia="仿宋" w:cs="仿宋"/>
          <w:highlight w:val="none"/>
        </w:rPr>
        <w:t>格式要求</w:t>
      </w:r>
      <w:r>
        <w:tab/>
      </w:r>
      <w:r>
        <w:fldChar w:fldCharType="begin"/>
      </w:r>
      <w:r>
        <w:instrText xml:space="preserve"> PAGEREF _Toc23022 \h </w:instrText>
      </w:r>
      <w:r>
        <w:fldChar w:fldCharType="separate"/>
      </w:r>
      <w:r>
        <w:t>- 22 -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_Toc25224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一、经济部分</w:t>
      </w:r>
      <w:r>
        <w:tab/>
      </w:r>
      <w:r>
        <w:fldChar w:fldCharType="begin"/>
      </w:r>
      <w:r>
        <w:instrText xml:space="preserve"> PAGEREF _Toc25224 \h </w:instrText>
      </w:r>
      <w:r>
        <w:fldChar w:fldCharType="separate"/>
      </w:r>
      <w:r>
        <w:t>- 23 -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_Toc2118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二、</w:t>
      </w:r>
      <w:r>
        <w:rPr>
          <w:rFonts w:hint="eastAsia" w:ascii="仿宋" w:hAnsi="仿宋" w:eastAsia="仿宋" w:cs="仿宋"/>
          <w:szCs w:val="24"/>
          <w:highlight w:val="none"/>
          <w:lang w:val="en-US" w:eastAsia="zh-CN"/>
        </w:rPr>
        <w:t>服务</w:t>
      </w:r>
      <w:r>
        <w:rPr>
          <w:rFonts w:hint="eastAsia" w:ascii="仿宋" w:hAnsi="仿宋" w:eastAsia="仿宋" w:cs="仿宋"/>
          <w:szCs w:val="24"/>
          <w:highlight w:val="none"/>
        </w:rPr>
        <w:t>部分</w:t>
      </w:r>
      <w:r>
        <w:tab/>
      </w:r>
      <w:r>
        <w:fldChar w:fldCharType="begin"/>
      </w:r>
      <w:r>
        <w:instrText xml:space="preserve"> PAGEREF _Toc2118 \h </w:instrText>
      </w:r>
      <w:r>
        <w:fldChar w:fldCharType="separate"/>
      </w:r>
      <w:r>
        <w:t>- 25 -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_Toc31577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三、</w:t>
      </w:r>
      <w:r>
        <w:rPr>
          <w:rFonts w:hint="eastAsia" w:ascii="仿宋" w:hAnsi="仿宋" w:eastAsia="仿宋" w:cs="仿宋"/>
          <w:szCs w:val="24"/>
          <w:highlight w:val="none"/>
          <w:lang w:val="en-US" w:eastAsia="zh-CN"/>
        </w:rPr>
        <w:t>商务</w:t>
      </w:r>
      <w:r>
        <w:rPr>
          <w:rFonts w:hint="eastAsia" w:ascii="仿宋" w:hAnsi="仿宋" w:eastAsia="仿宋" w:cs="仿宋"/>
          <w:szCs w:val="24"/>
          <w:highlight w:val="none"/>
        </w:rPr>
        <w:t>部分</w:t>
      </w:r>
      <w:r>
        <w:tab/>
      </w:r>
      <w:r>
        <w:fldChar w:fldCharType="begin"/>
      </w:r>
      <w:r>
        <w:instrText xml:space="preserve"> PAGEREF _Toc31577 \h </w:instrText>
      </w:r>
      <w:r>
        <w:fldChar w:fldCharType="separate"/>
      </w:r>
      <w:r>
        <w:t>- 26 -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_Toc19564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四、资格条件及其他</w:t>
      </w:r>
      <w:r>
        <w:tab/>
      </w:r>
      <w:r>
        <w:fldChar w:fldCharType="begin"/>
      </w:r>
      <w:r>
        <w:instrText xml:space="preserve"> PAGEREF _Toc19564 \h </w:instrText>
      </w:r>
      <w:r>
        <w:fldChar w:fldCharType="separate"/>
      </w:r>
      <w:r>
        <w:t>- 28 -</w:t>
      </w:r>
      <w:r>
        <w:fldChar w:fldCharType="end"/>
      </w:r>
      <w:r>
        <w:rPr>
          <w:rFonts w:hint="eastAsia" w:ascii="仿宋" w:hAnsi="仿宋" w:eastAsia="仿宋" w:cs="仿宋"/>
          <w:color w:val="auto"/>
          <w:szCs w:val="28"/>
          <w:highlight w:val="none"/>
        </w:rPr>
        <w:fldChar w:fldCharType="end"/>
      </w:r>
    </w:p>
    <w:p>
      <w:pPr>
        <w:pStyle w:val="30"/>
        <w:tabs>
          <w:tab w:val="right" w:leader="dot" w:pos="9071"/>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_Toc5312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五、其他应提供的资料</w:t>
      </w:r>
      <w:r>
        <w:tab/>
      </w:r>
      <w:r>
        <w:fldChar w:fldCharType="begin"/>
      </w:r>
      <w:r>
        <w:instrText xml:space="preserve"> PAGEREF _Toc5312 \h </w:instrText>
      </w:r>
      <w:r>
        <w:fldChar w:fldCharType="separate"/>
      </w:r>
      <w:r>
        <w:t>- 33 -</w:t>
      </w:r>
      <w:r>
        <w:fldChar w:fldCharType="end"/>
      </w:r>
      <w:r>
        <w:rPr>
          <w:rFonts w:hint="eastAsia" w:ascii="仿宋" w:hAnsi="仿宋" w:eastAsia="仿宋" w:cs="仿宋"/>
          <w:color w:val="auto"/>
          <w:szCs w:val="28"/>
          <w:highlight w:val="none"/>
        </w:rPr>
        <w:fldChar w:fldCharType="end"/>
      </w:r>
    </w:p>
    <w:p>
      <w:pPr>
        <w:pStyle w:val="46"/>
        <w:tabs>
          <w:tab w:val="right" w:leader="dot" w:pos="9402"/>
        </w:tabs>
        <w:spacing w:line="360" w:lineRule="auto"/>
        <w:ind w:left="560"/>
        <w:rPr>
          <w:rFonts w:hint="eastAsia" w:ascii="仿宋" w:hAnsi="仿宋" w:eastAsia="仿宋" w:cs="仿宋"/>
          <w:color w:val="auto"/>
          <w:szCs w:val="32"/>
          <w:highlight w:val="none"/>
        </w:rPr>
        <w:sectPr>
          <w:headerReference r:id="rId4" w:type="default"/>
          <w:footerReference r:id="rId5" w:type="default"/>
          <w:type w:val="continuous"/>
          <w:pgSz w:w="11907" w:h="16840"/>
          <w:pgMar w:top="1134" w:right="1418" w:bottom="1134" w:left="1418" w:header="964" w:footer="992" w:gutter="0"/>
          <w:pgBorders>
            <w:top w:val="none" w:sz="0" w:space="0"/>
            <w:left w:val="none" w:sz="0" w:space="0"/>
            <w:bottom w:val="none" w:sz="0" w:space="0"/>
            <w:right w:val="none" w:sz="0" w:space="0"/>
          </w:pgBorders>
          <w:pgNumType w:fmt="numberInDash" w:start="1"/>
          <w:cols w:space="720" w:num="1"/>
          <w:docGrid w:linePitch="312" w:charSpace="0"/>
        </w:sectPr>
      </w:pPr>
      <w:r>
        <w:rPr>
          <w:rFonts w:hint="eastAsia" w:ascii="仿宋" w:hAnsi="仿宋" w:eastAsia="仿宋" w:cs="仿宋"/>
          <w:color w:val="auto"/>
          <w:szCs w:val="28"/>
          <w:highlight w:val="none"/>
        </w:rPr>
        <w:fldChar w:fldCharType="end"/>
      </w:r>
    </w:p>
    <w:p>
      <w:pPr>
        <w:pStyle w:val="4"/>
        <w:spacing w:line="360" w:lineRule="auto"/>
        <w:jc w:val="center"/>
        <w:rPr>
          <w:rFonts w:hint="eastAsia" w:ascii="仿宋" w:hAnsi="仿宋" w:eastAsia="仿宋" w:cs="仿宋"/>
          <w:bCs/>
          <w:color w:val="auto"/>
          <w:szCs w:val="32"/>
          <w:highlight w:val="none"/>
        </w:rPr>
      </w:pPr>
      <w:bookmarkStart w:id="3" w:name="_Toc18639"/>
      <w:bookmarkStart w:id="4" w:name="_Toc11973"/>
      <w:bookmarkStart w:id="5" w:name="_Toc21621"/>
      <w:bookmarkStart w:id="6" w:name="_Toc4954"/>
      <w:bookmarkStart w:id="7" w:name="_Toc2843"/>
      <w:bookmarkStart w:id="8" w:name="_Toc9795"/>
      <w:r>
        <w:rPr>
          <w:rFonts w:hint="eastAsia" w:ascii="仿宋" w:hAnsi="仿宋" w:eastAsia="仿宋" w:cs="仿宋"/>
          <w:color w:val="auto"/>
          <w:szCs w:val="32"/>
          <w:highlight w:val="none"/>
        </w:rPr>
        <w:t>第一篇 询价邀请书</w:t>
      </w:r>
      <w:bookmarkEnd w:id="0"/>
      <w:bookmarkEnd w:id="1"/>
      <w:bookmarkEnd w:id="2"/>
      <w:bookmarkEnd w:id="3"/>
      <w:bookmarkEnd w:id="4"/>
      <w:bookmarkEnd w:id="5"/>
      <w:bookmarkEnd w:id="6"/>
      <w:bookmarkEnd w:id="7"/>
      <w:bookmarkEnd w:id="8"/>
    </w:p>
    <w:p>
      <w:pPr>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重庆和定招标代理有限责任公司</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u w:val="single"/>
          <w:lang w:eastAsia="zh-CN"/>
        </w:rPr>
        <w:t>重庆市生态环境大数据应用中心</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lang w:eastAsia="zh-CN"/>
        </w:rPr>
        <w:t>重庆市生态环境业务数据安全服务</w:t>
      </w:r>
      <w:r>
        <w:rPr>
          <w:rFonts w:hint="eastAsia" w:ascii="仿宋" w:hAnsi="仿宋" w:eastAsia="仿宋" w:cs="仿宋"/>
          <w:color w:val="auto"/>
          <w:sz w:val="24"/>
          <w:szCs w:val="24"/>
          <w:highlight w:val="none"/>
        </w:rPr>
        <w:t>进行询价采购，欢迎有资格的供应商前来参加。</w:t>
      </w:r>
    </w:p>
    <w:p>
      <w:pPr>
        <w:pStyle w:val="5"/>
        <w:spacing w:before="0" w:after="0" w:line="360" w:lineRule="auto"/>
        <w:ind w:firstLine="481" w:firstLineChars="200"/>
        <w:rPr>
          <w:rFonts w:hint="eastAsia" w:ascii="仿宋" w:hAnsi="仿宋" w:eastAsia="仿宋" w:cs="仿宋"/>
          <w:color w:val="auto"/>
          <w:sz w:val="24"/>
          <w:szCs w:val="24"/>
          <w:highlight w:val="none"/>
        </w:rPr>
      </w:pPr>
      <w:bookmarkStart w:id="9" w:name="_Toc487204771"/>
      <w:bookmarkStart w:id="10" w:name="_Toc22132"/>
      <w:bookmarkStart w:id="11" w:name="_Toc75"/>
      <w:bookmarkStart w:id="12" w:name="_Toc317775175"/>
      <w:bookmarkStart w:id="13" w:name="_Toc2078"/>
      <w:bookmarkStart w:id="14" w:name="_Toc22339"/>
      <w:bookmarkStart w:id="15" w:name="_Toc7671"/>
      <w:bookmarkStart w:id="16" w:name="_Toc2025"/>
      <w:bookmarkStart w:id="17" w:name="_Toc313893526"/>
      <w:r>
        <w:rPr>
          <w:rFonts w:hint="eastAsia" w:ascii="仿宋" w:hAnsi="仿宋" w:eastAsia="仿宋" w:cs="仿宋"/>
          <w:color w:val="auto"/>
          <w:sz w:val="24"/>
          <w:szCs w:val="24"/>
          <w:highlight w:val="none"/>
        </w:rPr>
        <w:t>一、询价内容</w:t>
      </w:r>
      <w:bookmarkEnd w:id="9"/>
      <w:bookmarkEnd w:id="10"/>
      <w:bookmarkEnd w:id="11"/>
      <w:bookmarkEnd w:id="12"/>
      <w:bookmarkEnd w:id="13"/>
      <w:bookmarkEnd w:id="14"/>
      <w:bookmarkEnd w:id="15"/>
      <w:bookmarkEnd w:id="16"/>
      <w:bookmarkEnd w:id="17"/>
    </w:p>
    <w:tbl>
      <w:tblPr>
        <w:tblStyle w:val="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682"/>
        <w:gridCol w:w="2172"/>
        <w:gridCol w:w="1693"/>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88" w:type="pct"/>
            <w:noWrap w:val="0"/>
            <w:vAlign w:val="center"/>
          </w:tcPr>
          <w:p>
            <w:pPr>
              <w:widowControl/>
              <w:spacing w:line="360" w:lineRule="auto"/>
              <w:jc w:val="center"/>
              <w:rPr>
                <w:rFonts w:hint="eastAsia" w:ascii="仿宋" w:hAnsi="仿宋" w:eastAsia="仿宋" w:cs="仿宋"/>
                <w:b/>
                <w:color w:val="auto"/>
                <w:sz w:val="21"/>
                <w:szCs w:val="21"/>
                <w:highlight w:val="none"/>
              </w:rPr>
            </w:pPr>
            <w:bookmarkStart w:id="18" w:name="_Toc487204772"/>
            <w:bookmarkStart w:id="19" w:name="_Toc373860293"/>
            <w:bookmarkStart w:id="20" w:name="_Toc317775178"/>
            <w:r>
              <w:rPr>
                <w:rFonts w:hint="eastAsia" w:ascii="仿宋" w:hAnsi="仿宋" w:eastAsia="仿宋" w:cs="仿宋"/>
                <w:b/>
                <w:color w:val="auto"/>
                <w:sz w:val="21"/>
                <w:szCs w:val="21"/>
                <w:highlight w:val="none"/>
              </w:rPr>
              <w:t>序号</w:t>
            </w:r>
          </w:p>
        </w:tc>
        <w:tc>
          <w:tcPr>
            <w:tcW w:w="1573" w:type="pct"/>
            <w:noWrap w:val="0"/>
            <w:vAlign w:val="center"/>
          </w:tcPr>
          <w:p>
            <w:pPr>
              <w:widowControl/>
              <w:spacing w:line="360" w:lineRule="auto"/>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项目名称</w:t>
            </w:r>
          </w:p>
        </w:tc>
        <w:tc>
          <w:tcPr>
            <w:tcW w:w="1274" w:type="pct"/>
            <w:noWrap w:val="0"/>
            <w:vAlign w:val="center"/>
          </w:tcPr>
          <w:p>
            <w:pPr>
              <w:widowControl/>
              <w:spacing w:line="360" w:lineRule="auto"/>
              <w:jc w:val="center"/>
              <w:rPr>
                <w:rFonts w:hint="eastAsia" w:ascii="仿宋" w:hAnsi="仿宋" w:eastAsia="仿宋" w:cs="仿宋"/>
                <w:b/>
                <w:bCs/>
                <w:color w:val="auto"/>
                <w:kern w:val="0"/>
                <w:sz w:val="21"/>
                <w:szCs w:val="21"/>
                <w:highlight w:val="none"/>
                <w:lang w:val="en-US"/>
              </w:rPr>
            </w:pPr>
            <w:r>
              <w:rPr>
                <w:rFonts w:hint="eastAsia" w:ascii="仿宋" w:hAnsi="仿宋" w:eastAsia="仿宋" w:cs="仿宋"/>
                <w:b/>
                <w:bCs/>
                <w:color w:val="auto"/>
                <w:kern w:val="0"/>
                <w:sz w:val="21"/>
                <w:szCs w:val="21"/>
                <w:highlight w:val="none"/>
                <w:lang w:val="en-US" w:eastAsia="zh-CN"/>
              </w:rPr>
              <w:t>采购预算及最高限价</w:t>
            </w:r>
          </w:p>
        </w:tc>
        <w:tc>
          <w:tcPr>
            <w:tcW w:w="993" w:type="pct"/>
            <w:noWrap w:val="0"/>
            <w:vAlign w:val="center"/>
          </w:tcPr>
          <w:p>
            <w:pPr>
              <w:widowControl/>
              <w:spacing w:line="360" w:lineRule="auto"/>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成交供应商数量</w:t>
            </w:r>
          </w:p>
        </w:tc>
        <w:tc>
          <w:tcPr>
            <w:tcW w:w="769" w:type="pct"/>
            <w:noWrap w:val="0"/>
            <w:vAlign w:val="center"/>
          </w:tcPr>
          <w:p>
            <w:pPr>
              <w:widowControl/>
              <w:spacing w:line="360" w:lineRule="auto"/>
              <w:jc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noWrap w:val="0"/>
            <w:vAlign w:val="center"/>
          </w:tcPr>
          <w:p>
            <w:pPr>
              <w:pStyle w:val="9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1573" w:type="pct"/>
            <w:noWrap w:val="0"/>
            <w:vAlign w:val="center"/>
          </w:tcPr>
          <w:p>
            <w:pPr>
              <w:pStyle w:val="9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重庆市生态环境业务数据安全服务</w:t>
            </w:r>
          </w:p>
        </w:tc>
        <w:tc>
          <w:tcPr>
            <w:tcW w:w="127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2"/>
                <w:sz w:val="20"/>
                <w:szCs w:val="20"/>
                <w:highlight w:val="none"/>
                <w:lang w:val="en-US" w:eastAsia="zh-CN" w:bidi="ar-SA"/>
              </w:rPr>
              <w:t>39.6万元</w:t>
            </w:r>
          </w:p>
        </w:tc>
        <w:tc>
          <w:tcPr>
            <w:tcW w:w="99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7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w:t>
            </w:r>
          </w:p>
        </w:tc>
      </w:tr>
    </w:tbl>
    <w:p>
      <w:pPr>
        <w:pStyle w:val="5"/>
        <w:keepNext/>
        <w:keepLines/>
        <w:pageBreakBefore w:val="0"/>
        <w:widowControl w:val="0"/>
        <w:kinsoku/>
        <w:wordWrap/>
        <w:overflowPunct/>
        <w:topLinePunct w:val="0"/>
        <w:autoSpaceDE/>
        <w:autoSpaceDN/>
        <w:bidi w:val="0"/>
        <w:adjustRightInd/>
        <w:snapToGrid/>
        <w:spacing w:before="240" w:after="0" w:line="360" w:lineRule="auto"/>
        <w:ind w:firstLine="481" w:firstLineChars="200"/>
        <w:textAlignment w:val="auto"/>
        <w:rPr>
          <w:rFonts w:hint="eastAsia" w:ascii="仿宋" w:hAnsi="仿宋" w:eastAsia="仿宋" w:cs="仿宋"/>
          <w:color w:val="auto"/>
          <w:sz w:val="24"/>
          <w:szCs w:val="24"/>
          <w:highlight w:val="none"/>
        </w:rPr>
      </w:pPr>
      <w:bookmarkStart w:id="21" w:name="_Toc21667"/>
      <w:bookmarkStart w:id="22" w:name="_Toc24869"/>
      <w:bookmarkStart w:id="23" w:name="_Toc8909"/>
      <w:bookmarkStart w:id="24" w:name="_Toc32750"/>
      <w:bookmarkStart w:id="25" w:name="_Toc26915"/>
      <w:bookmarkStart w:id="26" w:name="_Toc17668"/>
      <w:r>
        <w:rPr>
          <w:rFonts w:hint="eastAsia" w:ascii="仿宋" w:hAnsi="仿宋" w:eastAsia="仿宋" w:cs="仿宋"/>
          <w:color w:val="auto"/>
          <w:sz w:val="24"/>
          <w:szCs w:val="24"/>
          <w:highlight w:val="none"/>
        </w:rPr>
        <w:t>二、资金来源</w:t>
      </w:r>
      <w:bookmarkEnd w:id="18"/>
      <w:bookmarkEnd w:id="21"/>
      <w:bookmarkEnd w:id="22"/>
      <w:bookmarkEnd w:id="23"/>
      <w:bookmarkEnd w:id="24"/>
      <w:bookmarkEnd w:id="25"/>
      <w:bookmarkEnd w:id="26"/>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财政预算</w:t>
      </w:r>
      <w:r>
        <w:rPr>
          <w:rFonts w:hint="eastAsia" w:ascii="仿宋" w:hAnsi="仿宋" w:eastAsia="仿宋" w:cs="仿宋"/>
          <w:color w:val="auto"/>
          <w:sz w:val="24"/>
          <w:szCs w:val="24"/>
          <w:highlight w:val="none"/>
          <w:lang w:val="en-US"/>
        </w:rPr>
        <w:t>资金。</w:t>
      </w:r>
    </w:p>
    <w:p>
      <w:pPr>
        <w:pStyle w:val="5"/>
        <w:spacing w:before="0" w:after="0" w:line="360" w:lineRule="auto"/>
        <w:ind w:firstLine="481" w:firstLineChars="200"/>
        <w:rPr>
          <w:rFonts w:hint="eastAsia" w:ascii="仿宋" w:hAnsi="仿宋" w:eastAsia="仿宋" w:cs="仿宋"/>
          <w:color w:val="auto"/>
          <w:sz w:val="24"/>
          <w:szCs w:val="24"/>
          <w:highlight w:val="none"/>
        </w:rPr>
      </w:pPr>
      <w:bookmarkStart w:id="27" w:name="_Toc342913390"/>
      <w:bookmarkStart w:id="28" w:name="_Toc487204773"/>
      <w:bookmarkStart w:id="29" w:name="_Toc26123"/>
      <w:bookmarkStart w:id="30" w:name="_Toc28978"/>
      <w:bookmarkStart w:id="31" w:name="_Toc14254"/>
      <w:bookmarkStart w:id="32" w:name="_Toc30985"/>
      <w:bookmarkStart w:id="33" w:name="_Toc7348"/>
      <w:bookmarkStart w:id="34" w:name="_Toc19647"/>
      <w:r>
        <w:rPr>
          <w:rFonts w:hint="eastAsia" w:ascii="仿宋" w:hAnsi="仿宋" w:eastAsia="仿宋" w:cs="仿宋"/>
          <w:color w:val="auto"/>
          <w:sz w:val="24"/>
          <w:szCs w:val="24"/>
          <w:highlight w:val="none"/>
        </w:rPr>
        <w:t>三、供应商</w:t>
      </w:r>
      <w:bookmarkEnd w:id="27"/>
      <w:bookmarkEnd w:id="28"/>
      <w:r>
        <w:rPr>
          <w:rFonts w:hint="eastAsia" w:ascii="仿宋" w:hAnsi="仿宋" w:eastAsia="仿宋" w:cs="仿宋"/>
          <w:color w:val="auto"/>
          <w:sz w:val="24"/>
          <w:szCs w:val="24"/>
          <w:highlight w:val="none"/>
        </w:rPr>
        <w:t>资格要求</w:t>
      </w:r>
      <w:bookmarkEnd w:id="29"/>
      <w:bookmarkEnd w:id="30"/>
      <w:bookmarkEnd w:id="31"/>
      <w:bookmarkEnd w:id="32"/>
      <w:bookmarkEnd w:id="33"/>
      <w:bookmarkEnd w:id="34"/>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35" w:name="_Toc487204774"/>
      <w:r>
        <w:rPr>
          <w:rFonts w:hint="eastAsia" w:ascii="仿宋" w:hAnsi="仿宋" w:eastAsia="仿宋" w:cs="仿宋"/>
          <w:color w:val="000000" w:themeColor="text1"/>
          <w:sz w:val="24"/>
          <w:szCs w:val="24"/>
          <w:highlight w:val="none"/>
          <w14:textFill>
            <w14:solidFill>
              <w14:schemeClr w14:val="tx1"/>
            </w14:solidFill>
          </w14:textFill>
        </w:rPr>
        <w:t>（一）一般资格条件</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具有独立承担民事责任的能力；</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具有良好的商业信誉和健全的财务会计制度；</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具有履行合同所必需的设备和专业技术能力；</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有依法缴纳税收和社会保障资金的良好记录；</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参加采购活动前三年内，在经营活动中没有重大违法记录；</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法律、行政法规规定的其他条件。</w:t>
      </w:r>
    </w:p>
    <w:p>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（二）特定资格条件：</w:t>
      </w:r>
      <w:r>
        <w:rPr>
          <w:rFonts w:hint="eastAsia" w:ascii="仿宋" w:hAnsi="仿宋" w:eastAsia="仿宋" w:cs="仿宋"/>
          <w:color w:val="000000" w:themeColor="text1"/>
          <w:sz w:val="24"/>
          <w:szCs w:val="24"/>
          <w:highlight w:val="none"/>
          <w:lang w:val="en-US" w:eastAsia="zh-CN"/>
          <w14:textFill>
            <w14:solidFill>
              <w14:schemeClr w14:val="tx1"/>
            </w14:solidFill>
          </w14:textFill>
        </w:rPr>
        <w:t>无。</w:t>
      </w:r>
    </w:p>
    <w:p>
      <w:pPr>
        <w:pStyle w:val="5"/>
        <w:spacing w:before="0" w:after="0" w:line="360" w:lineRule="auto"/>
        <w:ind w:firstLine="481" w:firstLineChars="200"/>
        <w:rPr>
          <w:rFonts w:hint="eastAsia" w:ascii="仿宋" w:hAnsi="仿宋" w:eastAsia="仿宋" w:cs="仿宋"/>
          <w:color w:val="auto"/>
          <w:sz w:val="24"/>
          <w:szCs w:val="24"/>
          <w:highlight w:val="none"/>
        </w:rPr>
      </w:pPr>
      <w:bookmarkStart w:id="36" w:name="_Toc3785"/>
      <w:bookmarkStart w:id="37" w:name="_Toc32417"/>
      <w:bookmarkStart w:id="38" w:name="_Toc7370"/>
      <w:bookmarkStart w:id="39" w:name="_Toc26749"/>
      <w:bookmarkStart w:id="40" w:name="_Toc25995"/>
      <w:bookmarkStart w:id="41" w:name="_Toc18723"/>
      <w:r>
        <w:rPr>
          <w:rFonts w:hint="eastAsia" w:ascii="仿宋" w:hAnsi="仿宋" w:eastAsia="仿宋" w:cs="仿宋"/>
          <w:color w:val="auto"/>
          <w:sz w:val="24"/>
          <w:szCs w:val="24"/>
          <w:highlight w:val="none"/>
        </w:rPr>
        <w:t>四、询价有关说明</w:t>
      </w:r>
      <w:bookmarkEnd w:id="19"/>
      <w:bookmarkEnd w:id="35"/>
      <w:bookmarkEnd w:id="36"/>
      <w:bookmarkEnd w:id="37"/>
      <w:bookmarkEnd w:id="38"/>
      <w:bookmarkEnd w:id="39"/>
      <w:bookmarkEnd w:id="40"/>
      <w:bookmarkEnd w:id="41"/>
    </w:p>
    <w:p>
      <w:pPr>
        <w:pStyle w:val="98"/>
        <w:spacing w:line="360" w:lineRule="auto"/>
        <w:ind w:firstLine="480" w:firstLineChars="200"/>
        <w:rPr>
          <w:rFonts w:hint="eastAsia" w:ascii="仿宋" w:hAnsi="仿宋" w:eastAsia="仿宋" w:cs="仿宋"/>
          <w:color w:val="auto"/>
          <w:sz w:val="24"/>
          <w:szCs w:val="24"/>
          <w:highlight w:val="none"/>
        </w:rPr>
      </w:pPr>
      <w:bookmarkStart w:id="42" w:name="_Toc373860294"/>
      <w:r>
        <w:rPr>
          <w:rFonts w:hint="eastAsia" w:ascii="仿宋" w:hAnsi="仿宋" w:eastAsia="仿宋" w:cs="仿宋"/>
          <w:color w:val="auto"/>
          <w:sz w:val="24"/>
          <w:szCs w:val="24"/>
          <w:highlight w:val="none"/>
        </w:rPr>
        <w:t>（一）凡有意参加</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的供应商，请到</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eastAsia="zh-CN"/>
        </w:rPr>
        <w:t>重庆市生态环境局网站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http://sthjj.cq.gov.cn</w:t>
      </w:r>
      <w:r>
        <w:rPr>
          <w:rFonts w:hint="eastAsia" w:ascii="仿宋" w:hAnsi="仿宋" w:eastAsia="仿宋" w:cs="仿宋"/>
          <w:color w:val="auto"/>
          <w:sz w:val="24"/>
          <w:szCs w:val="24"/>
          <w:highlight w:val="none"/>
        </w:rPr>
        <w:t>）上</w:t>
      </w:r>
      <w:r>
        <w:rPr>
          <w:rFonts w:hint="eastAsia" w:ascii="仿宋" w:hAnsi="仿宋" w:eastAsia="仿宋" w:cs="仿宋"/>
          <w:color w:val="auto"/>
          <w:sz w:val="24"/>
          <w:szCs w:val="24"/>
          <w:highlight w:val="none"/>
          <w:lang w:val="en-US" w:eastAsia="zh-CN"/>
        </w:rPr>
        <w:t>获取</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询价通知书</w:t>
      </w:r>
      <w:r>
        <w:rPr>
          <w:rFonts w:hint="eastAsia" w:ascii="仿宋" w:hAnsi="仿宋" w:eastAsia="仿宋" w:cs="仿宋"/>
          <w:color w:val="auto"/>
          <w:sz w:val="24"/>
          <w:szCs w:val="24"/>
          <w:highlight w:val="none"/>
        </w:rPr>
        <w:t>以及补遗等开标前公布的所有项目资料。</w:t>
      </w:r>
    </w:p>
    <w:p>
      <w:pPr>
        <w:pStyle w:val="9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询价通知书</w:t>
      </w:r>
      <w:r>
        <w:rPr>
          <w:rFonts w:hint="eastAsia" w:ascii="仿宋" w:hAnsi="仿宋" w:eastAsia="仿宋" w:cs="仿宋"/>
          <w:color w:val="auto"/>
          <w:sz w:val="24"/>
          <w:szCs w:val="24"/>
          <w:highlight w:val="none"/>
        </w:rPr>
        <w:t>公告期限：自</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公告发布之日（</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）起三个工作日。</w:t>
      </w:r>
    </w:p>
    <w:p>
      <w:pPr>
        <w:pStyle w:val="9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获取</w:t>
      </w:r>
      <w:r>
        <w:rPr>
          <w:rFonts w:hint="eastAsia" w:ascii="仿宋" w:hAnsi="仿宋" w:eastAsia="仿宋" w:cs="仿宋"/>
          <w:color w:val="auto"/>
          <w:sz w:val="24"/>
          <w:szCs w:val="24"/>
          <w:highlight w:val="none"/>
        </w:rPr>
        <w:t>及</w:t>
      </w:r>
      <w:r>
        <w:rPr>
          <w:rFonts w:hint="eastAsia" w:ascii="仿宋" w:hAnsi="仿宋" w:eastAsia="仿宋" w:cs="仿宋"/>
          <w:color w:val="auto"/>
          <w:sz w:val="24"/>
          <w:szCs w:val="24"/>
          <w:highlight w:val="none"/>
          <w:lang w:eastAsia="zh-CN"/>
        </w:rPr>
        <w:t>询价通知书</w:t>
      </w:r>
      <w:r>
        <w:rPr>
          <w:rFonts w:hint="eastAsia" w:ascii="仿宋" w:hAnsi="仿宋" w:eastAsia="仿宋" w:cs="仿宋"/>
          <w:color w:val="auto"/>
          <w:sz w:val="24"/>
          <w:szCs w:val="24"/>
          <w:highlight w:val="none"/>
        </w:rPr>
        <w:t>发售</w:t>
      </w:r>
    </w:p>
    <w:p>
      <w:pPr>
        <w:pStyle w:val="9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询价通知书</w:t>
      </w:r>
      <w:r>
        <w:rPr>
          <w:rFonts w:hint="eastAsia" w:ascii="仿宋" w:hAnsi="仿宋" w:eastAsia="仿宋" w:cs="仿宋"/>
          <w:color w:val="auto"/>
          <w:sz w:val="24"/>
          <w:szCs w:val="24"/>
          <w:highlight w:val="none"/>
        </w:rPr>
        <w:t>发售期：</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2025年9月18日</w:t>
      </w:r>
      <w:r>
        <w:rPr>
          <w:rFonts w:hint="eastAsia" w:ascii="仿宋" w:hAnsi="仿宋" w:eastAsia="仿宋" w:cs="仿宋"/>
          <w:color w:val="auto"/>
          <w:sz w:val="24"/>
          <w:szCs w:val="24"/>
          <w:highlight w:val="none"/>
        </w:rPr>
        <w:t>上午9:00-11:00，下午15:00-17:00（法定节假日除外）</w:t>
      </w:r>
    </w:p>
    <w:p>
      <w:pPr>
        <w:pStyle w:val="9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询价通知书</w:t>
      </w:r>
      <w:r>
        <w:rPr>
          <w:rFonts w:hint="eastAsia" w:ascii="仿宋" w:hAnsi="仿宋" w:eastAsia="仿宋" w:cs="仿宋"/>
          <w:color w:val="auto"/>
          <w:sz w:val="24"/>
          <w:szCs w:val="24"/>
          <w:highlight w:val="none"/>
        </w:rPr>
        <w:t>售价：人民币300元/份（</w:t>
      </w:r>
      <w:r>
        <w:rPr>
          <w:rFonts w:hint="eastAsia" w:ascii="仿宋" w:hAnsi="仿宋" w:eastAsia="仿宋" w:cs="仿宋"/>
          <w:color w:val="auto"/>
          <w:sz w:val="24"/>
          <w:szCs w:val="24"/>
          <w:highlight w:val="none"/>
          <w:lang w:val="en-US" w:eastAsia="zh-CN"/>
        </w:rPr>
        <w:t>现金，</w:t>
      </w:r>
      <w:r>
        <w:rPr>
          <w:rFonts w:hint="eastAsia" w:ascii="仿宋" w:hAnsi="仿宋" w:eastAsia="仿宋" w:cs="仿宋"/>
          <w:color w:val="auto"/>
          <w:sz w:val="24"/>
          <w:szCs w:val="24"/>
          <w:highlight w:val="none"/>
        </w:rPr>
        <w:t>售后不退）</w:t>
      </w:r>
    </w:p>
    <w:p>
      <w:pPr>
        <w:pStyle w:val="9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询价通知书</w:t>
      </w:r>
      <w:r>
        <w:rPr>
          <w:rFonts w:hint="eastAsia" w:ascii="仿宋" w:hAnsi="仿宋" w:eastAsia="仿宋" w:cs="仿宋"/>
          <w:color w:val="auto"/>
          <w:sz w:val="24"/>
          <w:szCs w:val="24"/>
          <w:highlight w:val="none"/>
          <w:lang w:val="en-US" w:eastAsia="zh-CN"/>
        </w:rPr>
        <w:t>获取</w:t>
      </w: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以下任选其一</w:t>
      </w:r>
      <w:r>
        <w:rPr>
          <w:rFonts w:hint="eastAsia" w:ascii="仿宋" w:hAnsi="仿宋" w:eastAsia="仿宋" w:cs="仿宋"/>
          <w:color w:val="auto"/>
          <w:sz w:val="24"/>
          <w:szCs w:val="24"/>
          <w:highlight w:val="none"/>
          <w:lang w:eastAsia="zh-CN"/>
        </w:rPr>
        <w:t>）</w:t>
      </w:r>
    </w:p>
    <w:p>
      <w:pPr>
        <w:pStyle w:val="98"/>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3.1现金购买</w:t>
      </w:r>
      <w:bookmarkStart w:id="344" w:name="_GoBack"/>
      <w:bookmarkEnd w:id="344"/>
    </w:p>
    <w:p>
      <w:pPr>
        <w:pStyle w:val="9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询价通知书</w:t>
      </w:r>
      <w:r>
        <w:rPr>
          <w:rFonts w:hint="eastAsia" w:ascii="仿宋" w:hAnsi="仿宋" w:eastAsia="仿宋" w:cs="仿宋"/>
          <w:color w:val="auto"/>
          <w:sz w:val="24"/>
          <w:szCs w:val="24"/>
          <w:highlight w:val="none"/>
        </w:rPr>
        <w:t>发售期内，供应商到重庆和定招标代理有限责任公司（重庆市渝北区金昌路融创竣爵堡23栋4号）一楼办公室，递交营业执照复印件（加盖供应商公章）并购买</w:t>
      </w:r>
      <w:r>
        <w:rPr>
          <w:rFonts w:hint="eastAsia" w:ascii="仿宋" w:hAnsi="仿宋" w:eastAsia="仿宋" w:cs="仿宋"/>
          <w:color w:val="auto"/>
          <w:sz w:val="24"/>
          <w:szCs w:val="24"/>
          <w:highlight w:val="none"/>
          <w:lang w:eastAsia="zh-CN"/>
        </w:rPr>
        <w:t>询价通知书</w:t>
      </w:r>
      <w:r>
        <w:rPr>
          <w:rFonts w:hint="eastAsia" w:ascii="仿宋" w:hAnsi="仿宋" w:eastAsia="仿宋" w:cs="仿宋"/>
          <w:color w:val="auto"/>
          <w:sz w:val="24"/>
          <w:szCs w:val="24"/>
          <w:highlight w:val="none"/>
        </w:rPr>
        <w:t>。</w:t>
      </w:r>
    </w:p>
    <w:p>
      <w:pPr>
        <w:pStyle w:val="9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汇款购买</w:t>
      </w:r>
    </w:p>
    <w:p>
      <w:pPr>
        <w:pStyle w:val="9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询价通知书</w:t>
      </w:r>
      <w:r>
        <w:rPr>
          <w:rFonts w:hint="eastAsia" w:ascii="仿宋" w:hAnsi="仿宋" w:eastAsia="仿宋" w:cs="仿宋"/>
          <w:color w:val="auto"/>
          <w:sz w:val="24"/>
          <w:szCs w:val="24"/>
          <w:highlight w:val="none"/>
        </w:rPr>
        <w:t>发售期内，供应商将</w:t>
      </w:r>
      <w:r>
        <w:rPr>
          <w:rFonts w:hint="eastAsia" w:ascii="仿宋" w:hAnsi="仿宋" w:eastAsia="仿宋" w:cs="仿宋"/>
          <w:color w:val="auto"/>
          <w:sz w:val="24"/>
          <w:szCs w:val="24"/>
          <w:highlight w:val="none"/>
          <w:lang w:val="en-US" w:eastAsia="zh-CN"/>
        </w:rPr>
        <w:t>询价通知书</w:t>
      </w:r>
      <w:r>
        <w:rPr>
          <w:rFonts w:hint="eastAsia" w:ascii="仿宋" w:hAnsi="仿宋" w:eastAsia="仿宋" w:cs="仿宋"/>
          <w:color w:val="auto"/>
          <w:sz w:val="24"/>
          <w:szCs w:val="24"/>
          <w:highlight w:val="none"/>
        </w:rPr>
        <w:t>购买费用汇至以下账户内进行购买。通过汇款方式购买文件的，将文件汇款凭证（注明项目</w:t>
      </w:r>
      <w:r>
        <w:rPr>
          <w:rFonts w:hint="eastAsia" w:ascii="仿宋" w:hAnsi="仿宋" w:eastAsia="仿宋" w:cs="仿宋"/>
          <w:color w:val="auto"/>
          <w:sz w:val="24"/>
          <w:szCs w:val="24"/>
          <w:highlight w:val="none"/>
          <w:lang w:val="en-US" w:eastAsia="zh-CN"/>
        </w:rPr>
        <w:t>编</w:t>
      </w:r>
      <w:r>
        <w:rPr>
          <w:rFonts w:hint="eastAsia" w:ascii="仿宋" w:hAnsi="仿宋" w:eastAsia="仿宋" w:cs="仿宋"/>
          <w:color w:val="auto"/>
          <w:sz w:val="24"/>
          <w:szCs w:val="24"/>
          <w:highlight w:val="none"/>
        </w:rPr>
        <w:t>号）、《采购文件获取登记表》扫描后发送至1216779175@qq.com。</w:t>
      </w:r>
    </w:p>
    <w:p>
      <w:pPr>
        <w:pStyle w:val="9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  名：重庆和定招标代理有限责任公司沙坪坝区分公司</w:t>
      </w:r>
    </w:p>
    <w:p>
      <w:pPr>
        <w:pStyle w:val="9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开户行：中国银行股份有限公司石子山支行</w:t>
      </w:r>
    </w:p>
    <w:p>
      <w:pPr>
        <w:pStyle w:val="9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号：1130 9331 4323</w:t>
      </w:r>
    </w:p>
    <w:p>
      <w:pPr>
        <w:pStyle w:val="9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询价通知书</w:t>
      </w:r>
      <w:r>
        <w:rPr>
          <w:rFonts w:hint="eastAsia" w:ascii="仿宋" w:hAnsi="仿宋" w:eastAsia="仿宋" w:cs="仿宋"/>
          <w:color w:val="auto"/>
          <w:sz w:val="24"/>
          <w:szCs w:val="24"/>
          <w:highlight w:val="none"/>
        </w:rPr>
        <w:t>发售期内购买了</w:t>
      </w:r>
      <w:r>
        <w:rPr>
          <w:rFonts w:hint="eastAsia" w:ascii="仿宋" w:hAnsi="仿宋" w:eastAsia="仿宋" w:cs="仿宋"/>
          <w:color w:val="auto"/>
          <w:sz w:val="24"/>
          <w:szCs w:val="24"/>
          <w:highlight w:val="none"/>
          <w:lang w:eastAsia="zh-CN"/>
        </w:rPr>
        <w:t>询价通知书</w:t>
      </w:r>
      <w:r>
        <w:rPr>
          <w:rFonts w:hint="eastAsia" w:ascii="仿宋" w:hAnsi="仿宋" w:eastAsia="仿宋" w:cs="仿宋"/>
          <w:color w:val="auto"/>
          <w:sz w:val="24"/>
          <w:szCs w:val="24"/>
          <w:highlight w:val="none"/>
        </w:rPr>
        <w:t>的供应商，其</w:t>
      </w:r>
      <w:r>
        <w:rPr>
          <w:rFonts w:hint="eastAsia" w:ascii="仿宋" w:hAnsi="仿宋" w:eastAsia="仿宋" w:cs="仿宋"/>
          <w:color w:val="auto"/>
          <w:sz w:val="24"/>
          <w:szCs w:val="24"/>
          <w:highlight w:val="none"/>
          <w:lang w:val="en-US" w:eastAsia="zh-CN"/>
        </w:rPr>
        <w:t>报价文件</w:t>
      </w:r>
      <w:r>
        <w:rPr>
          <w:rFonts w:hint="eastAsia" w:ascii="仿宋" w:hAnsi="仿宋" w:eastAsia="仿宋" w:cs="仿宋"/>
          <w:color w:val="auto"/>
          <w:sz w:val="24"/>
          <w:szCs w:val="24"/>
          <w:highlight w:val="none"/>
        </w:rPr>
        <w:t>才被接收。</w:t>
      </w:r>
    </w:p>
    <w:p>
      <w:pPr>
        <w:pStyle w:val="9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）递交</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地点：重庆和定招标代理有限责任公司（重庆市渝北区金昌路7号融创·竣爵堡23栋4号）。</w:t>
      </w:r>
    </w:p>
    <w:p>
      <w:pPr>
        <w:pStyle w:val="9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递交</w:t>
      </w:r>
      <w:r>
        <w:rPr>
          <w:rFonts w:hint="eastAsia" w:ascii="仿宋" w:hAnsi="仿宋" w:eastAsia="仿宋" w:cs="仿宋"/>
          <w:color w:val="auto"/>
          <w:sz w:val="24"/>
          <w:szCs w:val="24"/>
          <w:highlight w:val="none"/>
          <w:lang w:val="en-US" w:eastAsia="zh-CN"/>
        </w:rPr>
        <w:t>开始及</w:t>
      </w: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9月19日</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lang w:val="en-US" w:eastAsia="zh-CN"/>
        </w:rPr>
        <w:t xml:space="preserve">14:00—— 14:30        </w:t>
      </w:r>
    </w:p>
    <w:p>
      <w:pPr>
        <w:pStyle w:val="9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开始时间：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9月19日</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lang w:val="en-US" w:eastAsia="zh-CN"/>
        </w:rPr>
        <w:t xml:space="preserve">14:30    </w:t>
      </w:r>
    </w:p>
    <w:p>
      <w:pPr>
        <w:pStyle w:val="9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地点：重庆和定招标代理有限责任公司（重庆市渝北区金昌路7号融创·竣爵堡23栋4号）。</w:t>
      </w:r>
    </w:p>
    <w:p>
      <w:pPr>
        <w:pStyle w:val="5"/>
        <w:spacing w:before="0" w:after="0" w:line="360" w:lineRule="auto"/>
        <w:ind w:firstLine="481" w:firstLineChars="200"/>
        <w:rPr>
          <w:rFonts w:hint="eastAsia" w:ascii="仿宋" w:hAnsi="仿宋" w:eastAsia="仿宋" w:cs="仿宋"/>
          <w:color w:val="auto"/>
          <w:sz w:val="24"/>
          <w:szCs w:val="24"/>
          <w:highlight w:val="none"/>
        </w:rPr>
      </w:pPr>
      <w:bookmarkStart w:id="43" w:name="_Toc23887"/>
      <w:bookmarkStart w:id="44" w:name="_Toc487204775"/>
      <w:bookmarkStart w:id="45" w:name="_Toc11137"/>
      <w:bookmarkStart w:id="46" w:name="_Toc28700"/>
      <w:bookmarkStart w:id="47" w:name="_Toc9557"/>
      <w:bookmarkStart w:id="48" w:name="_Toc17660"/>
      <w:bookmarkStart w:id="49" w:name="_Toc965"/>
      <w:bookmarkStart w:id="50" w:name="_Toc9730"/>
      <w:r>
        <w:rPr>
          <w:rFonts w:hint="eastAsia" w:ascii="仿宋" w:hAnsi="仿宋" w:eastAsia="仿宋" w:cs="仿宋"/>
          <w:color w:val="auto"/>
          <w:sz w:val="24"/>
          <w:szCs w:val="24"/>
          <w:highlight w:val="none"/>
        </w:rPr>
        <w:t>五、</w:t>
      </w:r>
      <w:bookmarkEnd w:id="20"/>
      <w:bookmarkEnd w:id="42"/>
      <w:bookmarkEnd w:id="43"/>
      <w:bookmarkEnd w:id="44"/>
      <w:bookmarkStart w:id="51" w:name="_Toc487204776"/>
      <w:r>
        <w:rPr>
          <w:rFonts w:hint="eastAsia" w:ascii="仿宋" w:hAnsi="仿宋" w:eastAsia="仿宋" w:cs="仿宋"/>
          <w:color w:val="auto"/>
          <w:sz w:val="24"/>
          <w:szCs w:val="24"/>
          <w:highlight w:val="none"/>
        </w:rPr>
        <w:t>竞标有关规定</w:t>
      </w:r>
      <w:bookmarkEnd w:id="45"/>
      <w:bookmarkEnd w:id="46"/>
      <w:bookmarkEnd w:id="47"/>
      <w:bookmarkEnd w:id="48"/>
      <w:bookmarkEnd w:id="49"/>
      <w:bookmarkEnd w:id="50"/>
      <w:bookmarkEnd w:id="51"/>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w:t>
      </w:r>
      <w:r>
        <w:rPr>
          <w:rFonts w:hint="eastAsia" w:ascii="仿宋" w:hAnsi="仿宋" w:eastAsia="仿宋" w:cs="仿宋"/>
          <w:color w:val="auto"/>
          <w:sz w:val="24"/>
          <w:szCs w:val="24"/>
          <w:highlight w:val="none"/>
          <w:lang w:eastAsia="zh-CN"/>
        </w:rPr>
        <w:t>采购活动</w:t>
      </w:r>
      <w:r>
        <w:rPr>
          <w:rFonts w:hint="eastAsia" w:ascii="仿宋" w:hAnsi="仿宋" w:eastAsia="仿宋" w:cs="仿宋"/>
          <w:color w:val="auto"/>
          <w:sz w:val="24"/>
          <w:szCs w:val="24"/>
          <w:highlight w:val="none"/>
        </w:rPr>
        <w:t>。</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）本项目若有补遗文件一律以书面形式通知各供应商，请各供应商注意查收邮件或到采购代理机构领取；无论供应商下载或领取与否，均视同供应商已知晓本项目补遗文件的内容。</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（三）超过报价截止时间递交的</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，恕不接收。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采购费用</w:t>
      </w:r>
      <w:r>
        <w:rPr>
          <w:rFonts w:hint="eastAsia" w:ascii="仿宋" w:hAnsi="仿宋" w:eastAsia="仿宋" w:cs="仿宋"/>
          <w:color w:val="auto"/>
          <w:sz w:val="24"/>
          <w:szCs w:val="24"/>
          <w:highlight w:val="none"/>
        </w:rPr>
        <w:t>：无论</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结果如何，供应商参与本项目</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的所有费用均应由供应商自行承担。</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（五）本项目不接受联合体参与</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，不允许</w:t>
      </w:r>
      <w:r>
        <w:rPr>
          <w:rFonts w:hint="eastAsia" w:ascii="仿宋" w:hAnsi="仿宋" w:eastAsia="仿宋" w:cs="仿宋"/>
          <w:color w:val="auto"/>
          <w:sz w:val="24"/>
          <w:szCs w:val="24"/>
          <w:highlight w:val="none"/>
          <w:lang w:val="en-US" w:eastAsia="zh-CN"/>
        </w:rPr>
        <w:t>分包，否则为无效报价</w:t>
      </w:r>
      <w:r>
        <w:rPr>
          <w:rFonts w:hint="eastAsia" w:ascii="仿宋" w:hAnsi="仿宋" w:eastAsia="仿宋" w:cs="仿宋"/>
          <w:color w:val="auto"/>
          <w:sz w:val="24"/>
          <w:szCs w:val="24"/>
          <w:highlight w:val="none"/>
        </w:rPr>
        <w:t>。</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（六）本项目不允许</w:t>
      </w:r>
      <w:r>
        <w:rPr>
          <w:rFonts w:hint="eastAsia" w:ascii="仿宋" w:hAnsi="仿宋" w:eastAsia="仿宋" w:cs="仿宋"/>
          <w:color w:val="auto"/>
          <w:sz w:val="24"/>
          <w:szCs w:val="24"/>
          <w:highlight w:val="none"/>
          <w:lang w:val="en-US" w:eastAsia="zh-CN"/>
        </w:rPr>
        <w:t>转</w:t>
      </w:r>
      <w:r>
        <w:rPr>
          <w:rFonts w:hint="eastAsia" w:ascii="仿宋" w:hAnsi="仿宋" w:eastAsia="仿宋" w:cs="仿宋"/>
          <w:color w:val="auto"/>
          <w:sz w:val="24"/>
          <w:szCs w:val="24"/>
          <w:highlight w:val="none"/>
        </w:rPr>
        <w:t>包。</w:t>
      </w:r>
    </w:p>
    <w:p>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（七）</w:t>
      </w:r>
      <w:r>
        <w:rPr>
          <w:rFonts w:hint="eastAsia" w:ascii="仿宋" w:hAnsi="仿宋" w:eastAsia="仿宋" w:cs="仿宋"/>
          <w:color w:val="auto"/>
          <w:sz w:val="24"/>
          <w:szCs w:val="24"/>
          <w:highlight w:val="none"/>
          <w:lang w:eastAsia="zh-CN"/>
        </w:rPr>
        <w:t>询价通知书</w:t>
      </w:r>
      <w:r>
        <w:rPr>
          <w:rFonts w:hint="eastAsia" w:ascii="仿宋" w:hAnsi="仿宋" w:eastAsia="仿宋" w:cs="仿宋"/>
          <w:color w:val="auto"/>
          <w:sz w:val="24"/>
          <w:szCs w:val="24"/>
          <w:highlight w:val="none"/>
        </w:rPr>
        <w:t>的解释权归采购人所有。</w:t>
      </w:r>
    </w:p>
    <w:p>
      <w:pPr>
        <w:pStyle w:val="5"/>
        <w:spacing w:before="0" w:after="0" w:line="360" w:lineRule="auto"/>
        <w:ind w:firstLine="481" w:firstLineChars="200"/>
        <w:rPr>
          <w:rFonts w:hint="eastAsia" w:ascii="仿宋" w:hAnsi="仿宋" w:eastAsia="仿宋" w:cs="仿宋"/>
          <w:color w:val="auto"/>
          <w:sz w:val="24"/>
          <w:szCs w:val="24"/>
          <w:highlight w:val="none"/>
        </w:rPr>
      </w:pPr>
      <w:bookmarkStart w:id="52" w:name="_Toc27208"/>
      <w:bookmarkStart w:id="53" w:name="_Toc487204777"/>
      <w:bookmarkStart w:id="54" w:name="_Toc20675"/>
      <w:bookmarkStart w:id="55" w:name="_Toc7298"/>
      <w:bookmarkStart w:id="56" w:name="_Toc20783"/>
      <w:bookmarkStart w:id="57" w:name="_Toc21129"/>
      <w:bookmarkStart w:id="58" w:name="_Toc8729"/>
      <w:r>
        <w:rPr>
          <w:rFonts w:hint="eastAsia" w:ascii="仿宋" w:hAnsi="仿宋" w:eastAsia="仿宋" w:cs="仿宋"/>
          <w:color w:val="auto"/>
          <w:sz w:val="24"/>
          <w:szCs w:val="24"/>
          <w:highlight w:val="none"/>
        </w:rPr>
        <w:t>六、联系方式</w:t>
      </w:r>
      <w:bookmarkEnd w:id="52"/>
      <w:bookmarkEnd w:id="53"/>
      <w:bookmarkEnd w:id="54"/>
      <w:bookmarkEnd w:id="55"/>
      <w:bookmarkEnd w:id="56"/>
      <w:bookmarkEnd w:id="57"/>
      <w:bookmarkEnd w:id="58"/>
    </w:p>
    <w:p>
      <w:pPr>
        <w:snapToGrid w:val="0"/>
        <w:spacing w:line="360" w:lineRule="auto"/>
        <w:ind w:firstLine="480" w:firstLineChars="200"/>
        <w:rPr>
          <w:rFonts w:hint="eastAsia" w:ascii="仿宋" w:hAnsi="仿宋" w:eastAsia="仿宋" w:cs="仿宋"/>
          <w:color w:val="auto"/>
          <w:sz w:val="24"/>
          <w:szCs w:val="24"/>
          <w:highlight w:val="none"/>
          <w:lang w:eastAsia="zh-CN"/>
        </w:rPr>
      </w:pPr>
      <w:bookmarkStart w:id="59" w:name="_Toc10222731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重庆和定招标代理有限责任公司</w:t>
      </w:r>
    </w:p>
    <w:p>
      <w:pPr>
        <w:snapToGrid w:val="0"/>
        <w:spacing w:line="360" w:lineRule="auto"/>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郭女士</w:t>
      </w:r>
    </w:p>
    <w:p>
      <w:pPr>
        <w:snapToGrid w:val="0"/>
        <w:spacing w:line="360" w:lineRule="auto"/>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电  话：（023）</w:t>
      </w:r>
      <w:r>
        <w:rPr>
          <w:rFonts w:hint="eastAsia" w:ascii="仿宋" w:hAnsi="仿宋" w:eastAsia="仿宋" w:cs="仿宋"/>
          <w:color w:val="auto"/>
          <w:sz w:val="24"/>
          <w:szCs w:val="24"/>
          <w:highlight w:val="none"/>
          <w:lang w:val="en-US" w:eastAsia="zh-CN"/>
        </w:rPr>
        <w:t>86715346</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址：重庆市渝北区金昌路7号融创竣爵堡23栋4号</w:t>
      </w:r>
    </w:p>
    <w:p>
      <w:pPr>
        <w:snapToGrid w:val="0"/>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w:t>
      </w: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重庆市生态环境大数据应用中心</w:t>
      </w:r>
    </w:p>
    <w:p>
      <w:pPr>
        <w:snapToGrid w:val="0"/>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梁老师</w:t>
      </w:r>
    </w:p>
    <w:p>
      <w:pPr>
        <w:snapToGrid w:val="0"/>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电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话：（023）88521711</w:t>
      </w:r>
    </w:p>
    <w:p>
      <w:pPr>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地  址：重庆市渝北区礼环南路102号</w:t>
      </w:r>
    </w:p>
    <w:p>
      <w:pPr>
        <w:snapToGrid w:val="0"/>
        <w:spacing w:line="360" w:lineRule="auto"/>
        <w:ind w:firstLine="480" w:firstLineChars="200"/>
        <w:rPr>
          <w:rFonts w:hint="eastAsia" w:ascii="仿宋" w:hAnsi="仿宋" w:eastAsia="仿宋" w:cs="仿宋"/>
          <w:color w:val="auto"/>
          <w:sz w:val="24"/>
          <w:szCs w:val="24"/>
          <w:highlight w:val="none"/>
        </w:rPr>
        <w:sectPr>
          <w:pgSz w:w="11907" w:h="16840"/>
          <w:pgMar w:top="1440" w:right="1800" w:bottom="1440" w:left="1800" w:header="964" w:footer="992" w:gutter="0"/>
          <w:pgBorders>
            <w:top w:val="none" w:sz="0" w:space="0"/>
            <w:left w:val="none" w:sz="0" w:space="0"/>
            <w:bottom w:val="none" w:sz="0" w:space="0"/>
            <w:right w:val="none" w:sz="0" w:space="0"/>
          </w:pgBorders>
          <w:pgNumType w:fmt="numberInDash" w:start="1"/>
          <w:cols w:space="720" w:num="1"/>
          <w:docGrid w:linePitch="312" w:charSpace="0"/>
        </w:sectPr>
      </w:pPr>
    </w:p>
    <w:p>
      <w:pPr>
        <w:pStyle w:val="4"/>
        <w:spacing w:after="80" w:line="360" w:lineRule="auto"/>
        <w:jc w:val="center"/>
        <w:rPr>
          <w:rFonts w:hint="eastAsia" w:ascii="仿宋" w:hAnsi="仿宋" w:eastAsia="仿宋" w:cs="仿宋"/>
          <w:b w:val="0"/>
          <w:color w:val="auto"/>
          <w:szCs w:val="32"/>
          <w:highlight w:val="none"/>
        </w:rPr>
      </w:pPr>
      <w:r>
        <w:rPr>
          <w:rFonts w:hint="eastAsia" w:ascii="仿宋" w:hAnsi="仿宋" w:eastAsia="仿宋" w:cs="仿宋"/>
          <w:color w:val="auto"/>
          <w:highlight w:val="none"/>
        </w:rPr>
        <w:br w:type="page"/>
      </w:r>
      <w:bookmarkStart w:id="60" w:name="_Toc2790"/>
      <w:bookmarkStart w:id="61" w:name="_Toc12774"/>
      <w:bookmarkStart w:id="62" w:name="_Toc16261"/>
      <w:bookmarkStart w:id="63" w:name="_Toc9130"/>
      <w:bookmarkStart w:id="64" w:name="_Toc32544"/>
      <w:bookmarkStart w:id="65" w:name="_Toc4403"/>
      <w:bookmarkStart w:id="66" w:name="_Toc487204778"/>
      <w:r>
        <w:rPr>
          <w:rFonts w:hint="eastAsia" w:ascii="仿宋" w:hAnsi="仿宋" w:eastAsia="仿宋" w:cs="仿宋"/>
          <w:bCs/>
          <w:color w:val="auto"/>
          <w:szCs w:val="32"/>
          <w:highlight w:val="none"/>
        </w:rPr>
        <w:t>第二篇 供应商须知</w:t>
      </w:r>
      <w:bookmarkEnd w:id="59"/>
      <w:bookmarkEnd w:id="60"/>
      <w:bookmarkEnd w:id="61"/>
      <w:bookmarkEnd w:id="62"/>
      <w:bookmarkEnd w:id="63"/>
      <w:bookmarkEnd w:id="64"/>
      <w:bookmarkEnd w:id="65"/>
      <w:bookmarkEnd w:id="66"/>
    </w:p>
    <w:p>
      <w:pPr>
        <w:pStyle w:val="5"/>
        <w:spacing w:before="0" w:after="0" w:line="360" w:lineRule="auto"/>
        <w:ind w:firstLine="481" w:firstLineChars="200"/>
        <w:rPr>
          <w:rFonts w:hint="eastAsia" w:ascii="仿宋" w:hAnsi="仿宋" w:eastAsia="仿宋" w:cs="仿宋"/>
          <w:b/>
          <w:color w:val="auto"/>
          <w:sz w:val="24"/>
          <w:szCs w:val="24"/>
          <w:highlight w:val="none"/>
        </w:rPr>
      </w:pPr>
      <w:bookmarkStart w:id="67" w:name="_Toc27372"/>
      <w:bookmarkStart w:id="68" w:name="_Toc3727"/>
      <w:bookmarkStart w:id="69" w:name="_Toc10312"/>
      <w:bookmarkStart w:id="70" w:name="_Toc31882"/>
      <w:bookmarkStart w:id="71" w:name="_Toc28012"/>
      <w:bookmarkStart w:id="72" w:name="_Toc24547"/>
      <w:bookmarkStart w:id="73" w:name="_Toc23120"/>
      <w:bookmarkStart w:id="74" w:name="_Toc8044"/>
      <w:bookmarkStart w:id="75" w:name="_Toc318159349"/>
      <w:bookmarkStart w:id="76" w:name="_Toc318159160"/>
      <w:bookmarkStart w:id="77" w:name="_Toc318159780"/>
      <w:bookmarkStart w:id="78" w:name="_Toc318166429"/>
      <w:r>
        <w:rPr>
          <w:rFonts w:hint="eastAsia" w:ascii="仿宋" w:hAnsi="仿宋" w:eastAsia="仿宋" w:cs="仿宋"/>
          <w:b/>
          <w:color w:val="auto"/>
          <w:sz w:val="24"/>
          <w:szCs w:val="24"/>
          <w:highlight w:val="none"/>
        </w:rPr>
        <w:t>一、询价费用</w:t>
      </w:r>
      <w:bookmarkEnd w:id="67"/>
      <w:bookmarkEnd w:id="68"/>
      <w:bookmarkEnd w:id="69"/>
      <w:bookmarkEnd w:id="70"/>
      <w:bookmarkEnd w:id="71"/>
      <w:bookmarkEnd w:id="72"/>
      <w:bookmarkEnd w:id="73"/>
      <w:bookmarkEnd w:id="74"/>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参与询价的供应商应承担其编制报价文件与递交报价文件所涉及的一切费用，不论询价结果如何，采购人和采购代理机构在任何情况下无义务也无责任承担这些费用。</w:t>
      </w:r>
    </w:p>
    <w:p>
      <w:pPr>
        <w:pStyle w:val="5"/>
        <w:spacing w:before="0" w:after="0" w:line="360" w:lineRule="auto"/>
        <w:ind w:firstLine="481" w:firstLineChars="200"/>
        <w:rPr>
          <w:rFonts w:hint="eastAsia" w:ascii="仿宋" w:hAnsi="仿宋" w:eastAsia="仿宋" w:cs="仿宋"/>
          <w:b/>
          <w:color w:val="auto"/>
          <w:sz w:val="24"/>
          <w:szCs w:val="24"/>
          <w:highlight w:val="none"/>
        </w:rPr>
      </w:pPr>
      <w:bookmarkStart w:id="79" w:name="_Toc342913391"/>
      <w:bookmarkStart w:id="80" w:name="_Toc426965631"/>
      <w:bookmarkStart w:id="81" w:name="_Toc487204780"/>
      <w:bookmarkStart w:id="82" w:name="_Toc2039"/>
      <w:bookmarkStart w:id="83" w:name="_Toc27929"/>
      <w:bookmarkStart w:id="84" w:name="_Toc21675"/>
      <w:bookmarkStart w:id="85" w:name="_Toc560"/>
      <w:bookmarkStart w:id="86" w:name="_Toc21198"/>
      <w:bookmarkStart w:id="87" w:name="_Toc23404"/>
      <w:bookmarkStart w:id="88" w:name="_Toc5084"/>
      <w:bookmarkStart w:id="89" w:name="_Toc24141"/>
      <w:bookmarkStart w:id="90" w:name="_Toc22947"/>
      <w:r>
        <w:rPr>
          <w:rFonts w:hint="eastAsia" w:ascii="仿宋" w:hAnsi="仿宋" w:eastAsia="仿宋" w:cs="仿宋"/>
          <w:b/>
          <w:color w:val="auto"/>
          <w:sz w:val="24"/>
          <w:szCs w:val="24"/>
          <w:highlight w:val="none"/>
        </w:rPr>
        <w:t>二、</w:t>
      </w:r>
      <w:bookmarkEnd w:id="79"/>
      <w:bookmarkEnd w:id="80"/>
      <w:bookmarkEnd w:id="81"/>
      <w:r>
        <w:rPr>
          <w:rFonts w:hint="eastAsia" w:ascii="仿宋" w:hAnsi="仿宋" w:eastAsia="仿宋" w:cs="仿宋"/>
          <w:b/>
          <w:color w:val="auto"/>
          <w:sz w:val="24"/>
          <w:szCs w:val="24"/>
          <w:highlight w:val="none"/>
        </w:rPr>
        <w:t>询价通知书</w:t>
      </w:r>
      <w:bookmarkEnd w:id="82"/>
      <w:bookmarkEnd w:id="83"/>
      <w:bookmarkEnd w:id="84"/>
      <w:bookmarkEnd w:id="85"/>
      <w:bookmarkEnd w:id="86"/>
      <w:bookmarkEnd w:id="87"/>
      <w:bookmarkEnd w:id="88"/>
      <w:bookmarkEnd w:id="89"/>
      <w:bookmarkEnd w:id="90"/>
      <w:r>
        <w:rPr>
          <w:rFonts w:hint="eastAsia" w:ascii="仿宋" w:hAnsi="仿宋" w:eastAsia="仿宋" w:cs="仿宋"/>
          <w:b/>
          <w:color w:val="auto"/>
          <w:sz w:val="24"/>
          <w:szCs w:val="24"/>
          <w:highlight w:val="none"/>
        </w:rPr>
        <w:tab/>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（一）询价通知书由询价邀请书、供应商须知、询价项目服务需求、询价项目商务需求、合同、报价文件格式要求六部分组成。</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（二）采购人（或采购代理机构）所作的一切有效的书面通知、修改及补充，都是询价通知书不可分割的部分。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（三）询价通知书的解释</w:t>
      </w:r>
    </w:p>
    <w:p>
      <w:pPr>
        <w:spacing w:line="360" w:lineRule="auto"/>
        <w:ind w:firstLine="480" w:firstLineChars="200"/>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供应商如对询价通知书有疑问，必须以书面形式在报价文件递交截止时间2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p>
    <w:bookmarkEnd w:id="75"/>
    <w:bookmarkEnd w:id="76"/>
    <w:bookmarkEnd w:id="77"/>
    <w:bookmarkEnd w:id="78"/>
    <w:p>
      <w:pPr>
        <w:pStyle w:val="5"/>
        <w:spacing w:before="0" w:after="0" w:line="380" w:lineRule="exact"/>
        <w:ind w:firstLine="481" w:firstLineChars="200"/>
        <w:rPr>
          <w:rFonts w:hint="eastAsia" w:ascii="仿宋" w:hAnsi="仿宋" w:eastAsia="仿宋" w:cs="仿宋"/>
          <w:b/>
          <w:color w:val="auto"/>
          <w:kern w:val="0"/>
          <w:sz w:val="24"/>
          <w:szCs w:val="24"/>
          <w:highlight w:val="none"/>
          <w:lang w:val="en-US" w:eastAsia="zh-CN" w:bidi="ar-SA"/>
        </w:rPr>
      </w:pPr>
      <w:bookmarkStart w:id="91" w:name="_Toc7850"/>
      <w:bookmarkStart w:id="92" w:name="_Toc18135"/>
      <w:bookmarkStart w:id="93" w:name="_Toc10025"/>
      <w:bookmarkStart w:id="94" w:name="_Toc10321"/>
      <w:bookmarkStart w:id="95" w:name="_Toc179714297"/>
      <w:bookmarkStart w:id="96" w:name="_Toc102227318"/>
      <w:bookmarkStart w:id="97" w:name="_Toc487204781"/>
      <w:bookmarkStart w:id="98" w:name="_Toc2376"/>
      <w:bookmarkStart w:id="99" w:name="_Toc24859"/>
      <w:bookmarkStart w:id="100" w:name="_Toc9363"/>
      <w:bookmarkStart w:id="101" w:name="_Toc9848"/>
      <w:bookmarkStart w:id="102" w:name="_Toc426965632"/>
      <w:bookmarkStart w:id="103" w:name="_Toc28686"/>
      <w:bookmarkStart w:id="104" w:name="_Toc342913392"/>
      <w:r>
        <w:rPr>
          <w:rFonts w:hint="eastAsia" w:ascii="仿宋" w:hAnsi="仿宋" w:eastAsia="仿宋" w:cs="仿宋"/>
          <w:b/>
          <w:color w:val="auto"/>
          <w:kern w:val="0"/>
          <w:sz w:val="24"/>
          <w:szCs w:val="24"/>
          <w:highlight w:val="none"/>
          <w:lang w:val="en-US" w:eastAsia="zh-CN" w:bidi="ar-SA"/>
        </w:rPr>
        <w:t>三、询价要求</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（一）报价文件</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供应商应当按照询价通知书的要求编制报价文件，并对询价通知书提出的要求和条件作出实质性响应，报价文件原则上采用软面订本，同时应编制完整的页码、目录。</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1.报价文件组成</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文件由第六篇“报价文件格式要求”规定的部分和供应商所作的一切有效补充、修改和承诺等文件组成，供应商应按照第六篇“报价文件格式”规定的目录顺序组织编写和装订，也可在基本格式基础上对表格进行扩展，未规定格式的由供应商自定格式。</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报价文件包括：</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 经济部分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（1）报价函</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（2）分项报价明细表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 服务部分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（1）服务响应偏离表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 商务部分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（1）商务响应偏离表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（2）其它优惠承诺</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 资格条件及其他</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（1）法人营业执照（副本）或事业单位法人证书（副本）或个体工商户营业执照或有效的自然人身份证明或社会团体法人登记证书（提供复印件）</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（2）法定代表人身份证明书（格式）</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（3）法定代表人授权委托书（格式）</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（4）基本资格条件承诺函（格式）</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（5）特定资格条件证书或证明文件（如要求）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 其他应提供的资料</w:t>
      </w:r>
    </w:p>
    <w:p>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（1）其他与项目有关的资料（自附）：供应商总体情况介绍、其他与本项目有关的资料等</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2.联合体</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本项目不接受联合体报价。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3.询价有效期：报价文件及有关承诺文件有效期为询价开始时间起90天。</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（三）报价要求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1.本项目为人民币报价，供应商须一次报出不得更改的价格，总报价不得超出最高限价，否则将被视为无效报价。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报价包含：服务费、人工费、差旅费、交通费、劳务报酬（含加班费、社保缴费等费用）、数据处理及成果制作、文本及材料印制费等完成本项目所有工作内容的费用。因成交供应商自身原因造成漏报、少报皆由其自行承担责任，采购人不再补偿</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（四）修正错误</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中报价函内容与</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中相应内容不一致的，以报价函为准；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2.大写金额和小写金额不一致的，以大写金额为准，大写金额明显错误的除外；</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3.单价金额小数点或者百分比有明显错位的，以报价函的总价为准，并修改单价；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按上述修正错误的原则及方法修正供应商的报价，修正后的报价对供应商具有约束作用。如果供应商不接受修正后的价格，将</w:t>
      </w:r>
      <w:r>
        <w:rPr>
          <w:rFonts w:hint="eastAsia" w:ascii="仿宋" w:hAnsi="仿宋" w:eastAsia="仿宋" w:cs="仿宋"/>
          <w:color w:val="auto"/>
          <w:sz w:val="24"/>
          <w:szCs w:val="24"/>
          <w:highlight w:val="none"/>
          <w:lang w:val="en-US" w:eastAsia="zh-CN"/>
        </w:rPr>
        <w:t>视为无效报价</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（五）提交</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的份数和签署</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正本中，询价通知书第六篇</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格式中规定签字、盖章的地方必须按其规定签字、盖章。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若供应商对</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的错处作必要修改，则应在修改处加盖供应商公章或由法定代表人或法定代表人授权代表签字确认。</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电报、电话、传真形式的</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概不接受。</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的递交</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的密封与标记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的正本、副本、电子文档载体均采用信封分别密封。信封上注明项目名称、供应商名称、“正本”、“副本”、“电子文档”字样。信封的封口应加盖供应商公章或法定代表人授权代表签字。</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投递截止时间：参阅询价邀请书。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语言：简体中文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（八）供应商参与人员</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各个供应商可派1-2名代表参与询价，至少1人应为法定代表人或具有法定代表人授权委托书的授权代表。</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）无效</w:t>
      </w:r>
      <w:r>
        <w:rPr>
          <w:rFonts w:hint="eastAsia" w:ascii="仿宋" w:hAnsi="仿宋" w:eastAsia="仿宋" w:cs="仿宋"/>
          <w:color w:val="auto"/>
          <w:sz w:val="24"/>
          <w:szCs w:val="24"/>
          <w:highlight w:val="none"/>
          <w:lang w:eastAsia="zh-CN"/>
        </w:rPr>
        <w:t>报价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，其</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将被拒绝：</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供应商未通过资格性</w:t>
      </w:r>
      <w:r>
        <w:rPr>
          <w:rFonts w:hint="eastAsia" w:ascii="仿宋" w:hAnsi="仿宋" w:eastAsia="仿宋" w:cs="仿宋"/>
          <w:color w:val="auto"/>
          <w:sz w:val="24"/>
          <w:szCs w:val="24"/>
          <w:highlight w:val="none"/>
          <w:lang w:val="en-US" w:eastAsia="zh-CN"/>
        </w:rPr>
        <w:t>审查</w:t>
      </w:r>
      <w:r>
        <w:rPr>
          <w:rFonts w:hint="eastAsia" w:ascii="仿宋" w:hAnsi="仿宋" w:eastAsia="仿宋" w:cs="仿宋"/>
          <w:color w:val="auto"/>
          <w:sz w:val="24"/>
          <w:szCs w:val="24"/>
          <w:highlight w:val="none"/>
        </w:rPr>
        <w:t>、有效性和响应程度审查</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未按照</w:t>
      </w:r>
      <w:r>
        <w:rPr>
          <w:rFonts w:hint="eastAsia" w:ascii="仿宋" w:hAnsi="仿宋" w:eastAsia="仿宋" w:cs="仿宋"/>
          <w:color w:val="auto"/>
          <w:sz w:val="24"/>
          <w:szCs w:val="24"/>
          <w:highlight w:val="none"/>
          <w:lang w:val="en-US" w:eastAsia="zh-CN"/>
        </w:rPr>
        <w:t>询价通知书</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篇</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格式中所规定签名、盖章的；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出现多个</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方案或</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报价的；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4.响应</w:t>
      </w:r>
      <w:r>
        <w:rPr>
          <w:rFonts w:hint="eastAsia" w:ascii="仿宋" w:hAnsi="仿宋" w:eastAsia="仿宋" w:cs="仿宋"/>
          <w:color w:val="auto"/>
          <w:sz w:val="24"/>
          <w:szCs w:val="24"/>
          <w:highlight w:val="none"/>
        </w:rPr>
        <w:t>报价超出</w:t>
      </w:r>
      <w:r>
        <w:rPr>
          <w:rFonts w:hint="eastAsia" w:ascii="仿宋" w:hAnsi="仿宋" w:eastAsia="仿宋" w:cs="仿宋"/>
          <w:color w:val="auto"/>
          <w:sz w:val="24"/>
          <w:szCs w:val="24"/>
          <w:highlight w:val="none"/>
          <w:lang w:val="en-US" w:eastAsia="zh-CN"/>
        </w:rPr>
        <w:t>询价通知书</w:t>
      </w:r>
      <w:r>
        <w:rPr>
          <w:rFonts w:hint="eastAsia" w:ascii="仿宋" w:hAnsi="仿宋" w:eastAsia="仿宋" w:cs="仿宋"/>
          <w:color w:val="auto"/>
          <w:sz w:val="24"/>
          <w:szCs w:val="24"/>
          <w:highlight w:val="none"/>
        </w:rPr>
        <w:t>规定的采购预算或最高限价的；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含有违反国家法律、法规的内容，或附有采购人不能接受的条件的；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有一条及以上不能满足询价通知书“第三篇 询价项目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需求”的；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有一条及以上不能满足询价通知书“第四篇 询价项目</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需求”的；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.单位负责人为同一人或者存在直接控股、管理关系的不同供应商，同时参加同一合同项下的</w:t>
      </w:r>
      <w:r>
        <w:rPr>
          <w:rFonts w:hint="eastAsia" w:ascii="仿宋" w:hAnsi="仿宋" w:eastAsia="仿宋" w:cs="仿宋"/>
          <w:color w:val="auto"/>
          <w:sz w:val="24"/>
          <w:szCs w:val="24"/>
          <w:highlight w:val="none"/>
          <w:lang w:eastAsia="zh-CN"/>
        </w:rPr>
        <w:t>采购活动</w:t>
      </w:r>
      <w:r>
        <w:rPr>
          <w:rFonts w:hint="eastAsia" w:ascii="仿宋" w:hAnsi="仿宋" w:eastAsia="仿宋" w:cs="仿宋"/>
          <w:color w:val="auto"/>
          <w:sz w:val="24"/>
          <w:szCs w:val="24"/>
          <w:highlight w:val="none"/>
        </w:rPr>
        <w:t>的；</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为采购项目提供整体设计、规范编制或者项目管理、监理、检测等服务的供应商再参加该采购项目的其他采购活动的</w:t>
      </w:r>
      <w:r>
        <w:rPr>
          <w:rFonts w:hint="eastAsia" w:ascii="仿宋" w:hAnsi="仿宋" w:eastAsia="仿宋" w:cs="仿宋"/>
          <w:color w:val="auto"/>
          <w:sz w:val="24"/>
          <w:szCs w:val="24"/>
          <w:highlight w:val="none"/>
          <w:lang w:eastAsia="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询价通知书规定的其他无效</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情形。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采购终止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出现下列情形之一的，采购人或者采购代理机构应当终止询价采购活动，发布项目终止公告并说明原因，重新开展采购活动：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因情况变化，不再符合规定的询价采购方式适用情形的；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出现影响采购公正的违法、违规行为的；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在采购过程中符合竞争要求的供应商或者报价未超过采购预算的供应商不足3家的。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十一</w:t>
      </w:r>
      <w:r>
        <w:rPr>
          <w:rFonts w:hint="eastAsia" w:ascii="仿宋" w:hAnsi="仿宋" w:eastAsia="仿宋" w:cs="仿宋"/>
          <w:color w:val="auto"/>
          <w:sz w:val="24"/>
          <w:szCs w:val="24"/>
          <w:highlight w:val="none"/>
        </w:rPr>
        <w:t>）采购代理服务费</w:t>
      </w:r>
    </w:p>
    <w:p>
      <w:pPr>
        <w:pStyle w:val="2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1.成交供应商</w:t>
      </w:r>
      <w:r>
        <w:rPr>
          <w:rFonts w:hint="eastAsia" w:ascii="仿宋" w:hAnsi="仿宋" w:eastAsia="仿宋" w:cs="仿宋"/>
          <w:color w:val="auto"/>
          <w:sz w:val="24"/>
          <w:szCs w:val="24"/>
          <w:highlight w:val="none"/>
          <w:lang w:val="en-US" w:eastAsia="zh-CN"/>
        </w:rPr>
        <w:t>在领取成交通知书的同时</w:t>
      </w:r>
      <w:r>
        <w:rPr>
          <w:rFonts w:hint="eastAsia" w:ascii="仿宋" w:hAnsi="仿宋" w:eastAsia="仿宋" w:cs="仿宋"/>
          <w:color w:val="auto"/>
          <w:sz w:val="24"/>
          <w:highlight w:val="none"/>
        </w:rPr>
        <w:t>向采购代理机构缴纳</w:t>
      </w:r>
      <w:r>
        <w:rPr>
          <w:rFonts w:hint="eastAsia" w:ascii="仿宋" w:hAnsi="仿宋" w:eastAsia="仿宋" w:cs="仿宋"/>
          <w:color w:val="auto"/>
          <w:sz w:val="24"/>
          <w:highlight w:val="none"/>
          <w:lang w:val="en-US" w:eastAsia="zh-CN"/>
        </w:rPr>
        <w:t>6460元采购</w:t>
      </w:r>
      <w:r>
        <w:rPr>
          <w:rFonts w:hint="eastAsia" w:ascii="仿宋" w:hAnsi="仿宋" w:eastAsia="仿宋" w:cs="仿宋"/>
          <w:color w:val="auto"/>
          <w:sz w:val="24"/>
          <w:highlight w:val="none"/>
        </w:rPr>
        <w:t>代理服务费。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2.采购代理服务费缴纳账号：</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  名：重庆和定招标代理有限责任公司沙坪坝区分公司</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lang w:eastAsia="zh-CN"/>
        </w:rPr>
        <w:t>中国银行股份有限公司石子山支行</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lang w:eastAsia="zh-CN"/>
        </w:rPr>
        <w:t>1130 9331 4323</w:t>
      </w:r>
    </w:p>
    <w:p>
      <w:pPr>
        <w:pStyle w:val="5"/>
        <w:spacing w:before="0" w:after="0" w:line="360" w:lineRule="auto"/>
        <w:ind w:firstLine="481" w:firstLineChars="200"/>
        <w:rPr>
          <w:rFonts w:hint="eastAsia" w:ascii="仿宋" w:hAnsi="仿宋" w:eastAsia="仿宋" w:cs="仿宋"/>
          <w:color w:val="auto"/>
          <w:sz w:val="24"/>
          <w:szCs w:val="24"/>
          <w:highlight w:val="none"/>
        </w:rPr>
      </w:pPr>
      <w:bookmarkStart w:id="105" w:name="_Toc487204782"/>
      <w:bookmarkStart w:id="106" w:name="_Toc179714298"/>
      <w:bookmarkStart w:id="107" w:name="_Toc426965633"/>
      <w:bookmarkStart w:id="108" w:name="_Toc102227319"/>
      <w:bookmarkStart w:id="109" w:name="_Toc342913393"/>
      <w:bookmarkStart w:id="110" w:name="_Toc23702"/>
      <w:bookmarkStart w:id="111" w:name="_Toc12707"/>
      <w:bookmarkStart w:id="112" w:name="_Toc5672"/>
      <w:bookmarkStart w:id="113" w:name="_Toc28598"/>
      <w:bookmarkStart w:id="114" w:name="_Toc6634"/>
      <w:bookmarkStart w:id="115" w:name="_Toc3363"/>
      <w:bookmarkStart w:id="116" w:name="_Toc11370"/>
      <w:bookmarkStart w:id="117" w:name="_Toc4424"/>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w:t>
      </w:r>
      <w:bookmarkEnd w:id="105"/>
      <w:bookmarkEnd w:id="106"/>
      <w:bookmarkEnd w:id="107"/>
      <w:bookmarkEnd w:id="108"/>
      <w:bookmarkEnd w:id="109"/>
      <w:r>
        <w:rPr>
          <w:rFonts w:hint="eastAsia" w:ascii="仿宋" w:hAnsi="仿宋" w:eastAsia="仿宋" w:cs="仿宋"/>
          <w:color w:val="auto"/>
          <w:sz w:val="24"/>
          <w:szCs w:val="24"/>
          <w:highlight w:val="none"/>
        </w:rPr>
        <w:t>询价程序及成交标准</w:t>
      </w:r>
      <w:bookmarkEnd w:id="110"/>
      <w:bookmarkEnd w:id="111"/>
      <w:bookmarkEnd w:id="112"/>
      <w:bookmarkEnd w:id="113"/>
      <w:bookmarkEnd w:id="114"/>
      <w:bookmarkEnd w:id="115"/>
      <w:bookmarkEnd w:id="116"/>
      <w:bookmarkEnd w:id="117"/>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（一）资格性、有效性和</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程度审查</w:t>
      </w:r>
    </w:p>
    <w:p>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1.资格性审查。依据法律法规和询价通知书的规定，对</w:t>
      </w:r>
      <w:r>
        <w:rPr>
          <w:rFonts w:hint="eastAsia" w:ascii="仿宋" w:hAnsi="仿宋" w:eastAsia="仿宋" w:cs="仿宋"/>
          <w:color w:val="auto"/>
          <w:kern w:val="0"/>
          <w:sz w:val="24"/>
          <w:szCs w:val="24"/>
          <w:highlight w:val="none"/>
          <w:lang w:eastAsia="zh-CN"/>
        </w:rPr>
        <w:t>报价文件</w:t>
      </w:r>
      <w:r>
        <w:rPr>
          <w:rFonts w:hint="eastAsia" w:ascii="仿宋" w:hAnsi="仿宋" w:eastAsia="仿宋" w:cs="仿宋"/>
          <w:color w:val="auto"/>
          <w:kern w:val="0"/>
          <w:sz w:val="24"/>
          <w:szCs w:val="24"/>
          <w:highlight w:val="none"/>
        </w:rPr>
        <w:t>中的资格证明文件等进行审查。资格性审查资料表如下：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noWrap w:val="0"/>
            <w:vAlign w:val="center"/>
          </w:tcPr>
          <w:p>
            <w:pPr>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5102" w:type="dxa"/>
            <w:gridSpan w:val="2"/>
            <w:noWrap w:val="0"/>
            <w:vAlign w:val="center"/>
          </w:tcPr>
          <w:p>
            <w:pPr>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检查因素</w:t>
            </w:r>
          </w:p>
        </w:tc>
        <w:tc>
          <w:tcPr>
            <w:tcW w:w="3850" w:type="dxa"/>
            <w:noWrap w:val="0"/>
            <w:vAlign w:val="center"/>
          </w:tcPr>
          <w:p>
            <w:pPr>
              <w:spacing w:line="360" w:lineRule="auto"/>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09" w:type="dxa"/>
            <w:vMerge w:val="restart"/>
            <w:noWrap w:val="0"/>
            <w:vAlign w:val="center"/>
          </w:tcPr>
          <w:p>
            <w:pPr>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本项目的基本资格要求</w:t>
            </w:r>
          </w:p>
        </w:tc>
        <w:tc>
          <w:tcPr>
            <w:tcW w:w="4393" w:type="dxa"/>
            <w:noWrap w:val="0"/>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tc>
        <w:tc>
          <w:tcPr>
            <w:tcW w:w="3850" w:type="dxa"/>
            <w:noWrap w:val="0"/>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供应商法人营业执照（副本）或事业单位法人证书（副本）或个体工商户营业执照或有效的自然人身份证明或社会团体法人登记证书复印件； </w:t>
            </w:r>
          </w:p>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709" w:type="dxa"/>
            <w:vMerge w:val="continue"/>
            <w:noWrap w:val="0"/>
            <w:vAlign w:val="center"/>
          </w:tcPr>
          <w:p>
            <w:pPr>
              <w:spacing w:line="360" w:lineRule="auto"/>
              <w:rPr>
                <w:rFonts w:hint="eastAsia" w:ascii="仿宋" w:hAnsi="仿宋" w:eastAsia="仿宋" w:cs="仿宋"/>
                <w:color w:val="auto"/>
                <w:sz w:val="21"/>
                <w:szCs w:val="21"/>
                <w:highlight w:val="none"/>
                <w:lang w:val="zh-CN"/>
              </w:rPr>
            </w:pPr>
          </w:p>
        </w:tc>
        <w:tc>
          <w:tcPr>
            <w:tcW w:w="4393" w:type="dxa"/>
            <w:noWrap w:val="0"/>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（2）具有良好的商业信誉和健全的财务会计制度</w:t>
            </w:r>
          </w:p>
        </w:tc>
        <w:tc>
          <w:tcPr>
            <w:tcW w:w="3850" w:type="dxa"/>
            <w:vMerge w:val="restart"/>
            <w:noWrap w:val="0"/>
            <w:vAlign w:val="center"/>
          </w:tcPr>
          <w:p>
            <w:pPr>
              <w:spacing w:line="380" w:lineRule="exact"/>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709" w:type="dxa"/>
            <w:vMerge w:val="continue"/>
            <w:noWrap w:val="0"/>
            <w:vAlign w:val="center"/>
          </w:tcPr>
          <w:p>
            <w:pPr>
              <w:spacing w:line="360" w:lineRule="auto"/>
              <w:rPr>
                <w:rFonts w:hint="eastAsia" w:ascii="仿宋" w:hAnsi="仿宋" w:eastAsia="仿宋" w:cs="仿宋"/>
                <w:color w:val="auto"/>
                <w:sz w:val="21"/>
                <w:szCs w:val="21"/>
                <w:highlight w:val="none"/>
                <w:lang w:val="zh-CN"/>
              </w:rPr>
            </w:pPr>
          </w:p>
        </w:tc>
        <w:tc>
          <w:tcPr>
            <w:tcW w:w="4393" w:type="dxa"/>
            <w:noWrap w:val="0"/>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（3）具有履行合同所必需的设备和专业技术能力</w:t>
            </w:r>
          </w:p>
        </w:tc>
        <w:tc>
          <w:tcPr>
            <w:tcW w:w="3850" w:type="dxa"/>
            <w:vMerge w:val="continue"/>
            <w:noWrap w:val="0"/>
            <w:vAlign w:val="center"/>
          </w:tcPr>
          <w:p>
            <w:pPr>
              <w:spacing w:line="380" w:lineRule="exact"/>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709" w:type="dxa"/>
            <w:vMerge w:val="continue"/>
            <w:noWrap w:val="0"/>
            <w:vAlign w:val="center"/>
          </w:tcPr>
          <w:p>
            <w:pPr>
              <w:spacing w:line="360" w:lineRule="auto"/>
              <w:rPr>
                <w:rFonts w:hint="eastAsia" w:ascii="仿宋" w:hAnsi="仿宋" w:eastAsia="仿宋" w:cs="仿宋"/>
                <w:color w:val="auto"/>
                <w:sz w:val="21"/>
                <w:szCs w:val="21"/>
                <w:highlight w:val="none"/>
                <w:lang w:val="zh-CN"/>
              </w:rPr>
            </w:pPr>
          </w:p>
        </w:tc>
        <w:tc>
          <w:tcPr>
            <w:tcW w:w="4393" w:type="dxa"/>
            <w:noWrap w:val="0"/>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（4）有依法缴纳税收和社会保障</w:t>
            </w:r>
            <w:r>
              <w:rPr>
                <w:rFonts w:hint="eastAsia" w:ascii="仿宋" w:hAnsi="仿宋" w:eastAsia="仿宋" w:cs="仿宋"/>
                <w:color w:val="auto"/>
                <w:sz w:val="21"/>
                <w:szCs w:val="21"/>
                <w:highlight w:val="none"/>
              </w:rPr>
              <w:t>资</w:t>
            </w:r>
            <w:r>
              <w:rPr>
                <w:rFonts w:hint="eastAsia" w:ascii="仿宋" w:hAnsi="仿宋" w:eastAsia="仿宋" w:cs="仿宋"/>
                <w:color w:val="auto"/>
                <w:sz w:val="21"/>
                <w:szCs w:val="21"/>
                <w:highlight w:val="none"/>
                <w:lang w:val="zh-CN"/>
              </w:rPr>
              <w:t>金的良好记录</w:t>
            </w:r>
          </w:p>
        </w:tc>
        <w:tc>
          <w:tcPr>
            <w:tcW w:w="3850" w:type="dxa"/>
            <w:vMerge w:val="continue"/>
            <w:noWrap w:val="0"/>
            <w:vAlign w:val="center"/>
          </w:tcPr>
          <w:p>
            <w:pPr>
              <w:spacing w:line="380" w:lineRule="exact"/>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7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709" w:type="dxa"/>
            <w:vMerge w:val="continue"/>
            <w:noWrap w:val="0"/>
            <w:vAlign w:val="center"/>
          </w:tcPr>
          <w:p>
            <w:pPr>
              <w:spacing w:line="360" w:lineRule="auto"/>
              <w:rPr>
                <w:rFonts w:hint="eastAsia" w:ascii="仿宋" w:hAnsi="仿宋" w:eastAsia="仿宋" w:cs="仿宋"/>
                <w:color w:val="auto"/>
                <w:sz w:val="21"/>
                <w:szCs w:val="21"/>
                <w:highlight w:val="none"/>
                <w:lang w:val="zh-CN"/>
              </w:rPr>
            </w:pPr>
          </w:p>
        </w:tc>
        <w:tc>
          <w:tcPr>
            <w:tcW w:w="4393" w:type="dxa"/>
            <w:noWrap w:val="0"/>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（5）参加采购活动前三年内，在经营活动中没有重大违法记录</w:t>
            </w:r>
          </w:p>
        </w:tc>
        <w:tc>
          <w:tcPr>
            <w:tcW w:w="3850" w:type="dxa"/>
            <w:vMerge w:val="continue"/>
            <w:noWrap w:val="0"/>
            <w:vAlign w:val="center"/>
          </w:tcPr>
          <w:p>
            <w:pPr>
              <w:spacing w:line="380" w:lineRule="exact"/>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76" w:type="dxa"/>
            <w:vMerge w:val="continue"/>
            <w:noWrap w:val="0"/>
            <w:vAlign w:val="center"/>
          </w:tcPr>
          <w:p>
            <w:pPr>
              <w:spacing w:line="360" w:lineRule="auto"/>
              <w:jc w:val="center"/>
              <w:rPr>
                <w:rFonts w:hint="eastAsia" w:ascii="仿宋" w:hAnsi="仿宋" w:eastAsia="仿宋" w:cs="仿宋"/>
                <w:color w:val="auto"/>
                <w:sz w:val="21"/>
                <w:szCs w:val="21"/>
                <w:highlight w:val="none"/>
              </w:rPr>
            </w:pPr>
          </w:p>
        </w:tc>
        <w:tc>
          <w:tcPr>
            <w:tcW w:w="709" w:type="dxa"/>
            <w:vMerge w:val="continue"/>
            <w:noWrap w:val="0"/>
            <w:vAlign w:val="center"/>
          </w:tcPr>
          <w:p>
            <w:pPr>
              <w:spacing w:line="360" w:lineRule="auto"/>
              <w:rPr>
                <w:rFonts w:hint="eastAsia" w:ascii="仿宋" w:hAnsi="仿宋" w:eastAsia="仿宋" w:cs="仿宋"/>
                <w:color w:val="auto"/>
                <w:sz w:val="21"/>
                <w:szCs w:val="21"/>
                <w:highlight w:val="none"/>
                <w:lang w:val="zh-CN"/>
              </w:rPr>
            </w:pPr>
          </w:p>
        </w:tc>
        <w:tc>
          <w:tcPr>
            <w:tcW w:w="4393" w:type="dxa"/>
            <w:noWrap w:val="0"/>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zh-CN"/>
              </w:rPr>
              <w:t>）法律、行政法规规定的其他条件</w:t>
            </w:r>
          </w:p>
        </w:tc>
        <w:tc>
          <w:tcPr>
            <w:tcW w:w="3850" w:type="dxa"/>
            <w:vMerge w:val="continue"/>
            <w:noWrap w:val="0"/>
            <w:vAlign w:val="center"/>
          </w:tcPr>
          <w:p>
            <w:pPr>
              <w:spacing w:line="380" w:lineRule="exact"/>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76" w:type="dxa"/>
            <w:noWrap w:val="0"/>
            <w:vAlign w:val="center"/>
          </w:tcPr>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5102" w:type="dxa"/>
            <w:gridSpan w:val="2"/>
            <w:noWrap w:val="0"/>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本项目的特定资格要求</w:t>
            </w:r>
          </w:p>
        </w:tc>
        <w:tc>
          <w:tcPr>
            <w:tcW w:w="3850" w:type="dxa"/>
            <w:noWrap w:val="0"/>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按照第一篇“三、供应商资格</w:t>
            </w:r>
            <w:r>
              <w:rPr>
                <w:rFonts w:hint="eastAsia" w:ascii="仿宋" w:hAnsi="仿宋" w:eastAsia="仿宋" w:cs="仿宋"/>
                <w:color w:val="auto"/>
                <w:sz w:val="21"/>
                <w:szCs w:val="21"/>
                <w:highlight w:val="none"/>
              </w:rPr>
              <w:t>要求</w:t>
            </w:r>
            <w:r>
              <w:rPr>
                <w:rFonts w:hint="eastAsia" w:ascii="仿宋" w:hAnsi="仿宋" w:eastAsia="仿宋" w:cs="仿宋"/>
                <w:color w:val="auto"/>
                <w:sz w:val="21"/>
                <w:szCs w:val="21"/>
                <w:highlight w:val="none"/>
                <w:lang w:val="zh-CN"/>
              </w:rPr>
              <w:t>（三）本项目的特定资格要求”的要求提交。（</w:t>
            </w:r>
            <w:r>
              <w:rPr>
                <w:rFonts w:hint="eastAsia" w:ascii="仿宋" w:hAnsi="仿宋" w:eastAsia="仿宋" w:cs="仿宋"/>
                <w:color w:val="auto"/>
                <w:sz w:val="21"/>
                <w:szCs w:val="21"/>
                <w:highlight w:val="none"/>
              </w:rPr>
              <w:t>如有要求</w:t>
            </w:r>
            <w:r>
              <w:rPr>
                <w:rFonts w:hint="eastAsia" w:ascii="仿宋" w:hAnsi="仿宋" w:eastAsia="仿宋" w:cs="仿宋"/>
                <w:color w:val="auto"/>
                <w:sz w:val="21"/>
                <w:szCs w:val="21"/>
                <w:highlight w:val="none"/>
                <w:lang w:val="zh-CN"/>
              </w:rPr>
              <w:t>）</w:t>
            </w:r>
          </w:p>
        </w:tc>
      </w:tr>
    </w:tbl>
    <w:p>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2.有效性和</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程度审查。依据询价通知书的规定，从</w:t>
      </w:r>
      <w:r>
        <w:rPr>
          <w:rFonts w:hint="eastAsia" w:ascii="仿宋" w:hAnsi="仿宋" w:eastAsia="仿宋" w:cs="仿宋"/>
          <w:color w:val="auto"/>
          <w:kern w:val="0"/>
          <w:sz w:val="24"/>
          <w:szCs w:val="24"/>
          <w:highlight w:val="none"/>
          <w:lang w:eastAsia="zh-CN"/>
        </w:rPr>
        <w:t>报价文件</w:t>
      </w:r>
      <w:r>
        <w:rPr>
          <w:rFonts w:hint="eastAsia" w:ascii="仿宋" w:hAnsi="仿宋" w:eastAsia="仿宋" w:cs="仿宋"/>
          <w:color w:val="auto"/>
          <w:kern w:val="0"/>
          <w:sz w:val="24"/>
          <w:szCs w:val="24"/>
          <w:highlight w:val="none"/>
        </w:rPr>
        <w:t>的有效性和</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程度对</w:t>
      </w:r>
      <w:r>
        <w:rPr>
          <w:rFonts w:hint="eastAsia" w:ascii="仿宋" w:hAnsi="仿宋" w:eastAsia="仿宋" w:cs="仿宋"/>
          <w:color w:val="auto"/>
          <w:kern w:val="0"/>
          <w:sz w:val="24"/>
          <w:szCs w:val="24"/>
          <w:highlight w:val="none"/>
          <w:lang w:eastAsia="zh-CN"/>
        </w:rPr>
        <w:t>报价文件</w:t>
      </w:r>
      <w:r>
        <w:rPr>
          <w:rFonts w:hint="eastAsia" w:ascii="仿宋" w:hAnsi="仿宋" w:eastAsia="仿宋" w:cs="仿宋"/>
          <w:color w:val="auto"/>
          <w:kern w:val="0"/>
          <w:sz w:val="24"/>
          <w:szCs w:val="24"/>
          <w:highlight w:val="none"/>
        </w:rPr>
        <w:t>进行审查，以确定是否对询价通知书的实质性要求作出</w:t>
      </w:r>
      <w:r>
        <w:rPr>
          <w:rFonts w:hint="eastAsia" w:ascii="仿宋" w:hAnsi="仿宋" w:eastAsia="仿宋" w:cs="仿宋"/>
          <w:color w:val="auto"/>
          <w:kern w:val="0"/>
          <w:sz w:val="24"/>
          <w:szCs w:val="24"/>
          <w:highlight w:val="none"/>
          <w:lang w:eastAsia="zh-CN"/>
        </w:rPr>
        <w:t>报价</w:t>
      </w:r>
      <w:r>
        <w:rPr>
          <w:rFonts w:hint="eastAsia" w:ascii="仿宋" w:hAnsi="仿宋" w:eastAsia="仿宋" w:cs="仿宋"/>
          <w:color w:val="auto"/>
          <w:kern w:val="0"/>
          <w:sz w:val="24"/>
          <w:szCs w:val="24"/>
          <w:highlight w:val="none"/>
        </w:rPr>
        <w:t>。有效性和</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程度审查资料表如下：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有效性审查</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报价文件</w:t>
            </w:r>
            <w:r>
              <w:rPr>
                <w:rFonts w:hint="eastAsia" w:ascii="仿宋" w:hAnsi="仿宋" w:eastAsia="仿宋" w:cs="仿宋"/>
                <w:color w:val="auto"/>
                <w:sz w:val="21"/>
                <w:szCs w:val="21"/>
                <w:highlight w:val="none"/>
              </w:rPr>
              <w:t>签署或盖章</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报价文件</w:t>
            </w:r>
            <w:r>
              <w:rPr>
                <w:rFonts w:hint="eastAsia" w:ascii="仿宋" w:hAnsi="仿宋" w:eastAsia="仿宋" w:cs="仿宋"/>
                <w:color w:val="auto"/>
                <w:sz w:val="21"/>
                <w:szCs w:val="21"/>
                <w:highlight w:val="none"/>
              </w:rPr>
              <w:t>上法定代表人（或其授权代表）或自然人（供应商为自然人）的签署或盖章齐全。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kern w:val="0"/>
                <w:sz w:val="24"/>
                <w:szCs w:val="24"/>
                <w:highlight w:val="none"/>
              </w:rPr>
            </w:pPr>
          </w:p>
        </w:tc>
        <w:tc>
          <w:tcPr>
            <w:tcW w:w="1560" w:type="dxa"/>
            <w:vMerge w:val="continue"/>
            <w:tcBorders>
              <w:left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法定代表人身份证明及授权委托书有效，符合</w:t>
            </w:r>
            <w:r>
              <w:rPr>
                <w:rFonts w:hint="eastAsia" w:ascii="仿宋" w:hAnsi="仿宋" w:eastAsia="仿宋" w:cs="仿宋"/>
                <w:color w:val="auto"/>
                <w:sz w:val="21"/>
                <w:szCs w:val="21"/>
                <w:highlight w:val="none"/>
                <w:lang w:eastAsia="zh-CN"/>
              </w:rPr>
              <w:t>询价通知书</w:t>
            </w:r>
            <w:r>
              <w:rPr>
                <w:rFonts w:hint="eastAsia" w:ascii="仿宋" w:hAnsi="仿宋" w:eastAsia="仿宋" w:cs="仿宋"/>
                <w:color w:val="auto"/>
                <w:sz w:val="21"/>
                <w:szCs w:val="21"/>
                <w:highlight w:val="none"/>
              </w:rPr>
              <w:t>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eastAsia="zh-CN"/>
              </w:rPr>
              <w:t>报价</w:t>
            </w:r>
            <w:r>
              <w:rPr>
                <w:rFonts w:hint="eastAsia" w:ascii="仿宋" w:hAnsi="仿宋" w:eastAsia="仿宋" w:cs="仿宋"/>
                <w:color w:val="auto"/>
                <w:sz w:val="21"/>
                <w:szCs w:val="21"/>
                <w:highlight w:val="none"/>
                <w:lang w:val="zh-CN"/>
              </w:rPr>
              <w:t>方案</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每个分包只能有一个</w:t>
            </w:r>
            <w:r>
              <w:rPr>
                <w:rFonts w:hint="eastAsia" w:ascii="仿宋" w:hAnsi="仿宋" w:eastAsia="仿宋" w:cs="仿宋"/>
                <w:color w:val="auto"/>
                <w:sz w:val="21"/>
                <w:szCs w:val="21"/>
                <w:highlight w:val="none"/>
                <w:lang w:eastAsia="zh-CN"/>
              </w:rPr>
              <w:t>报价</w:t>
            </w:r>
            <w:r>
              <w:rPr>
                <w:rFonts w:hint="eastAsia" w:ascii="仿宋" w:hAnsi="仿宋" w:eastAsia="仿宋" w:cs="仿宋"/>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报价唯一</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只能在预算金额和最高限价内报价，只能有一个有效报价，不得提交选择性</w:t>
            </w:r>
            <w:r>
              <w:rPr>
                <w:rFonts w:hint="eastAsia" w:ascii="仿宋" w:hAnsi="仿宋" w:eastAsia="仿宋" w:cs="仿宋"/>
                <w:color w:val="auto"/>
                <w:sz w:val="21"/>
                <w:szCs w:val="21"/>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p>
        </w:tc>
        <w:tc>
          <w:tcPr>
            <w:tcW w:w="1560"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报价文件</w:t>
            </w:r>
            <w:r>
              <w:rPr>
                <w:rFonts w:hint="eastAsia" w:ascii="仿宋" w:hAnsi="仿宋" w:eastAsia="仿宋" w:cs="仿宋"/>
                <w:color w:val="auto"/>
                <w:sz w:val="21"/>
                <w:szCs w:val="21"/>
                <w:highlight w:val="none"/>
                <w:lang w:val="zh-CN"/>
              </w:rPr>
              <w:t>份数</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eastAsia="zh-CN"/>
              </w:rPr>
              <w:t>报价文件</w:t>
            </w:r>
            <w:r>
              <w:rPr>
                <w:rFonts w:hint="eastAsia" w:ascii="仿宋" w:hAnsi="仿宋" w:eastAsia="仿宋" w:cs="仿宋"/>
                <w:color w:val="auto"/>
                <w:sz w:val="21"/>
                <w:szCs w:val="21"/>
                <w:highlight w:val="none"/>
                <w:lang w:val="zh-CN"/>
              </w:rPr>
              <w:t>正、副本数量（含电子文档）符合</w:t>
            </w:r>
            <w:r>
              <w:rPr>
                <w:rFonts w:hint="eastAsia" w:ascii="仿宋" w:hAnsi="仿宋" w:eastAsia="仿宋" w:cs="仿宋"/>
                <w:color w:val="auto"/>
                <w:sz w:val="21"/>
                <w:szCs w:val="21"/>
                <w:highlight w:val="none"/>
              </w:rPr>
              <w:t>询价通知书</w:t>
            </w:r>
            <w:r>
              <w:rPr>
                <w:rFonts w:hint="eastAsia" w:ascii="仿宋" w:hAnsi="仿宋" w:eastAsia="仿宋" w:cs="仿宋"/>
                <w:color w:val="auto"/>
                <w:sz w:val="21"/>
                <w:szCs w:val="21"/>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rPr>
              <w:t>程度审查</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报价文件</w:t>
            </w:r>
            <w:r>
              <w:rPr>
                <w:rFonts w:hint="eastAsia" w:ascii="仿宋" w:hAnsi="仿宋" w:eastAsia="仿宋" w:cs="仿宋"/>
                <w:color w:val="auto"/>
                <w:sz w:val="21"/>
                <w:szCs w:val="21"/>
                <w:highlight w:val="none"/>
              </w:rPr>
              <w:t>内容</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w:t>
            </w:r>
            <w:r>
              <w:rPr>
                <w:rFonts w:hint="eastAsia" w:ascii="仿宋" w:hAnsi="仿宋" w:eastAsia="仿宋" w:cs="仿宋"/>
                <w:color w:val="auto"/>
                <w:sz w:val="21"/>
                <w:szCs w:val="21"/>
                <w:highlight w:val="none"/>
              </w:rPr>
              <w:t>询价通知书第三篇、第四篇规定的询价</w:t>
            </w:r>
            <w:r>
              <w:rPr>
                <w:rFonts w:hint="eastAsia" w:ascii="仿宋" w:hAnsi="仿宋" w:eastAsia="仿宋" w:cs="仿宋"/>
                <w:color w:val="auto"/>
                <w:sz w:val="21"/>
                <w:szCs w:val="21"/>
                <w:highlight w:val="none"/>
                <w:lang w:val="en-US" w:eastAsia="zh-CN"/>
              </w:rPr>
              <w:t>要求</w:t>
            </w: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lang w:val="zh-CN"/>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询价有效期</w:t>
            </w:r>
          </w:p>
        </w:tc>
        <w:tc>
          <w:tcPr>
            <w:tcW w:w="54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满足询价通知书</w:t>
            </w:r>
            <w:r>
              <w:rPr>
                <w:rFonts w:hint="eastAsia" w:ascii="仿宋" w:hAnsi="仿宋" w:eastAsia="仿宋" w:cs="仿宋"/>
                <w:color w:val="auto"/>
                <w:sz w:val="21"/>
                <w:szCs w:val="21"/>
                <w:highlight w:val="none"/>
                <w:lang w:val="zh-CN"/>
              </w:rPr>
              <w:t>规定。</w:t>
            </w:r>
          </w:p>
        </w:tc>
      </w:tr>
    </w:tbl>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（1）询价小组在对</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的有效性和响应程度进行审查时，可以要求供应商对</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中含义不明确、同类问题表述不一致或者有明显文字和计算错误的内容等作出必要的澄清、说明或者更正。供应商的澄清、说明或者更正不得超出</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的范围或者改变</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的实质性内容。</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（2）询价小组要求供应商澄清、说明或者更正</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应当以书面形式作出。供应商的澄清、说明或者更正应当由法定代表人或其授权代表签字或者加盖公章。由授权代表签字的，应当附法定代表人授权书。</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（3）在询价过程中询价的任何一方不得向他人透露与询价有关的服务资料、价格或其他信息。</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部分的评审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1.“第三篇 询价项目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需求”有一条及以上不能满足询价通知书要求的供应商为无效</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2.“第四篇 询价项目</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需求”有一条及以上不能满足询价通知书要求的供应商为无效</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bookmarkStart w:id="118" w:name="_Toc102227320"/>
      <w:bookmarkStart w:id="119" w:name="_Toc487204784"/>
      <w:bookmarkStart w:id="120" w:name="_Toc426965635"/>
      <w:bookmarkStart w:id="121" w:name="_Toc342913394"/>
      <w:r>
        <w:rPr>
          <w:rFonts w:hint="eastAsia" w:ascii="仿宋" w:hAnsi="仿宋" w:eastAsia="仿宋" w:cs="仿宋"/>
          <w:color w:val="auto"/>
          <w:sz w:val="24"/>
          <w:szCs w:val="24"/>
          <w:highlight w:val="none"/>
        </w:rPr>
        <w:t>（三）成交</w:t>
      </w:r>
      <w:bookmarkEnd w:id="118"/>
      <w:r>
        <w:rPr>
          <w:rFonts w:hint="eastAsia" w:ascii="仿宋" w:hAnsi="仿宋" w:eastAsia="仿宋" w:cs="仿宋"/>
          <w:color w:val="auto"/>
          <w:sz w:val="24"/>
          <w:szCs w:val="24"/>
          <w:highlight w:val="none"/>
        </w:rPr>
        <w:t>标准</w:t>
      </w:r>
      <w:bookmarkEnd w:id="119"/>
      <w:bookmarkEnd w:id="120"/>
      <w:bookmarkEnd w:id="121"/>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1.询价小组将依照本询价通知书相关规定对</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均能满足询价实质性</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要求的供应商所提交的</w:t>
      </w:r>
      <w:r>
        <w:rPr>
          <w:rFonts w:hint="eastAsia" w:ascii="仿宋" w:hAnsi="仿宋" w:eastAsia="仿宋" w:cs="仿宋"/>
          <w:color w:val="auto"/>
          <w:sz w:val="24"/>
          <w:szCs w:val="24"/>
          <w:highlight w:val="none"/>
          <w:lang w:val="en-US" w:eastAsia="zh-CN"/>
        </w:rPr>
        <w:t>总报价</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val="en-US" w:eastAsia="zh-CN"/>
        </w:rPr>
        <w:t>由低到高</w:t>
      </w:r>
      <w:r>
        <w:rPr>
          <w:rFonts w:hint="eastAsia" w:ascii="仿宋" w:hAnsi="仿宋" w:eastAsia="仿宋" w:cs="仿宋"/>
          <w:color w:val="auto"/>
          <w:sz w:val="24"/>
          <w:szCs w:val="24"/>
          <w:highlight w:val="none"/>
        </w:rPr>
        <w:t>的顺序提出3名以上成交候选</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，并编写评审报告。</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2.在符合项目采购要求、</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的前提下，按</w:t>
      </w:r>
      <w:r>
        <w:rPr>
          <w:rFonts w:hint="eastAsia" w:ascii="仿宋" w:hAnsi="仿宋" w:eastAsia="仿宋" w:cs="仿宋"/>
          <w:color w:val="auto"/>
          <w:sz w:val="24"/>
          <w:szCs w:val="24"/>
          <w:highlight w:val="none"/>
          <w:lang w:val="en-US" w:eastAsia="zh-CN"/>
        </w:rPr>
        <w:t>总报价最低</w:t>
      </w:r>
      <w:r>
        <w:rPr>
          <w:rFonts w:hint="eastAsia" w:ascii="仿宋" w:hAnsi="仿宋" w:eastAsia="仿宋" w:cs="仿宋"/>
          <w:color w:val="auto"/>
          <w:sz w:val="24"/>
          <w:szCs w:val="24"/>
          <w:highlight w:val="none"/>
        </w:rPr>
        <w:t>的原则推荐成交供应商，如出现两个以上相同</w:t>
      </w:r>
      <w:r>
        <w:rPr>
          <w:rFonts w:hint="eastAsia" w:ascii="仿宋" w:hAnsi="仿宋" w:eastAsia="仿宋" w:cs="仿宋"/>
          <w:color w:val="auto"/>
          <w:sz w:val="24"/>
          <w:szCs w:val="24"/>
          <w:highlight w:val="none"/>
          <w:lang w:val="en-US" w:eastAsia="zh-CN"/>
        </w:rPr>
        <w:t>最低总报价</w:t>
      </w:r>
      <w:r>
        <w:rPr>
          <w:rFonts w:hint="eastAsia" w:ascii="仿宋" w:hAnsi="仿宋" w:eastAsia="仿宋" w:cs="仿宋"/>
          <w:color w:val="auto"/>
          <w:sz w:val="24"/>
          <w:szCs w:val="24"/>
          <w:highlight w:val="none"/>
        </w:rPr>
        <w:t>的，按</w:t>
      </w:r>
      <w:r>
        <w:rPr>
          <w:rFonts w:hint="eastAsia" w:ascii="仿宋" w:hAnsi="仿宋" w:eastAsia="仿宋" w:cs="仿宋"/>
          <w:color w:val="auto"/>
          <w:sz w:val="24"/>
          <w:szCs w:val="24"/>
          <w:highlight w:val="none"/>
          <w:lang w:val="en-US" w:eastAsia="zh-CN"/>
        </w:rPr>
        <w:t>服务条款</w:t>
      </w:r>
      <w:r>
        <w:rPr>
          <w:rFonts w:hint="eastAsia" w:ascii="仿宋" w:hAnsi="仿宋" w:eastAsia="仿宋" w:cs="仿宋"/>
          <w:color w:val="auto"/>
          <w:sz w:val="24"/>
          <w:szCs w:val="24"/>
          <w:highlight w:val="none"/>
        </w:rPr>
        <w:t>的优劣顺序排列；以上都相同的，按</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条款的优劣顺序排列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以上都相同的，</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自行选择成交供应商。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3.询价小组认为，排在前面的成交候选人的报价或者某些分项报价明显不合理或者低于成本，有可能影响</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质量和不能诚信履约的，将要求其在规定的期限内提供书面文件予以解释说明，并提交相关证明材料；否则，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可以取消该成交候选人成为成交供应商的资格，按顺序由排在后面的成交候选人递补，以此类推。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4.采取询价小组确定成交供应商的，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应当在评审结束后2个工作日内将评审报告送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应当在收到评审报告后5个工作日内，从评审报告提出的成交候选</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中，根据质量和服务均能满足询价通知书实质性</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要求且</w:t>
      </w:r>
      <w:r>
        <w:rPr>
          <w:rFonts w:hint="eastAsia" w:ascii="仿宋" w:hAnsi="仿宋" w:eastAsia="仿宋" w:cs="仿宋"/>
          <w:color w:val="auto"/>
          <w:sz w:val="24"/>
          <w:szCs w:val="24"/>
          <w:highlight w:val="none"/>
          <w:lang w:val="en-US" w:eastAsia="zh-CN"/>
        </w:rPr>
        <w:t>总报价最低</w:t>
      </w:r>
      <w:r>
        <w:rPr>
          <w:rFonts w:hint="eastAsia" w:ascii="仿宋" w:hAnsi="仿宋" w:eastAsia="仿宋" w:cs="仿宋"/>
          <w:color w:val="auto"/>
          <w:sz w:val="24"/>
          <w:szCs w:val="24"/>
          <w:highlight w:val="none"/>
        </w:rPr>
        <w:t>的原则确定成交供应商，</w:t>
      </w:r>
      <w:r>
        <w:rPr>
          <w:rFonts w:hint="eastAsia" w:ascii="仿宋" w:hAnsi="仿宋" w:eastAsia="仿宋" w:cs="仿宋"/>
          <w:color w:val="auto"/>
          <w:kern w:val="0"/>
          <w:sz w:val="24"/>
          <w:highlight w:val="none"/>
        </w:rPr>
        <w:t>也可以书面授权询价小组直接确定成交供应商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逾期未确定成交供应商且不提出异议的，视为确定评审报告提</w:t>
      </w:r>
      <w:r>
        <w:rPr>
          <w:rFonts w:hint="eastAsia" w:ascii="仿宋" w:hAnsi="仿宋" w:eastAsia="仿宋" w:cs="仿宋"/>
          <w:color w:val="auto"/>
          <w:sz w:val="24"/>
          <w:szCs w:val="24"/>
          <w:highlight w:val="none"/>
          <w:lang w:val="en-US"/>
        </w:rPr>
        <w:t>出的</w:t>
      </w:r>
      <w:r>
        <w:rPr>
          <w:rFonts w:hint="eastAsia" w:ascii="仿宋" w:hAnsi="仿宋" w:eastAsia="仿宋" w:cs="仿宋"/>
          <w:color w:val="auto"/>
          <w:sz w:val="24"/>
          <w:szCs w:val="24"/>
          <w:highlight w:val="none"/>
          <w:lang w:val="en-US" w:eastAsia="zh-CN"/>
        </w:rPr>
        <w:t>总报价最低的</w:t>
      </w:r>
      <w:r>
        <w:rPr>
          <w:rFonts w:hint="eastAsia" w:ascii="仿宋" w:hAnsi="仿宋" w:eastAsia="仿宋" w:cs="仿宋"/>
          <w:color w:val="auto"/>
          <w:sz w:val="24"/>
          <w:szCs w:val="24"/>
          <w:highlight w:val="none"/>
        </w:rPr>
        <w:t>供应商为成交供应商。</w:t>
      </w:r>
    </w:p>
    <w:p>
      <w:pPr>
        <w:snapToGrid w:val="0"/>
        <w:spacing w:line="360" w:lineRule="auto"/>
        <w:ind w:firstLine="400" w:firstLineChars="1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5.成交供应商的变更</w:t>
      </w:r>
    </w:p>
    <w:p>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成交供应商拒绝签订采购合同的，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可以按照评审报告推荐的成交候选人顺序，确定排名下一位的候选人为成交供应商，也可以重新开展采购活动。拒绝签订采购合同的成交供应商不得参加对该项目重新开展的采购活动。</w:t>
      </w:r>
    </w:p>
    <w:p>
      <w:pPr>
        <w:pStyle w:val="5"/>
        <w:spacing w:before="0" w:after="0" w:line="360" w:lineRule="auto"/>
        <w:ind w:firstLine="481" w:firstLineChars="200"/>
        <w:rPr>
          <w:rFonts w:hint="eastAsia" w:ascii="仿宋" w:hAnsi="仿宋" w:eastAsia="仿宋" w:cs="仿宋"/>
          <w:b/>
          <w:color w:val="auto"/>
          <w:sz w:val="24"/>
          <w:szCs w:val="24"/>
          <w:highlight w:val="none"/>
        </w:rPr>
      </w:pPr>
      <w:bookmarkStart w:id="122" w:name="_Toc18004"/>
      <w:bookmarkStart w:id="123" w:name="_Toc7934"/>
      <w:bookmarkStart w:id="124" w:name="_Toc5406"/>
      <w:bookmarkStart w:id="125" w:name="_Toc8974"/>
      <w:bookmarkStart w:id="126" w:name="_Toc16535"/>
      <w:bookmarkStart w:id="127" w:name="_Toc9184"/>
      <w:bookmarkStart w:id="128" w:name="_Toc1689"/>
      <w:bookmarkStart w:id="129" w:name="_Toc21282"/>
      <w:bookmarkStart w:id="130" w:name="_Toc26637"/>
      <w:bookmarkStart w:id="131" w:name="_Toc487204785"/>
      <w:bookmarkStart w:id="132" w:name="_Toc426965636"/>
      <w:bookmarkStart w:id="133" w:name="_Toc8063"/>
      <w:bookmarkStart w:id="134" w:name="_Toc342913395"/>
      <w:bookmarkStart w:id="135" w:name="_Toc102227321"/>
      <w:bookmarkStart w:id="136" w:name="_Toc14217"/>
      <w:r>
        <w:rPr>
          <w:rFonts w:hint="eastAsia" w:ascii="仿宋" w:hAnsi="仿宋" w:eastAsia="仿宋" w:cs="仿宋"/>
          <w:b/>
          <w:color w:val="auto"/>
          <w:sz w:val="24"/>
          <w:szCs w:val="24"/>
          <w:highlight w:val="none"/>
        </w:rPr>
        <w:t>五、评审依据</w:t>
      </w:r>
      <w:bookmarkEnd w:id="122"/>
      <w:bookmarkEnd w:id="123"/>
      <w:bookmarkEnd w:id="124"/>
      <w:bookmarkEnd w:id="125"/>
      <w:bookmarkEnd w:id="126"/>
      <w:bookmarkEnd w:id="127"/>
      <w:bookmarkEnd w:id="128"/>
      <w:bookmarkEnd w:id="129"/>
      <w:bookmarkEnd w:id="130"/>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评审的依据为询价通知书和</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（含有效的补充文件）。询价小组判断</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对询价通知书的响应，仅基于</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本身而不靠外部证据。</w:t>
      </w:r>
    </w:p>
    <w:p>
      <w:pPr>
        <w:pStyle w:val="5"/>
        <w:spacing w:before="0" w:after="0" w:line="360" w:lineRule="auto"/>
        <w:ind w:firstLine="481" w:firstLineChars="200"/>
        <w:rPr>
          <w:rFonts w:hint="eastAsia" w:ascii="仿宋" w:hAnsi="仿宋" w:eastAsia="仿宋" w:cs="仿宋"/>
          <w:color w:val="auto"/>
          <w:sz w:val="24"/>
          <w:szCs w:val="24"/>
          <w:highlight w:val="none"/>
        </w:rPr>
      </w:pPr>
      <w:bookmarkStart w:id="137" w:name="_Toc29611"/>
      <w:bookmarkStart w:id="138" w:name="_Toc6927"/>
      <w:bookmarkStart w:id="139" w:name="_Toc17031"/>
      <w:bookmarkStart w:id="140" w:name="_Toc14625"/>
      <w:bookmarkStart w:id="141" w:name="_Toc956"/>
      <w:bookmarkStart w:id="142" w:name="_Toc23984"/>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、成交通知</w:t>
      </w:r>
      <w:bookmarkEnd w:id="131"/>
      <w:bookmarkEnd w:id="132"/>
      <w:bookmarkEnd w:id="133"/>
      <w:bookmarkEnd w:id="134"/>
      <w:bookmarkEnd w:id="135"/>
      <w:bookmarkEnd w:id="136"/>
      <w:bookmarkEnd w:id="137"/>
      <w:bookmarkEnd w:id="138"/>
      <w:bookmarkEnd w:id="139"/>
      <w:bookmarkEnd w:id="140"/>
      <w:bookmarkEnd w:id="141"/>
      <w:bookmarkEnd w:id="142"/>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将在</w:t>
      </w:r>
      <w:r>
        <w:rPr>
          <w:rFonts w:hint="eastAsia" w:ascii="仿宋" w:hAnsi="仿宋" w:eastAsia="仿宋" w:cs="仿宋"/>
          <w:color w:val="auto"/>
          <w:sz w:val="24"/>
          <w:szCs w:val="24"/>
          <w:highlight w:val="none"/>
          <w:lang w:eastAsia="zh-CN"/>
        </w:rPr>
        <w:t>重庆市生态环境局网站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http://sthjj.cq.gov.cn</w:t>
      </w:r>
      <w:r>
        <w:rPr>
          <w:rFonts w:hint="eastAsia" w:ascii="仿宋" w:hAnsi="仿宋" w:eastAsia="仿宋" w:cs="仿宋"/>
          <w:color w:val="auto"/>
          <w:sz w:val="24"/>
          <w:szCs w:val="24"/>
          <w:highlight w:val="none"/>
        </w:rPr>
        <w:t>）上发布成交结果公告。</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将以书面形式发出《成交通知书》。《成交通知书》一经发出即发生法律效力。</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（三）《成交通知书》将作为签订合同的依据。</w:t>
      </w:r>
    </w:p>
    <w:p>
      <w:pPr>
        <w:pStyle w:val="5"/>
        <w:spacing w:before="0" w:after="0" w:line="360" w:lineRule="auto"/>
        <w:ind w:firstLine="481" w:firstLineChars="200"/>
        <w:rPr>
          <w:rFonts w:hint="eastAsia" w:ascii="仿宋" w:hAnsi="仿宋" w:eastAsia="仿宋" w:cs="仿宋"/>
          <w:color w:val="auto"/>
          <w:sz w:val="24"/>
          <w:szCs w:val="24"/>
          <w:highlight w:val="none"/>
        </w:rPr>
      </w:pPr>
      <w:bookmarkStart w:id="143" w:name="_Toc102227322"/>
      <w:bookmarkStart w:id="144" w:name="_Toc5945"/>
      <w:bookmarkStart w:id="145" w:name="_Toc44"/>
      <w:bookmarkStart w:id="146" w:name="_Toc426965638"/>
      <w:bookmarkStart w:id="147" w:name="_Toc19847"/>
      <w:bookmarkStart w:id="148" w:name="_Toc23928"/>
      <w:bookmarkStart w:id="149" w:name="_Toc3935"/>
      <w:bookmarkStart w:id="150" w:name="_Toc3863"/>
      <w:bookmarkStart w:id="151" w:name="_Toc22155"/>
      <w:bookmarkStart w:id="152" w:name="_Toc26131"/>
      <w:bookmarkStart w:id="153" w:name="_Toc342913396"/>
      <w:bookmarkStart w:id="154" w:name="_Toc487204787"/>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、签订</w:t>
      </w:r>
      <w:bookmarkEnd w:id="143"/>
      <w:r>
        <w:rPr>
          <w:rFonts w:hint="eastAsia" w:ascii="仿宋" w:hAnsi="仿宋" w:eastAsia="仿宋" w:cs="仿宋"/>
          <w:color w:val="auto"/>
          <w:sz w:val="24"/>
          <w:szCs w:val="24"/>
          <w:highlight w:val="none"/>
        </w:rPr>
        <w:t>合同</w:t>
      </w:r>
      <w:bookmarkEnd w:id="144"/>
      <w:bookmarkEnd w:id="145"/>
      <w:bookmarkEnd w:id="146"/>
      <w:bookmarkEnd w:id="147"/>
      <w:bookmarkEnd w:id="148"/>
      <w:bookmarkEnd w:id="149"/>
      <w:bookmarkEnd w:id="150"/>
      <w:bookmarkEnd w:id="151"/>
      <w:bookmarkEnd w:id="152"/>
      <w:bookmarkEnd w:id="153"/>
      <w:bookmarkEnd w:id="154"/>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与成交供应商应当在成交通知书发出之日起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日内，按照询价通知书确定的合同文本以及采购标的、规格型号、采购金额、采购数量、技术和服务需求等事项签订采购合同。</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（二）询价通知书、成交供应商的</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及有效承诺文件等，均为签订合同的依据。</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（三）如成交供应商放弃成交项目或在签订合同时擅自改变成交状态的，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将按照相关法律法规处理。</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（四）除不可抗力等因素外，成交通知书发出后，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改变成交结果，或者成交供应商拒绝签订采购合同的，应当承担相应的法律责任。</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sectPr>
          <w:headerReference r:id="rId6" w:type="default"/>
          <w:footerReference r:id="rId7" w:type="default"/>
          <w:type w:val="continuous"/>
          <w:pgSz w:w="11907" w:h="16840"/>
          <w:pgMar w:top="1134" w:right="1191" w:bottom="1021"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pPr>
        <w:pStyle w:val="4"/>
        <w:bidi w:val="0"/>
        <w:jc w:val="center"/>
        <w:rPr>
          <w:rStyle w:val="71"/>
          <w:rFonts w:hint="eastAsia" w:ascii="仿宋" w:hAnsi="仿宋" w:eastAsia="仿宋" w:cs="仿宋"/>
          <w:b/>
          <w:color w:val="auto"/>
          <w:highlight w:val="none"/>
        </w:rPr>
      </w:pPr>
      <w:bookmarkStart w:id="155" w:name="_Toc487204788"/>
      <w:bookmarkStart w:id="156" w:name="_Toc27145"/>
      <w:bookmarkStart w:id="157" w:name="_Toc31469"/>
      <w:bookmarkStart w:id="158" w:name="_Toc16445"/>
      <w:bookmarkStart w:id="159" w:name="_Toc21296"/>
      <w:bookmarkStart w:id="160" w:name="_Toc32371"/>
      <w:bookmarkStart w:id="161" w:name="_Toc24949"/>
      <w:r>
        <w:rPr>
          <w:rFonts w:hint="eastAsia" w:ascii="仿宋" w:hAnsi="仿宋" w:eastAsia="仿宋" w:cs="仿宋"/>
          <w:bCs/>
          <w:color w:val="auto"/>
          <w:szCs w:val="32"/>
          <w:highlight w:val="none"/>
        </w:rPr>
        <w:t xml:space="preserve">第三篇 </w:t>
      </w:r>
      <w:bookmarkEnd w:id="155"/>
      <w:r>
        <w:rPr>
          <w:rFonts w:hint="eastAsia" w:ascii="仿宋" w:hAnsi="仿宋" w:eastAsia="仿宋" w:cs="仿宋"/>
          <w:bCs/>
          <w:color w:val="auto"/>
          <w:szCs w:val="32"/>
          <w:highlight w:val="none"/>
        </w:rPr>
        <w:t>询价项目</w:t>
      </w:r>
      <w:r>
        <w:rPr>
          <w:rFonts w:hint="eastAsia" w:ascii="仿宋" w:hAnsi="仿宋" w:eastAsia="仿宋" w:cs="仿宋"/>
          <w:bCs/>
          <w:color w:val="auto"/>
          <w:szCs w:val="32"/>
          <w:highlight w:val="none"/>
          <w:lang w:val="en-US" w:eastAsia="zh-CN"/>
        </w:rPr>
        <w:t>服务</w:t>
      </w:r>
      <w:r>
        <w:rPr>
          <w:rFonts w:hint="eastAsia" w:ascii="仿宋" w:hAnsi="仿宋" w:eastAsia="仿宋" w:cs="仿宋"/>
          <w:bCs/>
          <w:color w:val="auto"/>
          <w:szCs w:val="32"/>
          <w:highlight w:val="none"/>
        </w:rPr>
        <w:t>需求</w:t>
      </w:r>
      <w:bookmarkEnd w:id="156"/>
      <w:bookmarkEnd w:id="157"/>
      <w:bookmarkEnd w:id="158"/>
      <w:bookmarkEnd w:id="159"/>
      <w:bookmarkEnd w:id="160"/>
      <w:bookmarkEnd w:id="161"/>
      <w:bookmarkStart w:id="162" w:name="_Toc487204789"/>
      <w:bookmarkStart w:id="163" w:name="_Toc344475120"/>
      <w:bookmarkStart w:id="164" w:name="_Toc12789059"/>
      <w:bookmarkStart w:id="165" w:name="_Toc11641055"/>
    </w:p>
    <w:p>
      <w:pPr>
        <w:pStyle w:val="4"/>
        <w:adjustRightInd w:val="0"/>
        <w:snapToGrid w:val="0"/>
        <w:spacing w:before="0" w:after="0" w:line="360" w:lineRule="auto"/>
        <w:ind w:firstLine="481" w:firstLineChars="200"/>
        <w:rPr>
          <w:rFonts w:hint="eastAsia" w:ascii="仿宋" w:hAnsi="仿宋" w:eastAsia="仿宋" w:cs="仿宋"/>
          <w:color w:val="auto"/>
          <w:sz w:val="24"/>
          <w:highlight w:val="none"/>
          <w:lang w:val="en-US" w:eastAsia="zh-CN"/>
        </w:rPr>
      </w:pPr>
      <w:bookmarkStart w:id="166" w:name="_Toc22117"/>
      <w:r>
        <w:rPr>
          <w:rFonts w:hint="eastAsia" w:ascii="仿宋" w:hAnsi="仿宋" w:eastAsia="仿宋" w:cs="仿宋"/>
          <w:color w:val="auto"/>
          <w:sz w:val="24"/>
          <w:highlight w:val="none"/>
          <w:lang w:val="en-US" w:eastAsia="zh-CN"/>
        </w:rPr>
        <w:t>一、项目情况</w:t>
      </w:r>
      <w:bookmarkEnd w:id="166"/>
    </w:p>
    <w:tbl>
      <w:tblPr>
        <w:tblStyle w:val="58"/>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3337"/>
        <w:gridCol w:w="2506"/>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25" w:type="dxa"/>
            <w:noWrap w:val="0"/>
            <w:vAlign w:val="center"/>
          </w:tcPr>
          <w:p>
            <w:pPr>
              <w:spacing w:line="400" w:lineRule="exact"/>
              <w:jc w:val="center"/>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项目</w:t>
            </w:r>
            <w:r>
              <w:rPr>
                <w:rFonts w:hint="eastAsia" w:ascii="仿宋" w:hAnsi="仿宋" w:eastAsia="仿宋" w:cs="仿宋"/>
                <w:color w:val="auto"/>
                <w:sz w:val="24"/>
                <w:szCs w:val="24"/>
                <w:highlight w:val="none"/>
                <w:u w:val="none"/>
                <w:lang w:eastAsia="zh-CN"/>
              </w:rPr>
              <w:t>名称</w:t>
            </w:r>
          </w:p>
        </w:tc>
        <w:tc>
          <w:tcPr>
            <w:tcW w:w="3337" w:type="dxa"/>
            <w:noWrap w:val="0"/>
            <w:vAlign w:val="center"/>
          </w:tcPr>
          <w:p>
            <w:pPr>
              <w:spacing w:line="400" w:lineRule="exact"/>
              <w:jc w:val="center"/>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服务内容</w:t>
            </w:r>
          </w:p>
        </w:tc>
        <w:tc>
          <w:tcPr>
            <w:tcW w:w="2506" w:type="dxa"/>
            <w:noWrap w:val="0"/>
            <w:vAlign w:val="center"/>
          </w:tcPr>
          <w:p>
            <w:pPr>
              <w:spacing w:line="400" w:lineRule="exact"/>
              <w:jc w:val="center"/>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服务期</w:t>
            </w:r>
          </w:p>
        </w:tc>
        <w:tc>
          <w:tcPr>
            <w:tcW w:w="1456" w:type="dxa"/>
            <w:noWrap w:val="0"/>
            <w:vAlign w:val="center"/>
          </w:tcPr>
          <w:p>
            <w:pPr>
              <w:spacing w:line="400" w:lineRule="exact"/>
              <w:jc w:val="center"/>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vMerge w:val="restart"/>
            <w:noWrap w:val="0"/>
            <w:vAlign w:val="center"/>
          </w:tcPr>
          <w:p>
            <w:pPr>
              <w:widowControl/>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重庆市生态环境</w:t>
            </w:r>
          </w:p>
          <w:p>
            <w:pPr>
              <w:widowControl/>
              <w:jc w:val="center"/>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业务数据安全</w:t>
            </w:r>
            <w:r>
              <w:rPr>
                <w:rFonts w:hint="eastAsia" w:ascii="仿宋" w:hAnsi="仿宋" w:eastAsia="仿宋" w:cs="仿宋"/>
                <w:color w:val="auto"/>
                <w:sz w:val="24"/>
                <w:szCs w:val="24"/>
                <w:highlight w:val="none"/>
                <w:u w:val="none"/>
              </w:rPr>
              <w:t>服务</w:t>
            </w:r>
          </w:p>
        </w:tc>
        <w:tc>
          <w:tcPr>
            <w:tcW w:w="3337" w:type="dxa"/>
            <w:noWrap w:val="0"/>
            <w:vAlign w:val="center"/>
          </w:tcPr>
          <w:p>
            <w:pPr>
              <w:spacing w:line="400" w:lineRule="exact"/>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重庆市生态环境业务数据</w:t>
            </w:r>
          </w:p>
          <w:p>
            <w:pPr>
              <w:spacing w:line="400" w:lineRule="exact"/>
              <w:jc w:val="center"/>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分类分级服务</w:t>
            </w:r>
          </w:p>
        </w:tc>
        <w:tc>
          <w:tcPr>
            <w:tcW w:w="2506" w:type="dxa"/>
            <w:vMerge w:val="restart"/>
            <w:noWrap w:val="0"/>
            <w:vAlign w:val="center"/>
          </w:tcPr>
          <w:p>
            <w:pPr>
              <w:spacing w:line="400" w:lineRule="exact"/>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2025年12月31日前</w:t>
            </w:r>
          </w:p>
        </w:tc>
        <w:tc>
          <w:tcPr>
            <w:tcW w:w="1456" w:type="dxa"/>
            <w:vMerge w:val="restart"/>
            <w:noWrap w:val="0"/>
            <w:vAlign w:val="center"/>
          </w:tcPr>
          <w:p>
            <w:pPr>
              <w:spacing w:line="400" w:lineRule="exact"/>
              <w:jc w:val="center"/>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重庆市</w:t>
            </w:r>
          </w:p>
          <w:p>
            <w:pPr>
              <w:spacing w:line="400" w:lineRule="exact"/>
              <w:jc w:val="center"/>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vMerge w:val="continue"/>
            <w:noWrap w:val="0"/>
            <w:vAlign w:val="center"/>
          </w:tcPr>
          <w:p>
            <w:pPr>
              <w:widowControl/>
              <w:jc w:val="center"/>
              <w:rPr>
                <w:rFonts w:hint="eastAsia" w:ascii="仿宋" w:hAnsi="仿宋" w:eastAsia="仿宋" w:cs="仿宋"/>
                <w:color w:val="auto"/>
                <w:sz w:val="24"/>
                <w:szCs w:val="24"/>
                <w:highlight w:val="none"/>
                <w:u w:val="none"/>
              </w:rPr>
            </w:pPr>
          </w:p>
        </w:tc>
        <w:tc>
          <w:tcPr>
            <w:tcW w:w="3337" w:type="dxa"/>
            <w:noWrap w:val="0"/>
            <w:vAlign w:val="center"/>
          </w:tcPr>
          <w:p>
            <w:pPr>
              <w:spacing w:line="400" w:lineRule="exact"/>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重庆市环保事权政务服务系统</w:t>
            </w:r>
          </w:p>
          <w:p>
            <w:pPr>
              <w:spacing w:line="400" w:lineRule="exact"/>
              <w:jc w:val="center"/>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数据安全风险评估</w:t>
            </w:r>
            <w:r>
              <w:rPr>
                <w:rFonts w:hint="eastAsia" w:ascii="仿宋" w:hAnsi="仿宋" w:eastAsia="仿宋" w:cs="仿宋"/>
                <w:color w:val="auto"/>
                <w:sz w:val="24"/>
                <w:szCs w:val="24"/>
                <w:highlight w:val="none"/>
                <w:u w:val="none"/>
              </w:rPr>
              <w:t>服务</w:t>
            </w:r>
          </w:p>
        </w:tc>
        <w:tc>
          <w:tcPr>
            <w:tcW w:w="2506" w:type="dxa"/>
            <w:vMerge w:val="continue"/>
            <w:noWrap w:val="0"/>
            <w:vAlign w:val="center"/>
          </w:tcPr>
          <w:p>
            <w:pPr>
              <w:spacing w:line="400" w:lineRule="exact"/>
              <w:jc w:val="center"/>
              <w:rPr>
                <w:rFonts w:hint="eastAsia" w:ascii="仿宋" w:hAnsi="仿宋" w:eastAsia="仿宋" w:cs="仿宋"/>
                <w:color w:val="auto"/>
                <w:sz w:val="24"/>
                <w:szCs w:val="24"/>
                <w:highlight w:val="none"/>
                <w:u w:val="none"/>
              </w:rPr>
            </w:pPr>
          </w:p>
        </w:tc>
        <w:tc>
          <w:tcPr>
            <w:tcW w:w="1456" w:type="dxa"/>
            <w:vMerge w:val="continue"/>
            <w:noWrap w:val="0"/>
            <w:vAlign w:val="top"/>
          </w:tcPr>
          <w:p>
            <w:pPr>
              <w:spacing w:line="400" w:lineRule="exact"/>
              <w:rPr>
                <w:rFonts w:hint="eastAsia" w:ascii="仿宋" w:hAnsi="仿宋" w:eastAsia="仿宋" w:cs="仿宋"/>
                <w:color w:val="auto"/>
                <w:sz w:val="24"/>
                <w:szCs w:val="24"/>
                <w:highlight w:val="none"/>
                <w:u w:val="none"/>
              </w:rPr>
            </w:pPr>
          </w:p>
        </w:tc>
      </w:tr>
    </w:tbl>
    <w:p>
      <w:pPr>
        <w:pStyle w:val="4"/>
        <w:adjustRightInd w:val="0"/>
        <w:snapToGrid w:val="0"/>
        <w:spacing w:before="0" w:after="0" w:line="360" w:lineRule="auto"/>
        <w:ind w:firstLine="481" w:firstLineChars="200"/>
        <w:rPr>
          <w:rFonts w:hint="eastAsia" w:ascii="仿宋" w:hAnsi="仿宋" w:eastAsia="仿宋" w:cs="仿宋"/>
          <w:color w:val="auto"/>
          <w:sz w:val="24"/>
          <w:highlight w:val="none"/>
          <w:lang w:val="en-US" w:eastAsia="zh-CN"/>
        </w:rPr>
      </w:pPr>
      <w:bookmarkStart w:id="167" w:name="_Toc14266"/>
      <w:r>
        <w:rPr>
          <w:rFonts w:hint="eastAsia" w:ascii="仿宋" w:hAnsi="仿宋" w:eastAsia="仿宋" w:cs="仿宋"/>
          <w:color w:val="auto"/>
          <w:sz w:val="24"/>
          <w:highlight w:val="none"/>
          <w:lang w:val="en-US" w:eastAsia="zh-CN"/>
        </w:rPr>
        <w:t>二、</w:t>
      </w:r>
      <w:bookmarkStart w:id="168" w:name="_Toc17731"/>
      <w:r>
        <w:rPr>
          <w:rFonts w:hint="eastAsia" w:ascii="仿宋" w:hAnsi="仿宋" w:eastAsia="仿宋" w:cs="仿宋"/>
          <w:color w:val="auto"/>
          <w:sz w:val="24"/>
          <w:highlight w:val="none"/>
          <w:lang w:val="en-US" w:eastAsia="zh-CN"/>
        </w:rPr>
        <w:t>项目服务需求</w:t>
      </w:r>
      <w:bookmarkEnd w:id="167"/>
      <w:bookmarkEnd w:id="168"/>
    </w:p>
    <w:p>
      <w:pPr>
        <w:pStyle w:val="68"/>
        <w:keepNext w:val="0"/>
        <w:keepLines w:val="0"/>
        <w:pageBreakBefore w:val="0"/>
        <w:widowControl w:val="0"/>
        <w:kinsoku/>
        <w:wordWrap/>
        <w:overflowPunct/>
        <w:topLinePunct w:val="0"/>
        <w:bidi w:val="0"/>
        <w:spacing w:line="360" w:lineRule="auto"/>
        <w:ind w:firstLine="481"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（一）重庆市生态环境业务数据分类分级服务</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1、服务需求</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依据相关法律法规要求，参照相关国家、地方及行业标准，结合采购人的实际情况制定</w:t>
      </w:r>
      <w:r>
        <w:rPr>
          <w:rFonts w:hint="eastAsia" w:ascii="仿宋" w:hAnsi="仿宋" w:eastAsia="仿宋" w:cs="仿宋"/>
          <w:color w:val="auto"/>
          <w:sz w:val="24"/>
          <w:szCs w:val="24"/>
          <w:highlight w:val="none"/>
          <w:lang w:eastAsia="zh-CN"/>
        </w:rPr>
        <w:t>业务</w:t>
      </w:r>
      <w:r>
        <w:rPr>
          <w:rFonts w:hint="eastAsia" w:ascii="仿宋" w:hAnsi="仿宋" w:eastAsia="仿宋" w:cs="仿宋"/>
          <w:color w:val="auto"/>
          <w:sz w:val="24"/>
          <w:szCs w:val="24"/>
          <w:highlight w:val="none"/>
        </w:rPr>
        <w:t>数据分类分级策略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开展</w:t>
      </w:r>
      <w:r>
        <w:rPr>
          <w:rFonts w:hint="eastAsia" w:ascii="仿宋" w:hAnsi="仿宋" w:eastAsia="仿宋" w:cs="仿宋"/>
          <w:color w:val="auto"/>
          <w:sz w:val="24"/>
          <w:szCs w:val="24"/>
          <w:highlight w:val="none"/>
          <w:lang w:eastAsia="zh-CN"/>
        </w:rPr>
        <w:t>业务</w:t>
      </w:r>
      <w:r>
        <w:rPr>
          <w:rFonts w:hint="eastAsia" w:ascii="仿宋" w:hAnsi="仿宋" w:eastAsia="仿宋" w:cs="仿宋"/>
          <w:color w:val="auto"/>
          <w:sz w:val="24"/>
          <w:szCs w:val="24"/>
          <w:highlight w:val="none"/>
        </w:rPr>
        <w:t>数据分类分级</w:t>
      </w:r>
      <w:r>
        <w:rPr>
          <w:rFonts w:hint="eastAsia" w:ascii="仿宋" w:hAnsi="仿宋" w:eastAsia="仿宋" w:cs="仿宋"/>
          <w:color w:val="auto"/>
          <w:sz w:val="24"/>
          <w:szCs w:val="24"/>
          <w:highlight w:val="none"/>
          <w:lang w:eastAsia="zh-CN"/>
        </w:rPr>
        <w:t>工作；在本次分类分级成果基础上，结合已有政务信息系统分类分级成果，编制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重庆市生态环境数据分类分级报告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梳理</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数据</w:t>
      </w:r>
      <w:r>
        <w:rPr>
          <w:rFonts w:hint="eastAsia" w:ascii="仿宋" w:hAnsi="仿宋" w:eastAsia="仿宋" w:cs="仿宋"/>
          <w:color w:val="auto"/>
          <w:sz w:val="24"/>
          <w:szCs w:val="24"/>
          <w:highlight w:val="none"/>
          <w:lang w:eastAsia="zh-CN"/>
        </w:rPr>
        <w:t>资产现状</w:t>
      </w:r>
      <w:r>
        <w:rPr>
          <w:rFonts w:hint="eastAsia" w:ascii="仿宋" w:hAnsi="仿宋" w:eastAsia="仿宋" w:cs="仿宋"/>
          <w:color w:val="auto"/>
          <w:sz w:val="24"/>
          <w:szCs w:val="24"/>
          <w:highlight w:val="none"/>
          <w:lang w:val="en-US" w:eastAsia="zh-CN"/>
        </w:rPr>
        <w:t>，编制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重庆市生态环境</w:t>
      </w:r>
      <w:r>
        <w:rPr>
          <w:rFonts w:hint="eastAsia" w:ascii="仿宋" w:hAnsi="仿宋" w:eastAsia="仿宋" w:cs="仿宋"/>
          <w:color w:val="auto"/>
          <w:sz w:val="24"/>
          <w:szCs w:val="24"/>
          <w:highlight w:val="none"/>
        </w:rPr>
        <w:t>数据资产目录》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作为后续数据治理、数据安全保护的基础保障。</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服务内容</w:t>
      </w:r>
    </w:p>
    <w:p>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数据安全管理体系建设服务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在采购人现有数据安全管理框架下，指导</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数据安全</w:t>
      </w:r>
      <w:r>
        <w:rPr>
          <w:rFonts w:hint="eastAsia" w:ascii="仿宋" w:hAnsi="仿宋" w:eastAsia="仿宋" w:cs="仿宋"/>
          <w:color w:val="auto"/>
          <w:sz w:val="24"/>
          <w:szCs w:val="24"/>
          <w:highlight w:val="none"/>
          <w:lang w:eastAsia="zh-CN"/>
        </w:rPr>
        <w:t>管理</w:t>
      </w:r>
      <w:r>
        <w:rPr>
          <w:rFonts w:hint="eastAsia" w:ascii="仿宋" w:hAnsi="仿宋" w:eastAsia="仿宋" w:cs="仿宋"/>
          <w:color w:val="auto"/>
          <w:sz w:val="24"/>
          <w:szCs w:val="24"/>
          <w:highlight w:val="none"/>
        </w:rPr>
        <w:t>工作，保障采购数据安全管理规范化、标准化。</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数据分类分级服务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根据采购人提供的数据分类分级范围，采集数据库基础元数据信息，开展</w:t>
      </w:r>
      <w:r>
        <w:rPr>
          <w:rFonts w:hint="eastAsia" w:ascii="仿宋" w:hAnsi="仿宋" w:eastAsia="仿宋" w:cs="仿宋"/>
          <w:color w:val="auto"/>
          <w:sz w:val="24"/>
          <w:szCs w:val="24"/>
          <w:highlight w:val="none"/>
          <w:lang w:eastAsia="zh-CN"/>
        </w:rPr>
        <w:t>业务</w:t>
      </w:r>
      <w:r>
        <w:rPr>
          <w:rFonts w:hint="eastAsia" w:ascii="仿宋" w:hAnsi="仿宋" w:eastAsia="仿宋" w:cs="仿宋"/>
          <w:color w:val="auto"/>
          <w:sz w:val="24"/>
          <w:szCs w:val="24"/>
          <w:highlight w:val="none"/>
        </w:rPr>
        <w:t>数据分类分级</w:t>
      </w:r>
      <w:r>
        <w:rPr>
          <w:rFonts w:hint="eastAsia" w:ascii="仿宋" w:hAnsi="仿宋" w:eastAsia="仿宋" w:cs="仿宋"/>
          <w:color w:val="auto"/>
          <w:sz w:val="24"/>
          <w:szCs w:val="24"/>
          <w:highlight w:val="none"/>
          <w:lang w:eastAsia="zh-CN"/>
        </w:rPr>
        <w:t>工作。在本次分类分级成果基础上，结合已有政务信息系统分类分级成果，编制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重庆市生态环境数据分类分级报告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。同时</w:t>
      </w:r>
      <w:r>
        <w:rPr>
          <w:rFonts w:hint="eastAsia" w:ascii="仿宋" w:hAnsi="仿宋" w:eastAsia="仿宋" w:cs="仿宋"/>
          <w:color w:val="auto"/>
          <w:sz w:val="24"/>
          <w:szCs w:val="24"/>
          <w:highlight w:val="none"/>
        </w:rPr>
        <w:t>梳理</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数据</w:t>
      </w:r>
      <w:r>
        <w:rPr>
          <w:rFonts w:hint="eastAsia" w:ascii="仿宋" w:hAnsi="仿宋" w:eastAsia="仿宋" w:cs="仿宋"/>
          <w:color w:val="auto"/>
          <w:sz w:val="24"/>
          <w:szCs w:val="24"/>
          <w:highlight w:val="none"/>
          <w:lang w:eastAsia="zh-CN"/>
        </w:rPr>
        <w:t>资产现状，</w:t>
      </w:r>
      <w:r>
        <w:rPr>
          <w:rFonts w:hint="eastAsia" w:ascii="仿宋" w:hAnsi="仿宋" w:eastAsia="仿宋" w:cs="仿宋"/>
          <w:color w:val="auto"/>
          <w:sz w:val="24"/>
          <w:szCs w:val="24"/>
          <w:highlight w:val="none"/>
        </w:rPr>
        <w:t>以库表列的形式，</w:t>
      </w:r>
      <w:r>
        <w:rPr>
          <w:rFonts w:hint="eastAsia" w:ascii="仿宋" w:hAnsi="仿宋" w:eastAsia="仿宋" w:cs="仿宋"/>
          <w:color w:val="auto"/>
          <w:sz w:val="24"/>
          <w:szCs w:val="24"/>
          <w:highlight w:val="none"/>
          <w:lang w:eastAsia="zh-CN"/>
        </w:rPr>
        <w:t>编制</w:t>
      </w:r>
      <w:r>
        <w:rPr>
          <w:rFonts w:hint="eastAsia" w:ascii="仿宋" w:hAnsi="仿宋" w:eastAsia="仿宋" w:cs="仿宋"/>
          <w:color w:val="auto"/>
          <w:sz w:val="24"/>
          <w:szCs w:val="24"/>
          <w:highlight w:val="none"/>
        </w:rPr>
        <w:t>完整的数据资产目录。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交付成果：</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重庆市生态环境数据分类分级报告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重庆市生态环境</w:t>
      </w:r>
      <w:r>
        <w:rPr>
          <w:rFonts w:hint="eastAsia" w:ascii="仿宋" w:hAnsi="仿宋" w:eastAsia="仿宋" w:cs="仿宋"/>
          <w:color w:val="auto"/>
          <w:sz w:val="24"/>
          <w:szCs w:val="24"/>
          <w:highlight w:val="none"/>
        </w:rPr>
        <w:t>数据资产目录》</w:t>
      </w:r>
      <w:r>
        <w:rPr>
          <w:rFonts w:hint="eastAsia" w:ascii="仿宋" w:hAnsi="仿宋" w:eastAsia="仿宋" w:cs="仿宋"/>
          <w:color w:val="auto"/>
          <w:sz w:val="24"/>
          <w:szCs w:val="24"/>
          <w:highlight w:val="none"/>
          <w:lang w:eastAsia="zh-CN"/>
        </w:rPr>
        <w:t>。</w:t>
      </w:r>
    </w:p>
    <w:p>
      <w:pPr>
        <w:pageBreakBefore w:val="0"/>
        <w:widowControl w:val="0"/>
        <w:kinsoku/>
        <w:wordWrap/>
        <w:overflowPunct/>
        <w:topLinePunct w:val="0"/>
        <w:autoSpaceDE/>
        <w:autoSpaceDN/>
        <w:bidi w:val="0"/>
        <w:snapToGrid w:val="0"/>
        <w:spacing w:line="360" w:lineRule="auto"/>
        <w:ind w:firstLine="54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（二）重庆市环保事权政务服务系统数据安全风险评估</w:t>
      </w:r>
    </w:p>
    <w:p>
      <w:pPr>
        <w:pStyle w:val="68"/>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1、工作需求</w:t>
      </w:r>
    </w:p>
    <w:p>
      <w:pPr>
        <w:pStyle w:val="68"/>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在“（一）重庆市生态环境业务数据分类分级服务”成果的基础上，开展重庆市环保事权政务服务系统的数据安全风险评估服务工作。对数据和数据处理活动安全进行风险识别、风险分析和风险评价，聚焦可能影响数据的保密性、完整性、可用性和数据处理活动合理性的安全风险，掌握数据安全总体状况，发现数据安全隐患，提出数据安全管理和技术防护措施建议,提升数据安全防攻击、防破坏、防窃取、防泄露、防滥用能力。从数据安全管理、数据处理活动、数据安全技术、个人信息保护等方面识别风险，最后梳理风险源清单，分析数据安全风险、视情评价数据安全风险，给出整改建议。</w:t>
      </w:r>
    </w:p>
    <w:p>
      <w:pPr>
        <w:pStyle w:val="68"/>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2、服务内容</w:t>
      </w:r>
    </w:p>
    <w:p>
      <w:pPr>
        <w:pStyle w:val="68"/>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对数据安全管理开展风险评估，评估内容包括：制度流程、组织机构、分类分级、人员管理、合作外包管理、安全威胁和应急管理、开发运维、云数据安全。</w:t>
      </w:r>
    </w:p>
    <w:p>
      <w:pPr>
        <w:pStyle w:val="68"/>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对数据处理活动开展风险评估，评估内容包括：数据收集、数据存储、数据传输、数据使用和加工、数据提供、数据公开、数据删除。</w:t>
      </w:r>
    </w:p>
    <w:p>
      <w:pPr>
        <w:pStyle w:val="68"/>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对数据安全技术开展风险评估，评估内容包括：网络安全防护、身份鉴别与访问控制、监测预警、数据脱敏、数据防泄露、接口安全、备份恢复、安全审计。</w:t>
      </w:r>
    </w:p>
    <w:p>
      <w:pPr>
        <w:pStyle w:val="68"/>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对个人信息保护开展风险评估，评估内容包括：基本原则、告知同意、保护义务、主体权力、投诉举报、个人信息处理、敏感个人信息保护、大型网络平台。</w:t>
      </w:r>
    </w:p>
    <w:p>
      <w:pPr>
        <w:pStyle w:val="68"/>
        <w:spacing w:line="360" w:lineRule="auto"/>
        <w:ind w:firstLine="480" w:firstLineChars="2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3、交付成果：《重庆市环保事权政务服务系统数据风险评估报告》。《重庆市环保事权政务服务系统数据安全风险评估报告》</w:t>
      </w:r>
      <w:r>
        <w:rPr>
          <w:rFonts w:hint="eastAsia" w:ascii="仿宋" w:hAnsi="仿宋" w:eastAsia="仿宋" w:cs="仿宋"/>
          <w:color w:val="auto"/>
          <w:sz w:val="24"/>
          <w:szCs w:val="24"/>
          <w:lang w:val="en-US" w:eastAsia="zh-CN"/>
        </w:rPr>
        <w:t>必须是由符合重庆市数据安全管理相关要求的机构出具，并能够通过数据安全主管部门备案。</w:t>
      </w:r>
    </w:p>
    <w:p>
      <w:pPr>
        <w:pStyle w:val="4"/>
        <w:adjustRightInd w:val="0"/>
        <w:snapToGrid w:val="0"/>
        <w:spacing w:before="0" w:after="0" w:line="360" w:lineRule="auto"/>
        <w:ind w:firstLine="481" w:firstLineChars="200"/>
        <w:rPr>
          <w:rFonts w:hint="eastAsia" w:ascii="仿宋" w:hAnsi="仿宋" w:eastAsia="仿宋" w:cs="仿宋"/>
          <w:color w:val="auto"/>
          <w:sz w:val="24"/>
          <w:highlight w:val="none"/>
          <w:lang w:val="en-US" w:eastAsia="zh-CN"/>
        </w:rPr>
      </w:pPr>
      <w:bookmarkStart w:id="169" w:name="_Toc3595"/>
      <w:r>
        <w:rPr>
          <w:rFonts w:hint="eastAsia" w:ascii="仿宋" w:hAnsi="仿宋" w:eastAsia="仿宋" w:cs="仿宋"/>
          <w:color w:val="auto"/>
          <w:sz w:val="24"/>
          <w:highlight w:val="none"/>
          <w:lang w:val="en-US" w:eastAsia="zh-CN"/>
        </w:rPr>
        <w:t>三、服务要求</w:t>
      </w:r>
      <w:bookmarkEnd w:id="169"/>
    </w:p>
    <w:p>
      <w:pPr>
        <w:snapToGrid w:val="0"/>
        <w:spacing w:line="360" w:lineRule="auto"/>
        <w:ind w:firstLine="470" w:firstLineChars="196"/>
        <w:rPr>
          <w:rFonts w:hint="eastAsia" w:ascii="仿宋" w:hAnsi="仿宋" w:eastAsia="仿宋" w:cs="仿宋"/>
          <w:snapToGrid w:val="0"/>
          <w:color w:val="auto"/>
          <w:sz w:val="24"/>
          <w:highlight w:val="none"/>
          <w:lang w:eastAsia="zh-CN"/>
        </w:rPr>
      </w:pPr>
      <w:r>
        <w:rPr>
          <w:rFonts w:hint="eastAsia" w:ascii="仿宋" w:hAnsi="仿宋" w:eastAsia="仿宋" w:cs="仿宋"/>
          <w:snapToGrid w:val="0"/>
          <w:color w:val="auto"/>
          <w:sz w:val="24"/>
          <w:highlight w:val="none"/>
          <w:lang w:val="en-US" w:eastAsia="zh-CN"/>
        </w:rPr>
        <w:t>1.</w:t>
      </w:r>
      <w:r>
        <w:rPr>
          <w:rFonts w:hint="eastAsia" w:ascii="仿宋" w:hAnsi="仿宋" w:eastAsia="仿宋" w:cs="仿宋"/>
          <w:snapToGrid w:val="0"/>
          <w:color w:val="auto"/>
          <w:sz w:val="24"/>
          <w:highlight w:val="none"/>
          <w:lang w:eastAsia="zh-CN"/>
        </w:rPr>
        <w:t>供应商应根据项目实际情况制定项目实施计划，严格按照项目实施计划推动项目实施，确保项目进度。</w:t>
      </w:r>
    </w:p>
    <w:p>
      <w:pPr>
        <w:snapToGrid w:val="0"/>
        <w:spacing w:line="360" w:lineRule="auto"/>
        <w:ind w:firstLine="470" w:firstLineChars="196"/>
        <w:rPr>
          <w:rFonts w:hint="eastAsia" w:ascii="仿宋" w:hAnsi="仿宋" w:eastAsia="仿宋" w:cs="仿宋"/>
          <w:snapToGrid w:val="0"/>
          <w:color w:val="auto"/>
          <w:sz w:val="24"/>
          <w:highlight w:val="none"/>
          <w:lang w:eastAsia="zh-CN"/>
        </w:rPr>
      </w:pPr>
      <w:r>
        <w:rPr>
          <w:rFonts w:hint="eastAsia" w:ascii="仿宋" w:hAnsi="仿宋" w:eastAsia="仿宋" w:cs="仿宋"/>
          <w:snapToGrid w:val="0"/>
          <w:color w:val="auto"/>
          <w:sz w:val="24"/>
          <w:highlight w:val="none"/>
          <w:lang w:val="en-US" w:eastAsia="zh-CN"/>
        </w:rPr>
        <w:t>2.</w:t>
      </w:r>
      <w:r>
        <w:rPr>
          <w:rFonts w:hint="eastAsia" w:ascii="仿宋" w:hAnsi="仿宋" w:eastAsia="仿宋" w:cs="仿宋"/>
          <w:snapToGrid w:val="0"/>
          <w:color w:val="auto"/>
          <w:sz w:val="24"/>
          <w:highlight w:val="none"/>
          <w:lang w:eastAsia="zh-CN"/>
        </w:rPr>
        <w:t>为保障工作的顺利推进，供应商应指定一名专职服务人员，通过现场或远程支撑的方式为评估过程中的技术问题（包含但不限于需整改的问题）提供技术支撑服务。</w:t>
      </w:r>
    </w:p>
    <w:p>
      <w:pPr>
        <w:snapToGrid w:val="0"/>
        <w:spacing w:line="360" w:lineRule="auto"/>
        <w:ind w:firstLine="470" w:firstLineChars="196"/>
        <w:rPr>
          <w:rFonts w:hint="eastAsia" w:ascii="仿宋" w:hAnsi="仿宋" w:eastAsia="仿宋" w:cs="仿宋"/>
          <w:snapToGrid w:val="0"/>
          <w:color w:val="auto"/>
          <w:sz w:val="24"/>
          <w:highlight w:val="none"/>
          <w:lang w:eastAsia="zh-CN"/>
        </w:rPr>
      </w:pPr>
      <w:r>
        <w:rPr>
          <w:rFonts w:hint="eastAsia" w:ascii="仿宋" w:hAnsi="仿宋" w:eastAsia="仿宋" w:cs="仿宋"/>
          <w:snapToGrid w:val="0"/>
          <w:color w:val="auto"/>
          <w:sz w:val="24"/>
          <w:highlight w:val="none"/>
          <w:lang w:val="en-US" w:eastAsia="zh-CN"/>
        </w:rPr>
        <w:t>3.</w:t>
      </w:r>
      <w:r>
        <w:rPr>
          <w:rFonts w:hint="eastAsia" w:ascii="仿宋" w:hAnsi="仿宋" w:eastAsia="仿宋" w:cs="仿宋"/>
          <w:snapToGrid w:val="0"/>
          <w:color w:val="auto"/>
          <w:sz w:val="24"/>
          <w:highlight w:val="none"/>
          <w:lang w:eastAsia="zh-CN"/>
        </w:rPr>
        <w:t>供应商应加强本项目资料的保密管控，必须针对本项目建立项目纸质、声音、影像、图像、电子等各种形态资料及其载体的保密管控措施，记录资料由生成到销毁整个生命周期内的使用日志，并根据实际工作情况及时对制度进行调整。供应商应加强本项目在用户工作场所使用设备，特别是笔记本电脑、移动存储介质等便携设备使用的保密管理。接入系统网络内使用的设备，必须遵守该系统关于终端安全管理、移动存储介质管理等要求。</w:t>
      </w:r>
    </w:p>
    <w:p>
      <w:pPr>
        <w:pStyle w:val="2"/>
        <w:rPr>
          <w:rFonts w:hint="eastAsia"/>
        </w:rPr>
        <w:sectPr>
          <w:headerReference r:id="rId8" w:type="default"/>
          <w:footerReference r:id="rId9"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sectPr>
      </w:pPr>
    </w:p>
    <w:p>
      <w:pPr>
        <w:pStyle w:val="4"/>
        <w:bidi w:val="0"/>
        <w:jc w:val="center"/>
        <w:rPr>
          <w:rFonts w:hint="eastAsia"/>
          <w:lang w:val="en-US" w:eastAsia="zh-CN"/>
        </w:rPr>
      </w:pPr>
      <w:bookmarkStart w:id="170" w:name="_Toc17609"/>
      <w:bookmarkStart w:id="171" w:name="_Toc17612"/>
      <w:bookmarkStart w:id="172" w:name="_Toc19212"/>
      <w:bookmarkStart w:id="173" w:name="_Toc19606"/>
      <w:bookmarkStart w:id="174" w:name="_Toc25024"/>
      <w:bookmarkStart w:id="175" w:name="_Toc10902"/>
      <w:r>
        <w:rPr>
          <w:rFonts w:hint="eastAsia" w:ascii="仿宋" w:hAnsi="仿宋" w:eastAsia="仿宋" w:cs="仿宋"/>
          <w:bCs/>
          <w:color w:val="auto"/>
          <w:szCs w:val="32"/>
          <w:highlight w:val="none"/>
          <w:lang w:val="en-US" w:eastAsia="zh-CN"/>
        </w:rPr>
        <w:t>第四篇 询价项目商务需求</w:t>
      </w:r>
      <w:bookmarkEnd w:id="170"/>
      <w:bookmarkEnd w:id="171"/>
      <w:bookmarkEnd w:id="172"/>
      <w:bookmarkEnd w:id="173"/>
      <w:bookmarkEnd w:id="174"/>
      <w:bookmarkEnd w:id="175"/>
    </w:p>
    <w:bookmarkEnd w:id="162"/>
    <w:bookmarkEnd w:id="163"/>
    <w:p>
      <w:pPr>
        <w:pStyle w:val="5"/>
        <w:pageBreakBefore w:val="0"/>
        <w:widowControl w:val="0"/>
        <w:kinsoku/>
        <w:wordWrap/>
        <w:overflowPunct/>
        <w:topLinePunct w:val="0"/>
        <w:autoSpaceDE/>
        <w:autoSpaceDN/>
        <w:bidi w:val="0"/>
        <w:adjustRightInd/>
        <w:spacing w:before="0" w:after="0" w:line="360" w:lineRule="auto"/>
        <w:ind w:firstLine="481" w:firstLineChars="200"/>
        <w:textAlignment w:val="auto"/>
        <w:rPr>
          <w:rFonts w:hint="eastAsia" w:ascii="仿宋" w:hAnsi="仿宋" w:eastAsia="仿宋" w:cs="仿宋"/>
          <w:b/>
          <w:color w:val="auto"/>
          <w:sz w:val="24"/>
          <w:szCs w:val="24"/>
          <w:highlight w:val="none"/>
          <w:lang w:val="en-US" w:eastAsia="zh-CN"/>
        </w:rPr>
      </w:pPr>
      <w:bookmarkStart w:id="176" w:name="_Toc11131"/>
      <w:bookmarkStart w:id="177" w:name="_Toc27443"/>
      <w:bookmarkStart w:id="178" w:name="_Toc25082"/>
      <w:bookmarkStart w:id="179" w:name="_Toc2862"/>
      <w:bookmarkStart w:id="180" w:name="_Toc30819"/>
      <w:bookmarkStart w:id="181" w:name="_Toc31744"/>
      <w:bookmarkStart w:id="182" w:name="_Toc344475121"/>
      <w:bookmarkStart w:id="183" w:name="_Toc487204790"/>
      <w:r>
        <w:rPr>
          <w:rFonts w:hint="eastAsia" w:ascii="仿宋" w:hAnsi="仿宋" w:eastAsia="仿宋" w:cs="仿宋"/>
          <w:b/>
          <w:color w:val="auto"/>
          <w:sz w:val="24"/>
          <w:szCs w:val="24"/>
          <w:highlight w:val="none"/>
          <w:lang w:val="en-US" w:eastAsia="zh-CN"/>
        </w:rPr>
        <w:t>一、服务期、服务地点、验收方式</w:t>
      </w:r>
      <w:bookmarkEnd w:id="176"/>
      <w:bookmarkEnd w:id="177"/>
      <w:bookmarkEnd w:id="178"/>
      <w:bookmarkEnd w:id="179"/>
      <w:bookmarkEnd w:id="180"/>
      <w:bookmarkEnd w:id="18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bookmarkStart w:id="184" w:name="_Toc9158"/>
      <w:bookmarkStart w:id="185" w:name="_Toc5773"/>
      <w:bookmarkStart w:id="186" w:name="_Toc28199"/>
      <w:bookmarkStart w:id="187" w:name="_Toc18151"/>
      <w:bookmarkStart w:id="188" w:name="_Toc11899"/>
      <w:r>
        <w:rPr>
          <w:rFonts w:hint="eastAsia" w:ascii="仿宋" w:hAnsi="仿宋" w:eastAsia="仿宋" w:cs="仿宋"/>
          <w:color w:val="000000" w:themeColor="text1"/>
          <w:sz w:val="24"/>
          <w:szCs w:val="24"/>
          <w:highlight w:val="none"/>
          <w:lang w:val="en-US" w:eastAsia="zh-CN"/>
          <w14:textFill>
            <w14:solidFill>
              <w14:schemeClr w14:val="tx1"/>
            </w14:solidFill>
          </w14:textFill>
        </w:rPr>
        <w:t>（一）服务期：2025年12月31日前。</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（二）服务地点：重庆市生态环境局。</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（三）验收方式：成交供应商出具</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重庆市生态环境数据分类分级报告</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、《重庆市生态环境数据资产目录》、《重庆市环保事权政务服务系统数据风险评估报告》等项目成果，采购人根据需要开展验收工作并出具验收报告。</w:t>
      </w:r>
    </w:p>
    <w:p>
      <w:pPr>
        <w:pStyle w:val="5"/>
        <w:pageBreakBefore w:val="0"/>
        <w:widowControl w:val="0"/>
        <w:kinsoku/>
        <w:wordWrap/>
        <w:overflowPunct/>
        <w:topLinePunct w:val="0"/>
        <w:autoSpaceDE/>
        <w:autoSpaceDN/>
        <w:bidi w:val="0"/>
        <w:adjustRightInd/>
        <w:spacing w:before="0" w:after="0" w:line="360" w:lineRule="auto"/>
        <w:ind w:firstLine="481" w:firstLineChars="200"/>
        <w:textAlignment w:val="auto"/>
        <w:rPr>
          <w:rFonts w:hint="eastAsia" w:ascii="仿宋" w:hAnsi="仿宋" w:eastAsia="仿宋" w:cs="仿宋"/>
          <w:b/>
          <w:color w:val="auto"/>
          <w:sz w:val="24"/>
          <w:szCs w:val="24"/>
          <w:highlight w:val="none"/>
          <w:lang w:val="en-US" w:eastAsia="zh-CN"/>
        </w:rPr>
      </w:pPr>
      <w:bookmarkStart w:id="189" w:name="_Toc18605"/>
      <w:r>
        <w:rPr>
          <w:rFonts w:hint="eastAsia" w:ascii="仿宋" w:hAnsi="仿宋" w:eastAsia="仿宋" w:cs="仿宋"/>
          <w:b/>
          <w:color w:val="auto"/>
          <w:sz w:val="24"/>
          <w:szCs w:val="24"/>
          <w:highlight w:val="none"/>
          <w:lang w:val="en-US" w:eastAsia="zh-CN"/>
        </w:rPr>
        <w:t>二、报价要求</w:t>
      </w:r>
      <w:bookmarkEnd w:id="184"/>
      <w:bookmarkEnd w:id="185"/>
      <w:bookmarkEnd w:id="186"/>
      <w:bookmarkEnd w:id="187"/>
      <w:bookmarkEnd w:id="188"/>
      <w:bookmarkEnd w:id="189"/>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（一）本项目为人民币报价，供应商须一次报出不得更改的价格，总报价不得超出最高限价，否则将被视为无效报价。</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报价包含：服务费、人工费、差旅费、交通费、劳务报酬（含加班费、社保缴费等费用）、数据处理及成果制作、文本及材料印制费等完成本项目所有工作内容的费用。因成交供应商自身原因造成漏报、少报皆由其自行承担责任，采购人不再补偿</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w:t>
      </w:r>
    </w:p>
    <w:p>
      <w:pPr>
        <w:pStyle w:val="5"/>
        <w:pageBreakBefore w:val="0"/>
        <w:widowControl w:val="0"/>
        <w:kinsoku/>
        <w:wordWrap/>
        <w:overflowPunct/>
        <w:topLinePunct w:val="0"/>
        <w:autoSpaceDE/>
        <w:autoSpaceDN/>
        <w:bidi w:val="0"/>
        <w:adjustRightInd/>
        <w:spacing w:before="0" w:after="0" w:line="360" w:lineRule="auto"/>
        <w:ind w:firstLine="481" w:firstLineChars="200"/>
        <w:textAlignment w:val="auto"/>
        <w:rPr>
          <w:rFonts w:hint="eastAsia" w:ascii="仿宋" w:hAnsi="仿宋" w:eastAsia="仿宋" w:cs="仿宋"/>
          <w:b/>
          <w:color w:val="auto"/>
          <w:sz w:val="24"/>
          <w:szCs w:val="24"/>
          <w:highlight w:val="none"/>
          <w:lang w:val="en-US" w:eastAsia="zh-CN"/>
        </w:rPr>
      </w:pPr>
      <w:bookmarkStart w:id="190" w:name="_Toc1260"/>
      <w:bookmarkStart w:id="191" w:name="_Toc25277"/>
      <w:bookmarkStart w:id="192" w:name="_Toc11399"/>
      <w:bookmarkStart w:id="193" w:name="_Toc27778"/>
      <w:bookmarkStart w:id="194" w:name="_Toc10163"/>
      <w:bookmarkStart w:id="195" w:name="_Toc15144"/>
      <w:r>
        <w:rPr>
          <w:rFonts w:hint="eastAsia" w:ascii="仿宋" w:hAnsi="仿宋" w:eastAsia="仿宋" w:cs="仿宋"/>
          <w:b/>
          <w:color w:val="auto"/>
          <w:sz w:val="24"/>
          <w:szCs w:val="24"/>
          <w:highlight w:val="none"/>
          <w:lang w:val="en-US" w:eastAsia="zh-CN"/>
        </w:rPr>
        <w:t>三、</w:t>
      </w:r>
      <w:bookmarkStart w:id="196" w:name="_Toc1838"/>
      <w:bookmarkStart w:id="197" w:name="_Toc65660343"/>
      <w:bookmarkStart w:id="198" w:name="_Toc24110"/>
      <w:bookmarkStart w:id="199" w:name="_Toc13220"/>
      <w:bookmarkStart w:id="200" w:name="_Toc22542"/>
      <w:bookmarkStart w:id="201" w:name="_Toc9143"/>
      <w:r>
        <w:rPr>
          <w:rFonts w:hint="eastAsia" w:ascii="仿宋" w:hAnsi="仿宋" w:eastAsia="仿宋" w:cs="仿宋"/>
          <w:b/>
          <w:color w:val="auto"/>
          <w:sz w:val="24"/>
          <w:szCs w:val="24"/>
          <w:highlight w:val="none"/>
          <w:lang w:val="en-US" w:eastAsia="zh-CN"/>
        </w:rPr>
        <w:t>售后服务</w:t>
      </w:r>
      <w:bookmarkEnd w:id="190"/>
      <w:bookmarkEnd w:id="191"/>
      <w:bookmarkEnd w:id="192"/>
      <w:bookmarkEnd w:id="193"/>
      <w:bookmarkEnd w:id="194"/>
      <w:bookmarkEnd w:id="195"/>
      <w:bookmarkEnd w:id="196"/>
      <w:bookmarkEnd w:id="197"/>
      <w:bookmarkEnd w:id="198"/>
      <w:bookmarkEnd w:id="199"/>
      <w:bookmarkEnd w:id="200"/>
      <w:bookmarkEnd w:id="20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202" w:name="_Toc22655"/>
      <w:bookmarkStart w:id="203" w:name="_Toc22726"/>
      <w:bookmarkStart w:id="204" w:name="_Toc27549"/>
      <w:bookmarkStart w:id="205" w:name="_Toc30369"/>
      <w:bookmarkStart w:id="206" w:name="_Toc32356"/>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供应商在服务完成后一年内，免费提供技术支撑服务，提供电话咨询，专家现场评审等方式，协助采购人完善数据安全相关工作任务。</w:t>
      </w:r>
    </w:p>
    <w:p>
      <w:pPr>
        <w:pStyle w:val="5"/>
        <w:pageBreakBefore w:val="0"/>
        <w:widowControl w:val="0"/>
        <w:kinsoku/>
        <w:wordWrap/>
        <w:overflowPunct/>
        <w:topLinePunct w:val="0"/>
        <w:autoSpaceDE/>
        <w:autoSpaceDN/>
        <w:bidi w:val="0"/>
        <w:adjustRightInd/>
        <w:spacing w:before="0" w:after="0" w:line="360" w:lineRule="auto"/>
        <w:ind w:firstLine="481" w:firstLineChars="200"/>
        <w:textAlignment w:val="auto"/>
        <w:rPr>
          <w:rFonts w:hint="eastAsia" w:ascii="仿宋" w:hAnsi="仿宋" w:eastAsia="仿宋" w:cs="仿宋"/>
          <w:b/>
          <w:color w:val="auto"/>
          <w:sz w:val="24"/>
          <w:szCs w:val="24"/>
          <w:highlight w:val="none"/>
          <w:lang w:val="en-US" w:eastAsia="zh-CN"/>
        </w:rPr>
      </w:pPr>
      <w:bookmarkStart w:id="207" w:name="_Toc15720"/>
      <w:r>
        <w:rPr>
          <w:rFonts w:hint="eastAsia" w:ascii="仿宋" w:hAnsi="仿宋" w:eastAsia="仿宋" w:cs="仿宋"/>
          <w:b/>
          <w:color w:val="auto"/>
          <w:sz w:val="24"/>
          <w:szCs w:val="24"/>
          <w:highlight w:val="none"/>
          <w:lang w:val="en-US" w:eastAsia="zh-CN"/>
        </w:rPr>
        <w:t>四、付款方式</w:t>
      </w:r>
      <w:bookmarkEnd w:id="202"/>
      <w:bookmarkEnd w:id="203"/>
      <w:bookmarkEnd w:id="204"/>
      <w:bookmarkEnd w:id="205"/>
      <w:bookmarkEnd w:id="206"/>
      <w:bookmarkEnd w:id="207"/>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208" w:name="_Toc2272"/>
      <w:bookmarkStart w:id="209" w:name="_Toc14725"/>
      <w:bookmarkStart w:id="210" w:name="_Toc21936"/>
      <w:bookmarkStart w:id="211" w:name="_Toc14214"/>
      <w:bookmarkStart w:id="212" w:name="_Toc20354"/>
      <w:bookmarkStart w:id="213" w:name="_Toc10748"/>
      <w:bookmarkStart w:id="214" w:name="_Toc19478"/>
      <w:bookmarkStart w:id="215" w:name="_Toc7801"/>
      <w:bookmarkStart w:id="216" w:name="_Toc28322"/>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成交供应商服务工作结束，向采购人提交相关报告后，按合同总额的100%开具发票，并提交付款申请，采购人在收到发票、付款申请、验收报告等全部项目资料后十五个工作日内付清成交供应商服务费用。</w:t>
      </w:r>
    </w:p>
    <w:bookmarkEnd w:id="182"/>
    <w:bookmarkEnd w:id="183"/>
    <w:bookmarkEnd w:id="208"/>
    <w:bookmarkEnd w:id="209"/>
    <w:bookmarkEnd w:id="210"/>
    <w:bookmarkEnd w:id="211"/>
    <w:bookmarkEnd w:id="212"/>
    <w:bookmarkEnd w:id="213"/>
    <w:bookmarkEnd w:id="214"/>
    <w:bookmarkEnd w:id="215"/>
    <w:bookmarkEnd w:id="216"/>
    <w:p>
      <w:pPr>
        <w:pStyle w:val="4"/>
        <w:adjustRightInd w:val="0"/>
        <w:snapToGrid w:val="0"/>
        <w:spacing w:before="0" w:after="0" w:line="360" w:lineRule="auto"/>
        <w:ind w:firstLine="481" w:firstLineChars="200"/>
        <w:rPr>
          <w:rFonts w:hint="eastAsia" w:ascii="方正仿宋_GBK" w:hAnsi="宋体" w:eastAsia="方正仿宋_GBK"/>
          <w:color w:val="auto"/>
          <w:sz w:val="24"/>
          <w:highlight w:val="none"/>
          <w:lang w:val="en-US" w:eastAsia="zh-CN"/>
        </w:rPr>
      </w:pPr>
      <w:bookmarkStart w:id="217" w:name="_Toc24872"/>
      <w:bookmarkStart w:id="218" w:name="_Toc344475124"/>
      <w:bookmarkStart w:id="219" w:name="_Toc76462331"/>
      <w:bookmarkStart w:id="220" w:name="_Toc106030886"/>
      <w:bookmarkStart w:id="221" w:name="_Toc770"/>
      <w:bookmarkStart w:id="222" w:name="_Toc29720"/>
      <w:bookmarkStart w:id="223" w:name="_Toc11567"/>
      <w:bookmarkStart w:id="224" w:name="_Toc18014"/>
      <w:bookmarkStart w:id="225" w:name="_Toc18995"/>
      <w:r>
        <w:rPr>
          <w:rFonts w:hint="eastAsia" w:ascii="方正仿宋_GBK" w:hAnsi="宋体" w:eastAsia="方正仿宋_GBK"/>
          <w:color w:val="auto"/>
          <w:sz w:val="24"/>
          <w:highlight w:val="none"/>
          <w:lang w:val="en-US" w:eastAsia="zh-CN"/>
        </w:rPr>
        <w:t>五、保密要求</w:t>
      </w:r>
      <w:bookmarkEnd w:id="217"/>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供应商不得将采购人提供的资料及工作成果通过任何方式向第三方透露，供应商实施项目的一切程序都应符合国家安全、保密的有关规定和标准。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（一）供应商需在报价文件中明确，本项目中数据（包含原始数据和衍生数据）全部为采购人所有，全部列入保密范围，供应商不得未经采购人许可的情况下导出、分析以及移作他用。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统一数据出入口，本项目所需环保数据统一由采购人确定的联系人收集提供，供应商应相应确定联系人，负责数据收集对接工作。未经采购人许可，供应商不得以任何形式和理由，使用拷贝、转发、拍照、打印等手段将采购人数据带离采购人制定工作场地。</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（三）采购人提供的数据仅用于本项目工作，不得以任何形式和理由用作其他用途，或提供给非本项目参与人员。</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（四）采购人向供应商提交数据后，供应商应作好内部管理，采取切实有效的保密措施，保障数据安全。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（五）本项目完成后，供应商应对采购人提供的所有数据、供应商提交的成果数据作完全删除处理，并提供数据处理报告。</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（六）本项目产生的成果未经采购人的书面许可，供应商不得以任何形式向第三方（包括所属系统和上级、下级或者同级其他单位）提供。</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（七）采购人和供应商均对对方提供的技术情报、资料等承担保密义务，不论本项目期间或结束，本项目保密要求长期有效。如因泄密造成损失的，受损方视情节轻重有权向泄密方追究法律责任。</w:t>
      </w:r>
    </w:p>
    <w:bookmarkEnd w:id="218"/>
    <w:bookmarkEnd w:id="219"/>
    <w:bookmarkEnd w:id="220"/>
    <w:p>
      <w:pPr>
        <w:pStyle w:val="4"/>
        <w:adjustRightInd w:val="0"/>
        <w:snapToGrid w:val="0"/>
        <w:spacing w:before="0" w:after="0" w:line="360" w:lineRule="auto"/>
        <w:ind w:firstLine="481" w:firstLineChars="200"/>
        <w:rPr>
          <w:rFonts w:hint="eastAsia" w:ascii="方正仿宋_GBK" w:hAnsi="宋体" w:eastAsia="方正仿宋_GBK" w:cs="Times New Roman"/>
          <w:color w:val="000000" w:themeColor="text1"/>
          <w:sz w:val="24"/>
          <w:highlight w:val="none"/>
          <w:lang w:val="en-US" w:eastAsia="zh-CN"/>
          <w14:textFill>
            <w14:solidFill>
              <w14:schemeClr w14:val="tx1"/>
            </w14:solidFill>
          </w14:textFill>
        </w:rPr>
      </w:pPr>
      <w:bookmarkStart w:id="226" w:name="_Toc4017"/>
      <w:r>
        <w:rPr>
          <w:rFonts w:hint="eastAsia" w:ascii="方正仿宋_GBK" w:hAnsi="宋体" w:eastAsia="方正仿宋_GBK" w:cs="Times New Roman"/>
          <w:color w:val="000000" w:themeColor="text1"/>
          <w:sz w:val="24"/>
          <w:highlight w:val="none"/>
          <w:lang w:val="en-US" w:eastAsia="zh-CN"/>
          <w14:textFill>
            <w14:solidFill>
              <w14:schemeClr w14:val="tx1"/>
            </w14:solidFill>
          </w14:textFill>
        </w:rPr>
        <w:t>六、违约责任</w:t>
      </w:r>
      <w:bookmarkEnd w:id="226"/>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（一）采购人与供应商双方确定，任何一方未履行或未完全履行“第三篇 询价项目服务需求”项下的义务，均构成违约。违约方应赔偿因违约给对方造成的一切损失。</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因供应商原因造成项目逾期的，每逾期一日，应向采购人支付合同总金额千分之二的违约金。逾期达2个月，采购人有权单方面解除合同，且供应商需向采购人支付合同总额20%的违约金，同时应退还采购人已支付款项并按照同期中国人民银行贷款利率计付利息。</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（三）采购人未按期支付报酬的，应当补交报酬。采购人逾期付款达2个月，供应商有权单方面解除合同，采购人除承担合同约定的付款义务外，还需向供应商支付合同总额10%的违约金。</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四）在合同履行期间，若采购人无正当理由要求终止或解除合同，采购人应根据供应商已进行的实际工作量支付报酬。供应商工作量不足一半时，按该部分费用总额的一半支付；工作量超过一半时，按该部分费用的全额支付。</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五）供应商提供技术服务不符合本合同要求的，供应商应当按照采购人要求更正和重做，并承担由此产生的全部费用。同时，采购人有权终止合同，供应商应当退还采购人已支付款项并按照同期中国人民银行贷款利率计付利息，同时赔偿采购人的相应损失。供应商根据合同承担的各项赔偿金额总和，不得超过技术服务费总额。</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（六）采购人与供应商双方确定，采购人按照供应商的技术服务工作成果作出决策并予以实施所造成的损失，该损失因供应商过错造成，则由供应商承担全部责任。</w:t>
      </w:r>
    </w:p>
    <w:p>
      <w:pPr>
        <w:pStyle w:val="4"/>
        <w:adjustRightInd w:val="0"/>
        <w:snapToGrid w:val="0"/>
        <w:spacing w:before="0" w:after="0" w:line="360" w:lineRule="auto"/>
        <w:ind w:firstLine="481" w:firstLineChars="200"/>
        <w:rPr>
          <w:rFonts w:hint="eastAsia" w:ascii="方正仿宋_GBK" w:hAnsi="宋体" w:eastAsia="方正仿宋_GBK"/>
          <w:color w:val="000000" w:themeColor="text1"/>
          <w:sz w:val="24"/>
          <w:highlight w:val="none"/>
          <w14:textFill>
            <w14:solidFill>
              <w14:schemeClr w14:val="tx1"/>
            </w14:solidFill>
          </w14:textFill>
        </w:rPr>
      </w:pPr>
      <w:bookmarkStart w:id="227" w:name="_Toc8172"/>
      <w:r>
        <w:rPr>
          <w:rFonts w:hint="eastAsia" w:ascii="方正仿宋_GBK" w:hAnsi="宋体" w:eastAsia="方正仿宋_GBK"/>
          <w:color w:val="000000" w:themeColor="text1"/>
          <w:sz w:val="24"/>
          <w:highlight w:val="none"/>
          <w:lang w:val="en-US" w:eastAsia="zh-CN"/>
          <w14:textFill>
            <w14:solidFill>
              <w14:schemeClr w14:val="tx1"/>
            </w14:solidFill>
          </w14:textFill>
        </w:rPr>
        <w:t>七</w:t>
      </w:r>
      <w:r>
        <w:rPr>
          <w:rFonts w:hint="eastAsia" w:ascii="方正仿宋_GBK" w:hAnsi="宋体" w:eastAsia="方正仿宋_GBK"/>
          <w:color w:val="000000" w:themeColor="text1"/>
          <w:sz w:val="24"/>
          <w:highlight w:val="none"/>
          <w14:textFill>
            <w14:solidFill>
              <w14:schemeClr w14:val="tx1"/>
            </w14:solidFill>
          </w14:textFill>
        </w:rPr>
        <w:t>、</w:t>
      </w:r>
      <w:bookmarkStart w:id="228" w:name="_Toc344475125"/>
      <w:r>
        <w:rPr>
          <w:rFonts w:hint="eastAsia" w:ascii="方正仿宋_GBK" w:hAnsi="宋体" w:eastAsia="方正仿宋_GBK"/>
          <w:color w:val="000000" w:themeColor="text1"/>
          <w:sz w:val="24"/>
          <w:highlight w:val="none"/>
          <w14:textFill>
            <w14:solidFill>
              <w14:schemeClr w14:val="tx1"/>
            </w14:solidFill>
          </w14:textFill>
        </w:rPr>
        <w:t>其他</w:t>
      </w:r>
      <w:bookmarkEnd w:id="227"/>
    </w:p>
    <w:bookmarkEnd w:id="228"/>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其他未尽事宜由供需双方在采购合同中详细约定。</w:t>
      </w:r>
    </w:p>
    <w:bookmarkEnd w:id="221"/>
    <w:bookmarkEnd w:id="222"/>
    <w:bookmarkEnd w:id="223"/>
    <w:bookmarkEnd w:id="224"/>
    <w:bookmarkEnd w:id="225"/>
    <w:p>
      <w:pPr>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End w:id="164"/>
      <w:bookmarkEnd w:id="165"/>
      <w:bookmarkStart w:id="229" w:name="_Toc487204796"/>
      <w:bookmarkStart w:id="230" w:name="_Toc12789072"/>
    </w:p>
    <w:p>
      <w:pPr>
        <w:pStyle w:val="4"/>
        <w:bidi w:val="0"/>
        <w:jc w:val="center"/>
        <w:rPr>
          <w:rFonts w:hint="eastAsia" w:ascii="仿宋" w:hAnsi="仿宋" w:eastAsia="仿宋" w:cs="仿宋"/>
          <w:color w:val="auto"/>
          <w:highlight w:val="none"/>
          <w:lang w:val="en-US" w:eastAsia="zh-CN"/>
        </w:rPr>
      </w:pPr>
      <w:bookmarkStart w:id="231" w:name="_Toc8230"/>
      <w:bookmarkStart w:id="232" w:name="_Toc13595"/>
      <w:bookmarkStart w:id="233" w:name="_Toc9740"/>
      <w:bookmarkStart w:id="234" w:name="_Toc8992"/>
      <w:bookmarkStart w:id="235" w:name="_Toc10763"/>
      <w:bookmarkStart w:id="236" w:name="_Toc8326"/>
      <w:r>
        <w:rPr>
          <w:rFonts w:hint="eastAsia" w:ascii="仿宋" w:hAnsi="仿宋" w:eastAsia="仿宋" w:cs="仿宋"/>
          <w:color w:val="auto"/>
          <w:highlight w:val="none"/>
          <w:lang w:val="en-US" w:eastAsia="zh-CN"/>
        </w:rPr>
        <w:t>第五篇 合同主要条款和格式合同（参考样本）</w:t>
      </w:r>
      <w:bookmarkEnd w:id="231"/>
      <w:bookmarkEnd w:id="232"/>
      <w:bookmarkEnd w:id="233"/>
      <w:bookmarkEnd w:id="234"/>
      <w:bookmarkEnd w:id="235"/>
      <w:bookmarkEnd w:id="236"/>
    </w:p>
    <w:p>
      <w:pPr>
        <w:pStyle w:val="5"/>
        <w:spacing w:before="0" w:after="0" w:line="360" w:lineRule="auto"/>
        <w:ind w:firstLine="481" w:firstLineChars="200"/>
        <w:rPr>
          <w:rFonts w:hint="eastAsia" w:ascii="仿宋" w:hAnsi="仿宋" w:eastAsia="仿宋" w:cs="仿宋"/>
          <w:color w:val="auto"/>
          <w:sz w:val="24"/>
          <w:szCs w:val="24"/>
          <w:highlight w:val="none"/>
        </w:rPr>
      </w:pPr>
      <w:bookmarkStart w:id="237" w:name="_Toc6995"/>
      <w:bookmarkStart w:id="238" w:name="_Toc15016"/>
      <w:bookmarkStart w:id="239" w:name="_Toc26000"/>
      <w:bookmarkStart w:id="240" w:name="_Toc29448"/>
      <w:bookmarkStart w:id="241" w:name="_Toc2801"/>
      <w:bookmarkStart w:id="242" w:name="_Toc4004"/>
      <w:bookmarkStart w:id="243" w:name="_Toc19270"/>
      <w:bookmarkStart w:id="244" w:name="_Toc2725"/>
      <w:bookmarkStart w:id="245" w:name="_Toc9277"/>
      <w:bookmarkStart w:id="246" w:name="_Toc9507"/>
      <w:bookmarkStart w:id="247" w:name="_Toc27491"/>
      <w:bookmarkStart w:id="248" w:name="_Toc25507"/>
      <w:bookmarkStart w:id="249" w:name="_Toc28639"/>
      <w:bookmarkStart w:id="250" w:name="_Toc26615"/>
      <w:bookmarkStart w:id="251" w:name="_Toc22366"/>
      <w:bookmarkStart w:id="252" w:name="_Toc1259"/>
      <w:bookmarkStart w:id="253" w:name="_Toc11935"/>
      <w:bookmarkStart w:id="254" w:name="_Toc6800"/>
      <w:bookmarkStart w:id="255" w:name="_Toc24769"/>
      <w:bookmarkStart w:id="256" w:name="_Toc3422"/>
      <w:bookmarkStart w:id="257" w:name="_Toc17876"/>
      <w:bookmarkStart w:id="258" w:name="_Toc16225"/>
      <w:r>
        <w:rPr>
          <w:rFonts w:hint="eastAsia" w:ascii="仿宋" w:hAnsi="仿宋" w:eastAsia="仿宋" w:cs="仿宋"/>
          <w:color w:val="auto"/>
          <w:sz w:val="24"/>
          <w:szCs w:val="24"/>
          <w:highlight w:val="none"/>
        </w:rPr>
        <w:t>一、合同主要条款</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1.1甲方（需方）即采购人，是指通过</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highlight w:val="none"/>
        </w:rPr>
        <w:t>采购，接受合同货物</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服务的各级国家机关、事业单位和团体组织。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1.2乙方（供方）即成交供应商，是指成交后提供合同</w:t>
      </w:r>
      <w:r>
        <w:rPr>
          <w:rFonts w:hint="eastAsia" w:ascii="仿宋" w:hAnsi="仿宋" w:eastAsia="仿宋" w:cs="仿宋"/>
          <w:bCs/>
          <w:color w:val="auto"/>
          <w:sz w:val="24"/>
          <w:highlight w:val="none"/>
        </w:rPr>
        <w:t>货物</w:t>
      </w:r>
      <w:r>
        <w:rPr>
          <w:rFonts w:hint="eastAsia" w:ascii="仿宋" w:hAnsi="仿宋" w:eastAsia="仿宋" w:cs="仿宋"/>
          <w:bCs/>
          <w:color w:val="auto"/>
          <w:sz w:val="24"/>
          <w:highlight w:val="none"/>
          <w:lang w:val="en-US" w:eastAsia="zh-CN"/>
        </w:rPr>
        <w:t>或</w:t>
      </w:r>
      <w:r>
        <w:rPr>
          <w:rFonts w:hint="eastAsia" w:ascii="仿宋" w:hAnsi="仿宋" w:eastAsia="仿宋" w:cs="仿宋"/>
          <w:bCs/>
          <w:color w:val="auto"/>
          <w:sz w:val="24"/>
          <w:highlight w:val="none"/>
        </w:rPr>
        <w:t>服务</w:t>
      </w:r>
      <w:r>
        <w:rPr>
          <w:rFonts w:hint="eastAsia" w:ascii="仿宋" w:hAnsi="仿宋" w:eastAsia="仿宋" w:cs="仿宋"/>
          <w:color w:val="auto"/>
          <w:sz w:val="24"/>
          <w:highlight w:val="none"/>
        </w:rPr>
        <w:t>的自然人、法人及其他组织。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1.3合同是指由甲乙双方按照</w:t>
      </w:r>
      <w:r>
        <w:rPr>
          <w:rFonts w:hint="eastAsia" w:ascii="仿宋" w:hAnsi="仿宋" w:eastAsia="仿宋" w:cs="仿宋"/>
          <w:color w:val="auto"/>
          <w:sz w:val="24"/>
          <w:highlight w:val="none"/>
          <w:lang w:eastAsia="zh-CN"/>
        </w:rPr>
        <w:t>询价通知书</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eastAsia="zh-CN"/>
        </w:rPr>
        <w:t>报价文件</w:t>
      </w:r>
      <w:r>
        <w:rPr>
          <w:rFonts w:hint="eastAsia" w:ascii="仿宋" w:hAnsi="仿宋" w:eastAsia="仿宋" w:cs="仿宋"/>
          <w:color w:val="auto"/>
          <w:sz w:val="24"/>
          <w:highlight w:val="none"/>
        </w:rPr>
        <w:t>的实质性内容，通过协商一致达成的书面协议。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1.4合同价格指以成交价格为依据，在供方全面履行合同义务后，需方应支付给供方的金额。</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bCs/>
          <w:color w:val="auto"/>
          <w:sz w:val="24"/>
          <w:highlight w:val="none"/>
        </w:rPr>
        <w:t>技术资料是指合同货物及其相关的检验、验收等文件（包括图纸、各种文字说明、标准）</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2.合同内容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合同包括以下内容：</w:t>
      </w:r>
      <w:r>
        <w:rPr>
          <w:rFonts w:hint="eastAsia" w:ascii="仿宋" w:hAnsi="仿宋" w:eastAsia="仿宋" w:cs="仿宋"/>
          <w:bCs/>
          <w:color w:val="auto"/>
          <w:sz w:val="24"/>
          <w:highlight w:val="none"/>
          <w:lang w:val="en-US" w:eastAsia="zh-CN"/>
        </w:rPr>
        <w:t>服务内容</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实施时间</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实施地点</w:t>
      </w:r>
      <w:r>
        <w:rPr>
          <w:rFonts w:hint="eastAsia" w:ascii="仿宋" w:hAnsi="仿宋" w:eastAsia="仿宋" w:cs="仿宋"/>
          <w:bCs/>
          <w:color w:val="auto"/>
          <w:sz w:val="24"/>
          <w:highlight w:val="none"/>
        </w:rPr>
        <w:t>、价格等内容</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3.合同价格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3.1合同价格包含</w:t>
      </w:r>
      <w:r>
        <w:rPr>
          <w:rFonts w:hint="eastAsia" w:ascii="仿宋" w:hAnsi="仿宋" w:eastAsia="仿宋" w:cs="仿宋"/>
          <w:color w:val="auto"/>
          <w:sz w:val="24"/>
          <w:highlight w:val="none"/>
          <w:lang w:val="en-US" w:eastAsia="zh-CN"/>
        </w:rPr>
        <w:t>服务费、人工费、差旅费、交通费、劳务报酬（含加班费、社保缴费等费用）、数据处理及成果制作、文本及材料印制费等完成本项目所有工作内容的费用。</w:t>
      </w:r>
      <w:r>
        <w:rPr>
          <w:rFonts w:hint="eastAsia" w:ascii="仿宋" w:hAnsi="仿宋" w:eastAsia="仿宋" w:cs="仿宋"/>
          <w:color w:val="auto"/>
          <w:sz w:val="24"/>
          <w:highlight w:val="none"/>
        </w:rPr>
        <w:t>因</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自身原因造成漏报、少报皆由其自行承担责任，</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不再补偿。</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4.转包或分包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4.1本合同范围的货物，应由乙方直接供应，不得转让他人供应；</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4.2如有转让和分包行为，甲方有权解除合同，并追究乙方的违约责任。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5.付款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5.1本合同使用货币币制如未作特别说明均为人民币。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5.2付款方式：银行转账、现金支票。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5.3付款方法：</w:t>
      </w:r>
      <w:r>
        <w:rPr>
          <w:rFonts w:hint="eastAsia" w:ascii="仿宋" w:hAnsi="仿宋" w:eastAsia="仿宋" w:cs="仿宋"/>
          <w:color w:val="auto"/>
          <w:sz w:val="24"/>
          <w:highlight w:val="none"/>
          <w:lang w:val="en-US" w:eastAsia="zh-CN"/>
        </w:rPr>
        <w:t>乙方按采购合同交货、安装调试完成并经甲方验收合格后，乙方开具发票，甲方一次性支付货款</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6.保密要求</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6.1乙方不得将甲方提供的资料及工作成果通过任何方式向第三方透露，乙方实施项目的一切程序都应符合国家安全、保密的有关规定和标准。</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6.2乙方需在报价文件中明确，本项目中数据（包含原始数据和衍生数据）全部为甲方所有，全部列入保密范围，乙方不得未经甲方许可的情况下导出、分析以及移作他用。</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统一数据出入口，本项目所需环保数据统一由甲方确定的联系人收集提供，乙方应相应确定联系人，负责数据收集对接工作。未经甲方许可，乙方不得以任何形式和理由，使用拷贝、转发、拍照、打印等手段将甲方数据带离甲方指定工作场地。</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6.4甲方提供的数据仅用于本项目工作，不得以任何形式和理由用作其他用途，或提供给非本项目参与人员。</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6.5甲方向乙方提交数据后，乙方应作好内部管理，采取切实有效的保密措施，保障数据安全。</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6.6本项目完成后，乙方应对甲方提供的所有数据、乙方提交的成果数据作完全删除处理，并提供数据处理报告。</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6.7本项目产生的成果未经甲方的书面许可，乙方不得以任何形式向第三方（包括所属系统和上级、下级或者同级其他单位）提供。</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6.8甲方和乙方均对对方提供的技术情报、资料等承担保密义务，不论本项目期间或结束，本项目保密要求长期有效。如因泄密造成损失的，受损方视情节轻重有权向泄密方追究法律责任。</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7.违约责任</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7.1甲方与乙方双方确定，任何一方未履行或未完全履行“第三篇 项目服务需求”项下的义务，均构成违约。违约方应赔偿因违约给对方造成的一切损失。</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因乙方原因造成项目逾期的，每逾期一日，应向甲方支付合同总金额千分之二的违约金。逾期达2个月，甲方有权单方面解除合同，且乙方需向甲方支付合同总额20%的违约金，同时应退还甲方已支付款项并按照同期中国人民银行贷款利率计付利息。</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7.3甲方未按期支付报酬的，应当补交报酬。甲方逾期付款达2个月，乙方有权单方面解除合同，甲方除承担合同约定的付款义务外，还需向乙方支付合同总额10%的违约金。</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7.4在合同履行期间，若甲方无正当理由要求终止或解除合同，甲方应根据乙方已进行的实际工作量支付报酬。乙方工作量不足一半时，按该部分费用总额的一半支付；工作量超过一半时，按该部分费用的全额支付。</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7.5乙方提供技术服务不符合本合同要求的，乙方应当按照甲方要求更正和重做，并承担由此产生的全部费用。同时，甲方有权终止合同，乙方应当退还甲方已支付款项并按照同期中国人民银行贷款利率计付利息，同时赔偿甲方的相应损失。乙方根据合同承担的各项赔偿金额总和，不得超过技术服务费总额。</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7.6甲方与乙方双方确定，甲方按照乙方的技术服务工作成果作出决策并予以实施所造成的损失，该损失因乙方过错造成，则由乙方承担全部责任。</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检查验收</w:t>
      </w:r>
      <w:r>
        <w:rPr>
          <w:rFonts w:hint="eastAsia" w:ascii="仿宋" w:hAnsi="仿宋" w:eastAsia="仿宋" w:cs="仿宋"/>
          <w:color w:val="auto"/>
          <w:sz w:val="24"/>
          <w:highlight w:val="none"/>
          <w:lang w:val="en-US" w:eastAsia="zh-CN"/>
        </w:rPr>
        <w:t>方案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.1履约验收主体：</w:t>
      </w:r>
      <w:r>
        <w:rPr>
          <w:rFonts w:hint="eastAsia" w:ascii="仿宋" w:hAnsi="仿宋" w:eastAsia="仿宋" w:cs="仿宋"/>
          <w:color w:val="auto"/>
          <w:sz w:val="24"/>
          <w:highlight w:val="none"/>
          <w:lang w:eastAsia="zh-CN"/>
        </w:rPr>
        <w:t>重庆市生态环境大数据应用中心</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.2履约验收时间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甲方组织验收小组验收。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.3履约验收方式、程序及标准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乙方提供的服务未达到</w:t>
      </w:r>
      <w:r>
        <w:rPr>
          <w:rFonts w:hint="eastAsia" w:ascii="仿宋" w:hAnsi="仿宋" w:eastAsia="仿宋" w:cs="仿宋"/>
          <w:color w:val="auto"/>
          <w:sz w:val="24"/>
          <w:highlight w:val="none"/>
          <w:lang w:val="en-US" w:eastAsia="zh-CN"/>
        </w:rPr>
        <w:t>询价通知书</w:t>
      </w:r>
      <w:r>
        <w:rPr>
          <w:rFonts w:hint="eastAsia" w:ascii="仿宋" w:hAnsi="仿宋" w:eastAsia="仿宋" w:cs="仿宋"/>
          <w:color w:val="auto"/>
          <w:sz w:val="24"/>
          <w:highlight w:val="none"/>
        </w:rPr>
        <w:t xml:space="preserve">规定以及合同约定的要求，且对甲方造成损失的，由乙方承担一切责任，并赔偿所造成的损失。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.4履约验收内容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验收内容包括</w:t>
      </w:r>
      <w:r>
        <w:rPr>
          <w:rFonts w:hint="eastAsia" w:ascii="仿宋" w:hAnsi="仿宋" w:eastAsia="仿宋" w:cs="仿宋"/>
          <w:color w:val="auto"/>
          <w:sz w:val="24"/>
          <w:highlight w:val="none"/>
          <w:lang w:val="en-US" w:eastAsia="zh-CN"/>
        </w:rPr>
        <w:t>询价通知书</w:t>
      </w:r>
      <w:r>
        <w:rPr>
          <w:rFonts w:hint="eastAsia" w:ascii="仿宋" w:hAnsi="仿宋" w:eastAsia="仿宋" w:cs="仿宋"/>
          <w:color w:val="auto"/>
          <w:sz w:val="24"/>
          <w:highlight w:val="none"/>
        </w:rPr>
        <w:t>中的每一项</w:t>
      </w:r>
      <w:r>
        <w:rPr>
          <w:rFonts w:hint="eastAsia" w:ascii="仿宋" w:hAnsi="仿宋" w:eastAsia="仿宋" w:cs="仿宋"/>
          <w:color w:val="auto"/>
          <w:sz w:val="24"/>
          <w:highlight w:val="none"/>
          <w:lang w:val="en-US" w:eastAsia="zh-CN"/>
        </w:rPr>
        <w:t>技服务</w:t>
      </w:r>
      <w:r>
        <w:rPr>
          <w:rFonts w:hint="eastAsia" w:ascii="仿宋" w:hAnsi="仿宋" w:eastAsia="仿宋" w:cs="仿宋"/>
          <w:color w:val="auto"/>
          <w:sz w:val="24"/>
          <w:highlight w:val="none"/>
        </w:rPr>
        <w:t>、商务、安全标准的履约情况，详见</w:t>
      </w:r>
      <w:r>
        <w:rPr>
          <w:rFonts w:hint="eastAsia" w:ascii="仿宋" w:hAnsi="仿宋" w:eastAsia="仿宋" w:cs="仿宋"/>
          <w:color w:val="auto"/>
          <w:sz w:val="24"/>
          <w:highlight w:val="none"/>
          <w:lang w:val="en-US" w:eastAsia="zh-CN"/>
        </w:rPr>
        <w:t>询价通知书</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篇及第</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篇内容。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8.5</w:t>
      </w:r>
      <w:r>
        <w:rPr>
          <w:rFonts w:hint="eastAsia" w:ascii="仿宋" w:hAnsi="仿宋" w:eastAsia="仿宋" w:cs="仿宋"/>
          <w:color w:val="auto"/>
          <w:sz w:val="24"/>
          <w:highlight w:val="none"/>
        </w:rPr>
        <w:t>供方所提供的各种货物和服务内容质量指标不得低于合同要求指标，货物和服务内容质量如验收不合格，除供方负责赔偿需方一切损失外，并按照相关规定进行处罚，承担相应责任。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8.6产品在用户掌握使用技术要领，使用符合要求后，才作为最终验收</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.索赔</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乙方提供的服务未达到</w:t>
      </w:r>
      <w:r>
        <w:rPr>
          <w:rFonts w:hint="eastAsia" w:ascii="仿宋" w:hAnsi="仿宋" w:eastAsia="仿宋" w:cs="仿宋"/>
          <w:color w:val="auto"/>
          <w:sz w:val="24"/>
          <w:highlight w:val="none"/>
          <w:lang w:eastAsia="zh-CN"/>
        </w:rPr>
        <w:t>询价通知书</w:t>
      </w:r>
      <w:r>
        <w:rPr>
          <w:rFonts w:hint="eastAsia" w:ascii="仿宋" w:hAnsi="仿宋" w:eastAsia="仿宋" w:cs="仿宋"/>
          <w:color w:val="auto"/>
          <w:sz w:val="24"/>
          <w:highlight w:val="none"/>
        </w:rPr>
        <w:t>规定要求，由乙方承担一切责任。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.知识产权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甲方在中华人民共和国境内使用乙方提供的货物、工程及服务时免受第三方提出的侵犯其专利权或其它知识产权的起诉。如果第三方提出侵权指控，乙方应承担由此而引起的一切法律责任和费用。</w:t>
      </w:r>
    </w:p>
    <w:p>
      <w:pPr>
        <w:spacing w:line="360" w:lineRule="auto"/>
        <w:ind w:firstLine="480" w:firstLineChars="200"/>
        <w:rPr>
          <w:rFonts w:hint="eastAsia" w:ascii="仿宋" w:hAnsi="仿宋" w:eastAsia="仿宋" w:cs="仿宋"/>
          <w:color w:val="auto"/>
          <w:sz w:val="24"/>
          <w:highlight w:val="none"/>
          <w:lang w:val="zh-CN"/>
        </w:rPr>
      </w:pPr>
      <w:bookmarkStart w:id="259" w:name="_Toc452016423"/>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合同争议的解决</w:t>
      </w:r>
      <w:bookmarkEnd w:id="259"/>
    </w:p>
    <w:p>
      <w:pPr>
        <w:spacing w:line="360" w:lineRule="auto"/>
        <w:ind w:firstLine="480" w:firstLineChars="200"/>
        <w:rPr>
          <w:rFonts w:hint="eastAsia" w:ascii="仿宋" w:hAnsi="仿宋" w:eastAsia="仿宋" w:cs="仿宋"/>
          <w:color w:val="auto"/>
          <w:sz w:val="24"/>
          <w:highlight w:val="none"/>
          <w:lang w:val="zh-CN"/>
        </w:rPr>
      </w:pPr>
      <w:bookmarkStart w:id="260" w:name="_Toc452016424"/>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val="zh-CN"/>
        </w:rPr>
        <w:t>.1当事人友好协商达成一致</w:t>
      </w:r>
      <w:bookmarkEnd w:id="260"/>
    </w:p>
    <w:p>
      <w:pPr>
        <w:spacing w:line="360" w:lineRule="auto"/>
        <w:ind w:firstLine="480" w:firstLineChars="200"/>
        <w:rPr>
          <w:rFonts w:hint="eastAsia" w:ascii="仿宋" w:hAnsi="仿宋" w:eastAsia="仿宋" w:cs="仿宋"/>
          <w:color w:val="auto"/>
          <w:sz w:val="24"/>
          <w:highlight w:val="none"/>
          <w:lang w:val="zh-CN"/>
        </w:rPr>
      </w:pPr>
      <w:bookmarkStart w:id="261" w:name="_Toc452016425"/>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val="zh-CN"/>
        </w:rPr>
        <w:t>.2在60天内当事人协商不能达成协议的，可提请</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zh-CN"/>
        </w:rPr>
        <w:t>当地仲裁机构仲裁。</w:t>
      </w:r>
      <w:bookmarkEnd w:id="261"/>
    </w:p>
    <w:p>
      <w:pPr>
        <w:spacing w:line="360" w:lineRule="auto"/>
        <w:ind w:firstLine="480" w:firstLineChars="200"/>
        <w:rPr>
          <w:rFonts w:hint="eastAsia" w:ascii="仿宋" w:hAnsi="仿宋" w:eastAsia="仿宋" w:cs="仿宋"/>
          <w:color w:val="auto"/>
          <w:sz w:val="24"/>
          <w:highlight w:val="none"/>
          <w:lang w:val="zh-CN"/>
        </w:rPr>
      </w:pPr>
      <w:bookmarkStart w:id="262" w:name="_Toc452016426"/>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合同生效及其它</w:t>
      </w:r>
      <w:bookmarkEnd w:id="262"/>
    </w:p>
    <w:p>
      <w:pPr>
        <w:spacing w:line="360" w:lineRule="auto"/>
        <w:ind w:firstLine="480" w:firstLineChars="200"/>
        <w:rPr>
          <w:rFonts w:hint="eastAsia" w:ascii="仿宋" w:hAnsi="仿宋" w:eastAsia="仿宋" w:cs="仿宋"/>
          <w:color w:val="auto"/>
          <w:sz w:val="24"/>
          <w:highlight w:val="none"/>
          <w:lang w:val="zh-CN"/>
        </w:rPr>
      </w:pPr>
      <w:bookmarkStart w:id="263" w:name="_Toc452016427"/>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.1合同生效及其效力应符合《中华人民共和国</w:t>
      </w:r>
      <w:r>
        <w:rPr>
          <w:rFonts w:hint="eastAsia" w:ascii="仿宋" w:hAnsi="仿宋" w:eastAsia="仿宋" w:cs="仿宋"/>
          <w:color w:val="auto"/>
          <w:sz w:val="24"/>
          <w:highlight w:val="none"/>
        </w:rPr>
        <w:t>民法典</w:t>
      </w:r>
      <w:r>
        <w:rPr>
          <w:rFonts w:hint="eastAsia" w:ascii="仿宋" w:hAnsi="仿宋" w:eastAsia="仿宋" w:cs="仿宋"/>
          <w:color w:val="auto"/>
          <w:sz w:val="24"/>
          <w:highlight w:val="none"/>
          <w:lang w:val="zh-CN"/>
        </w:rPr>
        <w:t>》有关规定。</w:t>
      </w:r>
      <w:bookmarkEnd w:id="263"/>
    </w:p>
    <w:p>
      <w:pPr>
        <w:spacing w:line="360" w:lineRule="auto"/>
        <w:ind w:firstLine="480" w:firstLineChars="200"/>
        <w:rPr>
          <w:rFonts w:hint="eastAsia" w:ascii="仿宋" w:hAnsi="仿宋" w:eastAsia="仿宋" w:cs="仿宋"/>
          <w:color w:val="auto"/>
          <w:sz w:val="24"/>
          <w:highlight w:val="none"/>
          <w:lang w:val="zh-CN"/>
        </w:rPr>
      </w:pPr>
      <w:bookmarkStart w:id="264" w:name="_Toc452016428"/>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.2合同应经当事人法定代表人或委托代理人签字，加盖双方合同专用章或公章。</w:t>
      </w:r>
      <w:bookmarkEnd w:id="264"/>
    </w:p>
    <w:p>
      <w:pPr>
        <w:spacing w:line="360" w:lineRule="auto"/>
        <w:ind w:firstLine="480" w:firstLineChars="200"/>
        <w:rPr>
          <w:rFonts w:hint="eastAsia" w:ascii="仿宋" w:hAnsi="仿宋" w:eastAsia="仿宋" w:cs="仿宋"/>
          <w:color w:val="auto"/>
          <w:sz w:val="24"/>
          <w:highlight w:val="none"/>
          <w:lang w:val="zh-CN"/>
        </w:rPr>
      </w:pPr>
      <w:bookmarkStart w:id="265" w:name="_Toc452016429"/>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.3合同所包括附件，是合同不可分割的一部分，具有同等法法律效力。</w:t>
      </w:r>
      <w:bookmarkEnd w:id="265"/>
    </w:p>
    <w:p>
      <w:pPr>
        <w:spacing w:line="360" w:lineRule="auto"/>
        <w:ind w:firstLine="480" w:firstLineChars="200"/>
        <w:rPr>
          <w:rFonts w:hint="eastAsia" w:ascii="仿宋" w:hAnsi="仿宋" w:eastAsia="仿宋" w:cs="仿宋"/>
          <w:color w:val="auto"/>
          <w:sz w:val="24"/>
          <w:highlight w:val="none"/>
          <w:lang w:val="zh-CN"/>
        </w:rPr>
      </w:pPr>
      <w:bookmarkStart w:id="266" w:name="_Toc452016430"/>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.4合同需提供担保的，按《中华人民共和国</w:t>
      </w:r>
      <w:r>
        <w:rPr>
          <w:rFonts w:hint="eastAsia" w:ascii="仿宋" w:hAnsi="仿宋" w:eastAsia="仿宋" w:cs="仿宋"/>
          <w:color w:val="auto"/>
          <w:sz w:val="24"/>
          <w:highlight w:val="none"/>
        </w:rPr>
        <w:t>民法典</w:t>
      </w:r>
      <w:r>
        <w:rPr>
          <w:rFonts w:hint="eastAsia" w:ascii="仿宋" w:hAnsi="仿宋" w:eastAsia="仿宋" w:cs="仿宋"/>
          <w:color w:val="auto"/>
          <w:sz w:val="24"/>
          <w:highlight w:val="none"/>
          <w:lang w:val="zh-CN"/>
        </w:rPr>
        <w:t>》规定执行。</w:t>
      </w:r>
      <w:bookmarkEnd w:id="266"/>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.5本合同条件未尽事宜依照《中华人民共和国</w:t>
      </w:r>
      <w:r>
        <w:rPr>
          <w:rFonts w:hint="eastAsia" w:ascii="仿宋" w:hAnsi="仿宋" w:eastAsia="仿宋" w:cs="仿宋"/>
          <w:color w:val="auto"/>
          <w:sz w:val="24"/>
          <w:highlight w:val="none"/>
        </w:rPr>
        <w:t>民法典</w:t>
      </w:r>
      <w:r>
        <w:rPr>
          <w:rFonts w:hint="eastAsia" w:ascii="仿宋" w:hAnsi="仿宋" w:eastAsia="仿宋" w:cs="仿宋"/>
          <w:color w:val="auto"/>
          <w:sz w:val="24"/>
          <w:highlight w:val="none"/>
          <w:lang w:val="zh-CN"/>
        </w:rPr>
        <w:t>》，由供需双方共同协商确定。</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72"/>
          <w:rFonts w:hint="eastAsia" w:ascii="仿宋" w:hAnsi="仿宋" w:eastAsia="仿宋" w:cs="仿宋"/>
          <w:color w:val="auto"/>
          <w:highlight w:val="none"/>
        </w:rPr>
      </w:pPr>
      <w:bookmarkStart w:id="267" w:name="_Toc32354"/>
      <w:bookmarkStart w:id="268" w:name="_Toc11999"/>
      <w:bookmarkStart w:id="269" w:name="_Toc19688"/>
      <w:bookmarkStart w:id="270" w:name="_Toc21496"/>
      <w:bookmarkStart w:id="271" w:name="_Toc10489"/>
      <w:bookmarkStart w:id="272" w:name="_Toc14744"/>
      <w:bookmarkStart w:id="273" w:name="_Toc6783"/>
      <w:bookmarkStart w:id="274" w:name="_Toc4715"/>
      <w:bookmarkStart w:id="275" w:name="_Toc7904"/>
      <w:bookmarkStart w:id="276" w:name="_Toc16040"/>
      <w:bookmarkStart w:id="277" w:name="_Toc18200"/>
      <w:bookmarkStart w:id="278" w:name="_Toc5840"/>
      <w:bookmarkStart w:id="279" w:name="_Toc4343"/>
      <w:r>
        <w:rPr>
          <w:rFonts w:hint="eastAsia" w:ascii="仿宋" w:hAnsi="仿宋" w:eastAsia="仿宋" w:cs="仿宋"/>
          <w:b/>
          <w:color w:val="auto"/>
          <w:kern w:val="0"/>
          <w:sz w:val="24"/>
          <w:szCs w:val="20"/>
          <w:highlight w:val="none"/>
          <w:lang w:val="en-US" w:eastAsia="zh-CN" w:bidi="ar-SA"/>
        </w:rPr>
        <w:br w:type="page"/>
      </w:r>
      <w:bookmarkStart w:id="280" w:name="_Toc25864"/>
      <w:bookmarkStart w:id="281" w:name="_Toc42"/>
      <w:bookmarkStart w:id="282" w:name="_Toc32549"/>
      <w:bookmarkStart w:id="283" w:name="_Toc22370"/>
      <w:bookmarkStart w:id="284" w:name="_Toc28545"/>
      <w:bookmarkStart w:id="285" w:name="_Toc12169"/>
      <w:bookmarkStart w:id="286" w:name="_Toc10725"/>
      <w:bookmarkStart w:id="287" w:name="_Toc1989"/>
      <w:r>
        <w:rPr>
          <w:rFonts w:hint="eastAsia" w:ascii="仿宋" w:hAnsi="仿宋" w:eastAsia="仿宋" w:cs="仿宋"/>
          <w:b/>
          <w:color w:val="auto"/>
          <w:kern w:val="0"/>
          <w:sz w:val="24"/>
          <w:szCs w:val="20"/>
          <w:highlight w:val="none"/>
          <w:lang w:val="en-US" w:eastAsia="zh-CN" w:bidi="ar-SA"/>
        </w:rPr>
        <w:t xml:space="preserve">    </w:t>
      </w:r>
      <w:r>
        <w:rPr>
          <w:rStyle w:val="72"/>
          <w:rFonts w:hint="eastAsia" w:ascii="仿宋" w:hAnsi="仿宋" w:eastAsia="仿宋" w:cs="仿宋"/>
          <w:color w:val="auto"/>
          <w:highlight w:val="none"/>
        </w:rPr>
        <w:t>二、</w:t>
      </w:r>
      <w:r>
        <w:rPr>
          <w:rStyle w:val="72"/>
          <w:rFonts w:hint="eastAsia" w:ascii="仿宋" w:hAnsi="仿宋" w:eastAsia="仿宋" w:cs="仿宋"/>
          <w:color w:val="auto"/>
          <w:highlight w:val="none"/>
          <w:lang w:eastAsia="zh-CN"/>
        </w:rPr>
        <w:t>重庆市政府</w:t>
      </w:r>
      <w:r>
        <w:rPr>
          <w:rStyle w:val="72"/>
          <w:rFonts w:hint="eastAsia" w:ascii="仿宋" w:hAnsi="仿宋" w:eastAsia="仿宋" w:cs="仿宋"/>
          <w:color w:val="auto"/>
          <w:highlight w:val="none"/>
        </w:rPr>
        <w:t>采购合同（格式）</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bookmarkEnd w:id="285"/>
    <w:bookmarkEnd w:id="286"/>
    <w:bookmarkEnd w:id="287"/>
    <w:p>
      <w:pPr>
        <w:spacing w:line="360" w:lineRule="auto"/>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lang w:eastAsia="zh-CN"/>
        </w:rPr>
        <w:t>重庆市政府</w:t>
      </w:r>
      <w:r>
        <w:rPr>
          <w:rFonts w:hint="eastAsia" w:ascii="仿宋" w:hAnsi="仿宋" w:eastAsia="仿宋" w:cs="仿宋"/>
          <w:b/>
          <w:color w:val="auto"/>
          <w:sz w:val="44"/>
          <w:highlight w:val="none"/>
        </w:rPr>
        <w:t>采购合同</w:t>
      </w:r>
    </w:p>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（项目编号：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甲方（需方）：___________________________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乙方（供方）：___________________________      </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297"/>
        <w:gridCol w:w="876"/>
        <w:gridCol w:w="665"/>
        <w:gridCol w:w="1527"/>
        <w:gridCol w:w="1351"/>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2297" w:type="dxa"/>
            <w:noWrap w:val="0"/>
            <w:vAlign w:val="center"/>
          </w:tcPr>
          <w:p>
            <w:pPr>
              <w:spacing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项目内容</w:t>
            </w:r>
          </w:p>
        </w:tc>
        <w:tc>
          <w:tcPr>
            <w:tcW w:w="1541" w:type="dxa"/>
            <w:gridSpan w:val="2"/>
            <w:noWrap w:val="0"/>
            <w:vAlign w:val="center"/>
          </w:tcPr>
          <w:p>
            <w:pPr>
              <w:spacing w:line="240" w:lineRule="atLeas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数量</w:t>
            </w:r>
            <w:r>
              <w:rPr>
                <w:rFonts w:hint="eastAsia" w:ascii="仿宋" w:hAnsi="仿宋" w:eastAsia="仿宋" w:cs="仿宋"/>
                <w:color w:val="auto"/>
                <w:sz w:val="21"/>
                <w:szCs w:val="21"/>
                <w:highlight w:val="none"/>
                <w:lang w:eastAsia="zh-CN"/>
              </w:rPr>
              <w:t>及单位</w:t>
            </w:r>
          </w:p>
        </w:tc>
        <w:tc>
          <w:tcPr>
            <w:tcW w:w="1527" w:type="dxa"/>
            <w:noWrap w:val="0"/>
            <w:vAlign w:val="center"/>
          </w:tcPr>
          <w:p>
            <w:pPr>
              <w:spacing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c>
          <w:tcPr>
            <w:tcW w:w="1351" w:type="dxa"/>
            <w:noWrap w:val="0"/>
            <w:vAlign w:val="center"/>
          </w:tcPr>
          <w:p>
            <w:pPr>
              <w:spacing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服务期</w:t>
            </w:r>
          </w:p>
        </w:tc>
        <w:tc>
          <w:tcPr>
            <w:tcW w:w="1567" w:type="dxa"/>
            <w:noWrap w:val="0"/>
            <w:vAlign w:val="center"/>
          </w:tcPr>
          <w:p>
            <w:pPr>
              <w:spacing w:line="240" w:lineRule="atLeas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24" w:hRule="atLeast"/>
        </w:trPr>
        <w:tc>
          <w:tcPr>
            <w:tcW w:w="1330" w:type="dxa"/>
            <w:vMerge w:val="restart"/>
            <w:noWrap w:val="0"/>
            <w:vAlign w:val="center"/>
          </w:tcPr>
          <w:p>
            <w:pPr>
              <w:spacing w:line="240" w:lineRule="atLeast"/>
              <w:jc w:val="center"/>
              <w:rPr>
                <w:rFonts w:ascii="仿宋" w:hAnsi="仿宋" w:eastAsia="仿宋" w:cs="仿宋"/>
                <w:color w:val="auto"/>
                <w:sz w:val="21"/>
                <w:szCs w:val="21"/>
                <w:highlight w:val="none"/>
              </w:rPr>
            </w:pPr>
          </w:p>
        </w:tc>
        <w:tc>
          <w:tcPr>
            <w:tcW w:w="2297" w:type="dxa"/>
            <w:noWrap w:val="0"/>
            <w:vAlign w:val="center"/>
          </w:tcPr>
          <w:p>
            <w:pPr>
              <w:spacing w:line="240" w:lineRule="atLeast"/>
              <w:jc w:val="center"/>
              <w:rPr>
                <w:rFonts w:ascii="仿宋" w:hAnsi="仿宋" w:eastAsia="仿宋" w:cs="仿宋"/>
                <w:color w:val="auto"/>
                <w:sz w:val="21"/>
                <w:szCs w:val="21"/>
                <w:highlight w:val="none"/>
              </w:rPr>
            </w:pPr>
          </w:p>
        </w:tc>
        <w:tc>
          <w:tcPr>
            <w:tcW w:w="1541" w:type="dxa"/>
            <w:gridSpan w:val="2"/>
            <w:noWrap w:val="0"/>
            <w:vAlign w:val="center"/>
          </w:tcPr>
          <w:p>
            <w:pPr>
              <w:spacing w:line="240" w:lineRule="atLeast"/>
              <w:jc w:val="center"/>
              <w:rPr>
                <w:rFonts w:ascii="仿宋" w:hAnsi="仿宋" w:eastAsia="仿宋" w:cs="仿宋"/>
                <w:color w:val="auto"/>
                <w:sz w:val="21"/>
                <w:szCs w:val="21"/>
                <w:highlight w:val="none"/>
              </w:rPr>
            </w:pPr>
          </w:p>
        </w:tc>
        <w:tc>
          <w:tcPr>
            <w:tcW w:w="1527" w:type="dxa"/>
            <w:tcBorders/>
            <w:noWrap w:val="0"/>
            <w:vAlign w:val="center"/>
          </w:tcPr>
          <w:p>
            <w:pPr>
              <w:spacing w:line="240" w:lineRule="atLeast"/>
              <w:jc w:val="center"/>
              <w:rPr>
                <w:rFonts w:ascii="仿宋" w:hAnsi="仿宋" w:eastAsia="仿宋" w:cs="仿宋"/>
                <w:color w:val="auto"/>
                <w:sz w:val="21"/>
                <w:szCs w:val="21"/>
                <w:highlight w:val="none"/>
              </w:rPr>
            </w:pPr>
          </w:p>
        </w:tc>
        <w:tc>
          <w:tcPr>
            <w:tcW w:w="1351" w:type="dxa"/>
            <w:vMerge w:val="restart"/>
            <w:noWrap w:val="0"/>
            <w:vAlign w:val="center"/>
          </w:tcPr>
          <w:p>
            <w:pPr>
              <w:spacing w:line="240" w:lineRule="atLeast"/>
              <w:jc w:val="center"/>
              <w:rPr>
                <w:rFonts w:ascii="仿宋" w:hAnsi="仿宋" w:eastAsia="仿宋" w:cs="仿宋"/>
                <w:color w:val="auto"/>
                <w:sz w:val="21"/>
                <w:szCs w:val="21"/>
                <w:highlight w:val="none"/>
              </w:rPr>
            </w:pPr>
          </w:p>
        </w:tc>
        <w:tc>
          <w:tcPr>
            <w:tcW w:w="1567" w:type="dxa"/>
            <w:vMerge w:val="restart"/>
            <w:noWrap w:val="0"/>
            <w:vAlign w:val="center"/>
          </w:tcPr>
          <w:p>
            <w:pPr>
              <w:spacing w:line="240" w:lineRule="atLeas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94" w:hRule="atLeast"/>
        </w:trPr>
        <w:tc>
          <w:tcPr>
            <w:tcW w:w="1330" w:type="dxa"/>
            <w:vMerge w:val="continue"/>
            <w:noWrap w:val="0"/>
            <w:vAlign w:val="center"/>
          </w:tcPr>
          <w:p>
            <w:pPr>
              <w:spacing w:line="240" w:lineRule="atLeast"/>
              <w:jc w:val="center"/>
              <w:rPr>
                <w:rFonts w:ascii="仿宋" w:hAnsi="仿宋" w:eastAsia="仿宋" w:cs="仿宋"/>
                <w:color w:val="auto"/>
                <w:sz w:val="21"/>
                <w:szCs w:val="21"/>
                <w:highlight w:val="none"/>
              </w:rPr>
            </w:pPr>
          </w:p>
        </w:tc>
        <w:tc>
          <w:tcPr>
            <w:tcW w:w="2297" w:type="dxa"/>
            <w:vMerge w:val="restart"/>
            <w:noWrap w:val="0"/>
            <w:vAlign w:val="center"/>
          </w:tcPr>
          <w:p>
            <w:pPr>
              <w:spacing w:line="240" w:lineRule="atLeast"/>
              <w:jc w:val="center"/>
              <w:rPr>
                <w:rFonts w:ascii="仿宋" w:hAnsi="仿宋" w:eastAsia="仿宋" w:cs="仿宋"/>
                <w:color w:val="auto"/>
                <w:sz w:val="21"/>
                <w:szCs w:val="21"/>
                <w:highlight w:val="none"/>
              </w:rPr>
            </w:pPr>
          </w:p>
        </w:tc>
        <w:tc>
          <w:tcPr>
            <w:tcW w:w="1541" w:type="dxa"/>
            <w:gridSpan w:val="2"/>
            <w:vMerge w:val="restart"/>
            <w:noWrap w:val="0"/>
            <w:vAlign w:val="center"/>
          </w:tcPr>
          <w:p>
            <w:pPr>
              <w:spacing w:line="240" w:lineRule="atLeast"/>
              <w:jc w:val="center"/>
              <w:rPr>
                <w:rFonts w:ascii="仿宋" w:hAnsi="仿宋" w:eastAsia="仿宋" w:cs="仿宋"/>
                <w:color w:val="auto"/>
                <w:sz w:val="21"/>
                <w:szCs w:val="21"/>
                <w:highlight w:val="none"/>
              </w:rPr>
            </w:pPr>
          </w:p>
        </w:tc>
        <w:tc>
          <w:tcPr>
            <w:tcW w:w="1527" w:type="dxa"/>
            <w:tcBorders/>
            <w:noWrap w:val="0"/>
            <w:vAlign w:val="center"/>
          </w:tcPr>
          <w:p>
            <w:pPr>
              <w:spacing w:line="240" w:lineRule="atLeast"/>
              <w:jc w:val="center"/>
              <w:rPr>
                <w:rFonts w:ascii="仿宋" w:hAnsi="仿宋" w:eastAsia="仿宋" w:cs="仿宋"/>
                <w:color w:val="auto"/>
                <w:sz w:val="21"/>
                <w:szCs w:val="21"/>
                <w:highlight w:val="none"/>
              </w:rPr>
            </w:pPr>
          </w:p>
        </w:tc>
        <w:tc>
          <w:tcPr>
            <w:tcW w:w="1351" w:type="dxa"/>
            <w:vMerge w:val="continue"/>
            <w:tcBorders/>
            <w:noWrap w:val="0"/>
            <w:vAlign w:val="center"/>
          </w:tcPr>
          <w:p>
            <w:pPr>
              <w:spacing w:line="240" w:lineRule="atLeast"/>
              <w:jc w:val="center"/>
              <w:rPr>
                <w:rFonts w:ascii="仿宋" w:hAnsi="仿宋" w:eastAsia="仿宋" w:cs="仿宋"/>
                <w:color w:val="auto"/>
                <w:sz w:val="21"/>
                <w:szCs w:val="21"/>
                <w:highlight w:val="none"/>
              </w:rPr>
            </w:pPr>
          </w:p>
        </w:tc>
        <w:tc>
          <w:tcPr>
            <w:tcW w:w="1567" w:type="dxa"/>
            <w:vMerge w:val="continue"/>
            <w:tcBorders/>
            <w:noWrap w:val="0"/>
            <w:vAlign w:val="center"/>
          </w:tcPr>
          <w:p>
            <w:pPr>
              <w:spacing w:line="240" w:lineRule="atLeas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82" w:hRule="atLeast"/>
        </w:trPr>
        <w:tc>
          <w:tcPr>
            <w:tcW w:w="1330" w:type="dxa"/>
            <w:vMerge w:val="continue"/>
            <w:noWrap w:val="0"/>
            <w:vAlign w:val="center"/>
          </w:tcPr>
          <w:p>
            <w:pPr>
              <w:spacing w:line="240" w:lineRule="atLeast"/>
              <w:jc w:val="center"/>
              <w:rPr>
                <w:rFonts w:ascii="仿宋" w:hAnsi="仿宋" w:eastAsia="仿宋" w:cs="仿宋"/>
                <w:color w:val="auto"/>
                <w:sz w:val="21"/>
                <w:szCs w:val="21"/>
                <w:highlight w:val="none"/>
              </w:rPr>
            </w:pPr>
          </w:p>
        </w:tc>
        <w:tc>
          <w:tcPr>
            <w:tcW w:w="2297" w:type="dxa"/>
            <w:vMerge w:val="restart"/>
            <w:noWrap w:val="0"/>
            <w:vAlign w:val="center"/>
          </w:tcPr>
          <w:p>
            <w:pPr>
              <w:spacing w:line="240" w:lineRule="atLeast"/>
              <w:jc w:val="center"/>
              <w:rPr>
                <w:rFonts w:ascii="仿宋" w:hAnsi="仿宋" w:eastAsia="仿宋" w:cs="仿宋"/>
                <w:color w:val="auto"/>
                <w:sz w:val="21"/>
                <w:szCs w:val="21"/>
                <w:highlight w:val="none"/>
              </w:rPr>
            </w:pPr>
          </w:p>
        </w:tc>
        <w:tc>
          <w:tcPr>
            <w:tcW w:w="1541" w:type="dxa"/>
            <w:gridSpan w:val="2"/>
            <w:vMerge w:val="restart"/>
            <w:noWrap w:val="0"/>
            <w:vAlign w:val="center"/>
          </w:tcPr>
          <w:p>
            <w:pPr>
              <w:spacing w:line="240" w:lineRule="atLeast"/>
              <w:jc w:val="center"/>
              <w:rPr>
                <w:rFonts w:ascii="仿宋" w:hAnsi="仿宋" w:eastAsia="仿宋" w:cs="仿宋"/>
                <w:color w:val="auto"/>
                <w:sz w:val="21"/>
                <w:szCs w:val="21"/>
                <w:highlight w:val="none"/>
              </w:rPr>
            </w:pPr>
          </w:p>
        </w:tc>
        <w:tc>
          <w:tcPr>
            <w:tcW w:w="1527" w:type="dxa"/>
            <w:tcBorders/>
            <w:noWrap w:val="0"/>
            <w:vAlign w:val="center"/>
          </w:tcPr>
          <w:p>
            <w:pPr>
              <w:spacing w:line="240" w:lineRule="atLeast"/>
              <w:jc w:val="center"/>
              <w:rPr>
                <w:rFonts w:ascii="仿宋" w:hAnsi="仿宋" w:eastAsia="仿宋" w:cs="仿宋"/>
                <w:color w:val="auto"/>
                <w:sz w:val="21"/>
                <w:szCs w:val="21"/>
                <w:highlight w:val="none"/>
              </w:rPr>
            </w:pPr>
          </w:p>
        </w:tc>
        <w:tc>
          <w:tcPr>
            <w:tcW w:w="1351" w:type="dxa"/>
            <w:vMerge w:val="continue"/>
            <w:tcBorders/>
            <w:noWrap w:val="0"/>
            <w:vAlign w:val="center"/>
          </w:tcPr>
          <w:p>
            <w:pPr>
              <w:spacing w:line="240" w:lineRule="atLeast"/>
              <w:jc w:val="center"/>
              <w:rPr>
                <w:rFonts w:ascii="仿宋" w:hAnsi="仿宋" w:eastAsia="仿宋" w:cs="仿宋"/>
                <w:color w:val="auto"/>
                <w:sz w:val="21"/>
                <w:szCs w:val="21"/>
                <w:highlight w:val="none"/>
              </w:rPr>
            </w:pPr>
          </w:p>
        </w:tc>
        <w:tc>
          <w:tcPr>
            <w:tcW w:w="1567" w:type="dxa"/>
            <w:vMerge w:val="continue"/>
            <w:tcBorders/>
            <w:noWrap w:val="0"/>
            <w:vAlign w:val="center"/>
          </w:tcPr>
          <w:p>
            <w:pPr>
              <w:spacing w:line="240" w:lineRule="atLeas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8" w:hRule="atLeast"/>
        </w:trPr>
        <w:tc>
          <w:tcPr>
            <w:tcW w:w="1330" w:type="dxa"/>
            <w:vMerge w:val="continue"/>
            <w:noWrap w:val="0"/>
            <w:vAlign w:val="center"/>
          </w:tcPr>
          <w:p>
            <w:pPr>
              <w:spacing w:line="240" w:lineRule="atLeast"/>
              <w:jc w:val="center"/>
              <w:rPr>
                <w:rFonts w:ascii="仿宋" w:hAnsi="仿宋" w:eastAsia="仿宋" w:cs="仿宋"/>
                <w:color w:val="auto"/>
                <w:sz w:val="21"/>
                <w:szCs w:val="21"/>
                <w:highlight w:val="none"/>
              </w:rPr>
            </w:pPr>
          </w:p>
        </w:tc>
        <w:tc>
          <w:tcPr>
            <w:tcW w:w="2297" w:type="dxa"/>
            <w:noWrap w:val="0"/>
            <w:vAlign w:val="center"/>
          </w:tcPr>
          <w:p>
            <w:pPr>
              <w:spacing w:line="240" w:lineRule="atLeast"/>
              <w:jc w:val="center"/>
              <w:rPr>
                <w:rFonts w:ascii="仿宋" w:hAnsi="仿宋" w:eastAsia="仿宋" w:cs="仿宋"/>
                <w:color w:val="auto"/>
                <w:sz w:val="21"/>
                <w:szCs w:val="21"/>
                <w:highlight w:val="none"/>
              </w:rPr>
            </w:pPr>
          </w:p>
        </w:tc>
        <w:tc>
          <w:tcPr>
            <w:tcW w:w="1541" w:type="dxa"/>
            <w:gridSpan w:val="2"/>
            <w:noWrap w:val="0"/>
            <w:vAlign w:val="center"/>
          </w:tcPr>
          <w:p>
            <w:pPr>
              <w:spacing w:line="240" w:lineRule="atLeast"/>
              <w:jc w:val="center"/>
              <w:rPr>
                <w:rFonts w:ascii="仿宋" w:hAnsi="仿宋" w:eastAsia="仿宋" w:cs="仿宋"/>
                <w:color w:val="auto"/>
                <w:sz w:val="21"/>
                <w:szCs w:val="21"/>
                <w:highlight w:val="none"/>
              </w:rPr>
            </w:pPr>
          </w:p>
        </w:tc>
        <w:tc>
          <w:tcPr>
            <w:tcW w:w="1527" w:type="dxa"/>
            <w:tcBorders/>
            <w:noWrap w:val="0"/>
            <w:vAlign w:val="center"/>
          </w:tcPr>
          <w:p>
            <w:pPr>
              <w:spacing w:line="240" w:lineRule="atLeast"/>
              <w:jc w:val="center"/>
              <w:rPr>
                <w:rFonts w:ascii="仿宋" w:hAnsi="仿宋" w:eastAsia="仿宋" w:cs="仿宋"/>
                <w:color w:val="auto"/>
                <w:sz w:val="21"/>
                <w:szCs w:val="21"/>
                <w:highlight w:val="none"/>
              </w:rPr>
            </w:pPr>
          </w:p>
        </w:tc>
        <w:tc>
          <w:tcPr>
            <w:tcW w:w="1351" w:type="dxa"/>
            <w:vMerge w:val="continue"/>
            <w:tcBorders/>
            <w:noWrap w:val="0"/>
            <w:vAlign w:val="center"/>
          </w:tcPr>
          <w:p>
            <w:pPr>
              <w:spacing w:line="240" w:lineRule="atLeast"/>
              <w:jc w:val="center"/>
              <w:rPr>
                <w:rFonts w:ascii="仿宋" w:hAnsi="仿宋" w:eastAsia="仿宋" w:cs="仿宋"/>
                <w:color w:val="auto"/>
                <w:sz w:val="21"/>
                <w:szCs w:val="21"/>
                <w:highlight w:val="none"/>
              </w:rPr>
            </w:pPr>
          </w:p>
        </w:tc>
        <w:tc>
          <w:tcPr>
            <w:tcW w:w="1567" w:type="dxa"/>
            <w:vMerge w:val="continue"/>
            <w:tcBorders/>
            <w:noWrap w:val="0"/>
            <w:vAlign w:val="center"/>
          </w:tcPr>
          <w:p>
            <w:pPr>
              <w:spacing w:line="240" w:lineRule="atLeast"/>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一、质量要求和服务标准。供方的质保及售后服务证承诺如下：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二、实施方式：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三、验收标准、方法：</w:t>
            </w:r>
          </w:p>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四、付款方式：</w:t>
            </w:r>
          </w:p>
          <w:p>
            <w:pPr>
              <w:spacing w:line="240" w:lineRule="atLeast"/>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9628" w:type="dxa"/>
            <w:gridSpan w:val="8"/>
            <w:noWrap w:val="0"/>
            <w:vAlign w:val="top"/>
          </w:tcPr>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五、违约责任：</w:t>
            </w:r>
          </w:p>
          <w:p>
            <w:pPr>
              <w:pStyle w:val="33"/>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按《中华人民共和国民法典》执行，或按双方约定。（采购人应按项目实际情况完整填写）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9628" w:type="dxa"/>
            <w:gridSpan w:val="8"/>
            <w:noWrap w:val="0"/>
            <w:vAlign w:val="top"/>
          </w:tcPr>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六、其他约定事项：</w:t>
            </w:r>
          </w:p>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询价通知书</w:t>
            </w:r>
            <w:r>
              <w:rPr>
                <w:rFonts w:hint="eastAsia" w:ascii="仿宋" w:hAnsi="仿宋" w:eastAsia="仿宋" w:cs="仿宋"/>
                <w:color w:val="auto"/>
                <w:sz w:val="21"/>
                <w:szCs w:val="21"/>
                <w:highlight w:val="none"/>
              </w:rPr>
              <w:t>及其补遗文件、</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文件文件和承诺是本合同不可分割的部分。</w:t>
            </w:r>
          </w:p>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2.本合同如发生争议由双方协商解决，协商不成向需方所在地仲裁机构提请仲裁。</w:t>
            </w:r>
          </w:p>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3.本合同一式__份， 需方__份，供方__份，具备同等法律效力。</w:t>
            </w:r>
          </w:p>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需方：</w:t>
            </w:r>
          </w:p>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tc>
        <w:tc>
          <w:tcPr>
            <w:tcW w:w="5125" w:type="dxa"/>
            <w:gridSpan w:val="5"/>
            <w:noWrap w:val="0"/>
            <w:vAlign w:val="top"/>
          </w:tcPr>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供方：</w:t>
            </w:r>
          </w:p>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p>
            <w:pPr>
              <w:widowControl/>
              <w:spacing w:line="240" w:lineRule="atLeast"/>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240" w:lineRule="atLeas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spacing w:line="240" w:lineRule="atLeast"/>
              <w:rPr>
                <w:rFonts w:ascii="仿宋" w:hAnsi="仿宋" w:eastAsia="仿宋" w:cs="仿宋"/>
                <w:color w:val="auto"/>
                <w:sz w:val="21"/>
                <w:szCs w:val="21"/>
                <w:highlight w:val="none"/>
              </w:rPr>
            </w:pPr>
          </w:p>
          <w:p>
            <w:pPr>
              <w:spacing w:line="240" w:lineRule="atLeast"/>
              <w:rPr>
                <w:rFonts w:ascii="仿宋" w:hAnsi="仿宋" w:eastAsia="仿宋" w:cs="仿宋"/>
                <w:color w:val="auto"/>
                <w:sz w:val="21"/>
                <w:szCs w:val="21"/>
                <w:highlight w:val="none"/>
              </w:rPr>
            </w:pPr>
          </w:p>
        </w:tc>
      </w:tr>
    </w:tbl>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签约时间：         年   月   日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签约地点：</w:t>
      </w: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default" w:eastAsia="仿宋"/>
          <w:lang w:val="en-US" w:eastAsia="zh-CN"/>
        </w:rPr>
      </w:pPr>
      <w:r>
        <w:rPr>
          <w:rFonts w:hint="eastAsia" w:ascii="仿宋" w:hAnsi="仿宋" w:eastAsia="仿宋" w:cs="仿宋"/>
          <w:color w:val="auto"/>
          <w:sz w:val="24"/>
          <w:highlight w:val="none"/>
          <w:lang w:val="en-US" w:eastAsia="zh-CN"/>
        </w:rPr>
        <w:t>注：合同以甲乙双方最终签订为准。</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ageBreakBefore w:val="0"/>
        <w:widowControl w:val="0"/>
        <w:numPr>
          <w:ilvl w:val="0"/>
          <w:numId w:val="0"/>
        </w:numPr>
        <w:kinsoku/>
        <w:wordWrap/>
        <w:overflowPunct/>
        <w:topLinePunct w:val="0"/>
        <w:autoSpaceDE/>
        <w:autoSpaceDN/>
        <w:bidi w:val="0"/>
        <w:adjustRightInd/>
        <w:spacing w:line="360" w:lineRule="auto"/>
        <w:ind w:firstLine="642" w:firstLineChars="200"/>
        <w:jc w:val="center"/>
        <w:textAlignment w:val="auto"/>
        <w:outlineLvl w:val="1"/>
        <w:rPr>
          <w:rFonts w:hint="eastAsia" w:ascii="仿宋" w:hAnsi="仿宋" w:eastAsia="仿宋" w:cs="仿宋"/>
          <w:b/>
          <w:color w:val="auto"/>
          <w:szCs w:val="32"/>
          <w:highlight w:val="none"/>
        </w:rPr>
      </w:pPr>
      <w:bookmarkStart w:id="288" w:name="_Toc16981"/>
      <w:bookmarkStart w:id="289" w:name="_Toc12608"/>
      <w:bookmarkStart w:id="290" w:name="_Toc14578"/>
      <w:bookmarkStart w:id="291" w:name="_Toc13329"/>
      <w:bookmarkStart w:id="292" w:name="_Toc16194"/>
      <w:bookmarkStart w:id="293" w:name="_Toc23022"/>
      <w:r>
        <w:rPr>
          <w:rStyle w:val="71"/>
          <w:rFonts w:hint="eastAsia" w:ascii="仿宋" w:hAnsi="仿宋" w:eastAsia="仿宋" w:cs="仿宋"/>
          <w:color w:val="auto"/>
          <w:highlight w:val="none"/>
          <w:lang w:val="en-US" w:eastAsia="zh-CN"/>
        </w:rPr>
        <w:t xml:space="preserve">第六篇  </w:t>
      </w:r>
      <w:r>
        <w:rPr>
          <w:rStyle w:val="71"/>
          <w:rFonts w:hint="eastAsia" w:ascii="仿宋" w:hAnsi="仿宋" w:eastAsia="仿宋" w:cs="仿宋"/>
          <w:color w:val="auto"/>
          <w:highlight w:val="none"/>
          <w:lang w:eastAsia="zh-CN"/>
        </w:rPr>
        <w:t>报价文件</w:t>
      </w:r>
      <w:r>
        <w:rPr>
          <w:rStyle w:val="71"/>
          <w:rFonts w:hint="eastAsia" w:ascii="仿宋" w:hAnsi="仿宋" w:eastAsia="仿宋" w:cs="仿宋"/>
          <w:color w:val="auto"/>
          <w:highlight w:val="none"/>
        </w:rPr>
        <w:t>格式要求</w:t>
      </w:r>
      <w:bookmarkEnd w:id="229"/>
      <w:bookmarkEnd w:id="230"/>
      <w:bookmarkEnd w:id="288"/>
      <w:bookmarkEnd w:id="289"/>
      <w:bookmarkEnd w:id="290"/>
      <w:bookmarkEnd w:id="291"/>
      <w:bookmarkEnd w:id="292"/>
      <w:bookmarkEnd w:id="293"/>
    </w:p>
    <w:p>
      <w:pPr>
        <w:spacing w:line="360" w:lineRule="auto"/>
        <w:ind w:firstLine="481"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一、经济部分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）分项报价明细表</w:t>
      </w:r>
    </w:p>
    <w:p>
      <w:pPr>
        <w:spacing w:line="360" w:lineRule="auto"/>
        <w:ind w:firstLine="481"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部分</w:t>
      </w:r>
    </w:p>
    <w:p>
      <w:pPr>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偏离表</w:t>
      </w:r>
    </w:p>
    <w:p>
      <w:pPr>
        <w:spacing w:line="360" w:lineRule="auto"/>
        <w:ind w:firstLine="481"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val="en-US" w:eastAsia="zh-CN"/>
        </w:rPr>
        <w:t>商务</w:t>
      </w:r>
      <w:r>
        <w:rPr>
          <w:rFonts w:hint="eastAsia" w:ascii="仿宋" w:hAnsi="仿宋" w:eastAsia="仿宋" w:cs="仿宋"/>
          <w:b/>
          <w:bCs/>
          <w:color w:val="auto"/>
          <w:sz w:val="24"/>
          <w:szCs w:val="24"/>
          <w:highlight w:val="none"/>
        </w:rPr>
        <w:t>部分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偏离表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（二）其它优惠承诺</w:t>
      </w:r>
    </w:p>
    <w:p>
      <w:pPr>
        <w:spacing w:line="360" w:lineRule="auto"/>
        <w:ind w:firstLine="481"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四、资格条件及其他</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）法人营业执照（副本）或事业单位法人证书（副本）或个体工商户营业执照或有效的自然人身份证明或社会团体法人登记证书（提供复印件）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）法定代表人身份证明书（格式）</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）法定代表人授权委托书（格式）</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）基本资格条件承诺函（格式）</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）特定资格条件证书或证明文件（如要求）</w:t>
      </w:r>
    </w:p>
    <w:p>
      <w:pPr>
        <w:spacing w:line="360" w:lineRule="auto"/>
        <w:ind w:firstLine="481"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五、其他应提供的资料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）其他与项目有关的资料（自附）：供应商总体情况介绍、其他与本项目有关的资料等。</w:t>
      </w:r>
    </w:p>
    <w:p>
      <w:pPr>
        <w:widowControl/>
        <w:spacing w:line="360" w:lineRule="auto"/>
        <w:jc w:val="left"/>
        <w:rPr>
          <w:rFonts w:hint="eastAsia" w:ascii="仿宋" w:hAnsi="仿宋" w:eastAsia="仿宋" w:cs="仿宋"/>
          <w:color w:val="auto"/>
          <w:sz w:val="24"/>
          <w:szCs w:val="24"/>
          <w:highlight w:val="none"/>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sectPr>
      </w:pPr>
    </w:p>
    <w:p>
      <w:pPr>
        <w:pStyle w:val="5"/>
        <w:spacing w:before="0" w:after="0" w:line="360" w:lineRule="auto"/>
        <w:rPr>
          <w:rFonts w:hint="eastAsia" w:ascii="仿宋" w:hAnsi="仿宋" w:eastAsia="仿宋" w:cs="仿宋"/>
          <w:color w:val="auto"/>
          <w:sz w:val="24"/>
          <w:szCs w:val="24"/>
          <w:highlight w:val="none"/>
        </w:rPr>
      </w:pPr>
      <w:bookmarkStart w:id="294" w:name="_Toc5200"/>
      <w:bookmarkStart w:id="295" w:name="_Toc6788"/>
      <w:bookmarkStart w:id="296" w:name="_Toc487204797"/>
      <w:bookmarkStart w:id="297" w:name="_Toc25224"/>
      <w:bookmarkStart w:id="298" w:name="_Toc486608277"/>
      <w:bookmarkStart w:id="299" w:name="_Toc6287"/>
      <w:bookmarkStart w:id="300" w:name="_Toc11634"/>
      <w:bookmarkStart w:id="301" w:name="_Toc486585240"/>
      <w:bookmarkStart w:id="302" w:name="_Toc21798"/>
      <w:r>
        <w:rPr>
          <w:rFonts w:hint="eastAsia" w:ascii="仿宋" w:hAnsi="仿宋" w:eastAsia="仿宋" w:cs="仿宋"/>
          <w:color w:val="auto"/>
          <w:sz w:val="24"/>
          <w:szCs w:val="24"/>
          <w:highlight w:val="none"/>
        </w:rPr>
        <w:t>一、经济部分</w:t>
      </w:r>
      <w:bookmarkEnd w:id="294"/>
      <w:bookmarkEnd w:id="295"/>
      <w:bookmarkEnd w:id="296"/>
      <w:bookmarkEnd w:id="297"/>
      <w:bookmarkEnd w:id="298"/>
      <w:bookmarkEnd w:id="299"/>
      <w:bookmarkEnd w:id="300"/>
      <w:bookmarkEnd w:id="301"/>
      <w:bookmarkEnd w:id="302"/>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pPr>
        <w:tabs>
          <w:tab w:val="left" w:pos="6300"/>
        </w:tabs>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报价函</w:t>
      </w:r>
    </w:p>
    <w:p>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采购代理机构</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我方收到____________________________（询价项目名称）的询价通知书，经详细研究，决定参加该询价项目的竞争询价。</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1.愿意按照询价通知书中的一切要求，提供本项目的交货及服务，</w:t>
      </w:r>
      <w:r>
        <w:rPr>
          <w:rFonts w:hint="eastAsia" w:ascii="仿宋" w:hAnsi="仿宋" w:eastAsia="仿宋" w:cs="仿宋"/>
          <w:color w:val="auto"/>
          <w:sz w:val="24"/>
          <w:szCs w:val="24"/>
          <w:highlight w:val="none"/>
          <w:lang w:val="en-US" w:eastAsia="zh-CN"/>
        </w:rPr>
        <w:t>总报价</w:t>
      </w:r>
    </w:p>
    <w:p>
      <w:pPr>
        <w:tabs>
          <w:tab w:val="left" w:pos="6300"/>
        </w:tabs>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元（大写：        ）</w:t>
      </w:r>
      <w:r>
        <w:rPr>
          <w:rFonts w:hint="eastAsia" w:ascii="仿宋" w:hAnsi="仿宋" w:eastAsia="仿宋" w:cs="仿宋"/>
          <w:color w:val="auto"/>
          <w:sz w:val="24"/>
          <w:szCs w:val="24"/>
          <w:highlight w:val="none"/>
        </w:rPr>
        <w:t>。</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为：</w:t>
      </w:r>
      <w:r>
        <w:rPr>
          <w:rFonts w:hint="eastAsia" w:ascii="仿宋" w:hAnsi="仿宋" w:eastAsia="仿宋" w:cs="仿宋"/>
          <w:color w:val="auto"/>
          <w:sz w:val="24"/>
          <w:highlight w:val="none"/>
        </w:rPr>
        <w:t>正本一份，副本二份，电子文档一份</w:t>
      </w:r>
      <w:r>
        <w:rPr>
          <w:rFonts w:hint="eastAsia" w:ascii="仿宋" w:hAnsi="仿宋" w:eastAsia="仿宋" w:cs="仿宋"/>
          <w:color w:val="auto"/>
          <w:sz w:val="24"/>
          <w:szCs w:val="24"/>
          <w:highlight w:val="none"/>
        </w:rPr>
        <w:t>。</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3.我方承诺：本次询价的有效期为询价开始时间起90天。</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4.我方完全理解和接受贵方询价通知书的一切规定和要求及询价评审办法。</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5.在整个询价过程中，我方若有违规行为，接受按照《询价通知书》之规定给予惩罚。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7.如果我方成为成交供应商，保证在领取成交通知书时，向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交纳询价通知书规定的采购代理服务费。</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8.我方未为采购项目提供整体设计、规范编制或者项目管理、监理、检测等服务。</w:t>
      </w: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（二）分项报价明细表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编</w:t>
      </w:r>
      <w:r>
        <w:rPr>
          <w:rFonts w:hint="eastAsia" w:ascii="仿宋" w:hAnsi="仿宋" w:eastAsia="仿宋" w:cs="仿宋"/>
          <w:color w:val="auto"/>
          <w:sz w:val="24"/>
          <w:szCs w:val="24"/>
          <w:highlight w:val="none"/>
        </w:rPr>
        <w:t xml:space="preserve">号：                           </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608"/>
        <w:gridCol w:w="3227"/>
        <w:gridCol w:w="1275"/>
        <w:gridCol w:w="127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69" w:type="dxa"/>
            <w:noWrap w:val="0"/>
            <w:vAlign w:val="center"/>
          </w:tcPr>
          <w:p>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608" w:type="dxa"/>
            <w:noWrap w:val="0"/>
            <w:vAlign w:val="center"/>
          </w:tcPr>
          <w:p>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名称</w:t>
            </w:r>
          </w:p>
        </w:tc>
        <w:tc>
          <w:tcPr>
            <w:tcW w:w="3227" w:type="dxa"/>
            <w:noWrap w:val="0"/>
            <w:vAlign w:val="center"/>
          </w:tcPr>
          <w:p>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相关信息</w:t>
            </w:r>
          </w:p>
        </w:tc>
        <w:tc>
          <w:tcPr>
            <w:tcW w:w="1275" w:type="dxa"/>
            <w:noWrap w:val="0"/>
            <w:vAlign w:val="center"/>
          </w:tcPr>
          <w:p>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tc>
        <w:tc>
          <w:tcPr>
            <w:tcW w:w="1274" w:type="dxa"/>
            <w:noWrap w:val="0"/>
            <w:vAlign w:val="center"/>
          </w:tcPr>
          <w:p>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单价</w:t>
            </w:r>
          </w:p>
        </w:tc>
        <w:tc>
          <w:tcPr>
            <w:tcW w:w="1275" w:type="dxa"/>
            <w:noWrap w:val="0"/>
            <w:vAlign w:val="center"/>
          </w:tcPr>
          <w:p>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noWrap w:val="0"/>
            <w:vAlign w:val="center"/>
          </w:tcPr>
          <w:p>
            <w:pPr>
              <w:pStyle w:val="23"/>
              <w:spacing w:line="240" w:lineRule="atLeast"/>
              <w:ind w:left="3920"/>
              <w:jc w:val="center"/>
              <w:outlineLvl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608" w:type="dxa"/>
            <w:noWrap w:val="0"/>
            <w:vAlign w:val="center"/>
          </w:tcPr>
          <w:p>
            <w:pPr>
              <w:jc w:val="center"/>
              <w:rPr>
                <w:rFonts w:ascii="仿宋" w:hAnsi="仿宋" w:eastAsia="仿宋" w:cs="仿宋"/>
                <w:color w:val="auto"/>
                <w:sz w:val="21"/>
                <w:szCs w:val="21"/>
                <w:highlight w:val="none"/>
              </w:rPr>
            </w:pPr>
          </w:p>
        </w:tc>
        <w:tc>
          <w:tcPr>
            <w:tcW w:w="3227" w:type="dxa"/>
            <w:noWrap w:val="0"/>
            <w:vAlign w:val="top"/>
          </w:tcPr>
          <w:p>
            <w:pPr>
              <w:jc w:val="center"/>
              <w:rPr>
                <w:rFonts w:ascii="仿宋" w:hAnsi="仿宋" w:eastAsia="仿宋" w:cs="仿宋"/>
                <w:color w:val="auto"/>
                <w:sz w:val="21"/>
                <w:szCs w:val="21"/>
                <w:highlight w:val="none"/>
              </w:rPr>
            </w:pPr>
          </w:p>
        </w:tc>
        <w:tc>
          <w:tcPr>
            <w:tcW w:w="1275" w:type="dxa"/>
            <w:noWrap w:val="0"/>
            <w:vAlign w:val="center"/>
          </w:tcPr>
          <w:p>
            <w:pPr>
              <w:jc w:val="center"/>
              <w:rPr>
                <w:rFonts w:ascii="仿宋" w:hAnsi="仿宋" w:eastAsia="仿宋" w:cs="仿宋"/>
                <w:color w:val="auto"/>
                <w:sz w:val="21"/>
                <w:szCs w:val="21"/>
                <w:highlight w:val="none"/>
              </w:rPr>
            </w:pPr>
          </w:p>
        </w:tc>
        <w:tc>
          <w:tcPr>
            <w:tcW w:w="1274" w:type="dxa"/>
            <w:noWrap w:val="0"/>
            <w:vAlign w:val="top"/>
          </w:tcPr>
          <w:p>
            <w:pPr>
              <w:jc w:val="center"/>
              <w:rPr>
                <w:rFonts w:ascii="仿宋" w:hAnsi="仿宋" w:eastAsia="仿宋" w:cs="仿宋"/>
                <w:color w:val="auto"/>
                <w:sz w:val="21"/>
                <w:szCs w:val="21"/>
                <w:highlight w:val="none"/>
              </w:rPr>
            </w:pPr>
          </w:p>
        </w:tc>
        <w:tc>
          <w:tcPr>
            <w:tcW w:w="1275" w:type="dxa"/>
            <w:noWrap w:val="0"/>
            <w:vAlign w:val="top"/>
          </w:tcPr>
          <w:p>
            <w:pP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noWrap w:val="0"/>
            <w:vAlign w:val="center"/>
          </w:tcPr>
          <w:p>
            <w:pPr>
              <w:pStyle w:val="23"/>
              <w:spacing w:line="240" w:lineRule="atLeast"/>
              <w:ind w:left="3920"/>
              <w:jc w:val="center"/>
              <w:outlineLvl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608" w:type="dxa"/>
            <w:noWrap w:val="0"/>
            <w:vAlign w:val="center"/>
          </w:tcPr>
          <w:p>
            <w:pPr>
              <w:jc w:val="center"/>
              <w:rPr>
                <w:rFonts w:ascii="仿宋" w:hAnsi="仿宋" w:eastAsia="仿宋" w:cs="仿宋"/>
                <w:color w:val="auto"/>
                <w:sz w:val="21"/>
                <w:szCs w:val="21"/>
                <w:highlight w:val="none"/>
              </w:rPr>
            </w:pPr>
          </w:p>
        </w:tc>
        <w:tc>
          <w:tcPr>
            <w:tcW w:w="3227" w:type="dxa"/>
            <w:noWrap w:val="0"/>
            <w:vAlign w:val="top"/>
          </w:tcPr>
          <w:p>
            <w:pPr>
              <w:jc w:val="center"/>
              <w:rPr>
                <w:rFonts w:ascii="仿宋" w:hAnsi="仿宋" w:eastAsia="仿宋" w:cs="仿宋"/>
                <w:color w:val="auto"/>
                <w:sz w:val="21"/>
                <w:szCs w:val="21"/>
                <w:highlight w:val="none"/>
              </w:rPr>
            </w:pPr>
          </w:p>
        </w:tc>
        <w:tc>
          <w:tcPr>
            <w:tcW w:w="1275" w:type="dxa"/>
            <w:noWrap w:val="0"/>
            <w:vAlign w:val="center"/>
          </w:tcPr>
          <w:p>
            <w:pPr>
              <w:jc w:val="center"/>
              <w:rPr>
                <w:rFonts w:ascii="仿宋" w:hAnsi="仿宋" w:eastAsia="仿宋" w:cs="仿宋"/>
                <w:color w:val="auto"/>
                <w:sz w:val="21"/>
                <w:szCs w:val="21"/>
                <w:highlight w:val="none"/>
              </w:rPr>
            </w:pPr>
          </w:p>
        </w:tc>
        <w:tc>
          <w:tcPr>
            <w:tcW w:w="1274" w:type="dxa"/>
            <w:noWrap w:val="0"/>
            <w:vAlign w:val="top"/>
          </w:tcPr>
          <w:p>
            <w:pPr>
              <w:jc w:val="center"/>
              <w:rPr>
                <w:rFonts w:ascii="仿宋" w:hAnsi="仿宋" w:eastAsia="仿宋" w:cs="仿宋"/>
                <w:color w:val="auto"/>
                <w:sz w:val="21"/>
                <w:szCs w:val="21"/>
                <w:highlight w:val="none"/>
              </w:rPr>
            </w:pPr>
          </w:p>
        </w:tc>
        <w:tc>
          <w:tcPr>
            <w:tcW w:w="1275" w:type="dxa"/>
            <w:noWrap w:val="0"/>
            <w:vAlign w:val="top"/>
          </w:tcPr>
          <w:p>
            <w:pP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noWrap w:val="0"/>
            <w:vAlign w:val="center"/>
          </w:tcPr>
          <w:p>
            <w:pPr>
              <w:pStyle w:val="23"/>
              <w:spacing w:line="240" w:lineRule="atLeast"/>
              <w:ind w:left="3920"/>
              <w:jc w:val="center"/>
              <w:outlineLvl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608" w:type="dxa"/>
            <w:noWrap w:val="0"/>
            <w:vAlign w:val="center"/>
          </w:tcPr>
          <w:p>
            <w:pPr>
              <w:jc w:val="center"/>
              <w:rPr>
                <w:rFonts w:ascii="仿宋" w:hAnsi="仿宋" w:eastAsia="仿宋" w:cs="仿宋"/>
                <w:color w:val="auto"/>
                <w:sz w:val="21"/>
                <w:szCs w:val="21"/>
                <w:highlight w:val="none"/>
              </w:rPr>
            </w:pPr>
          </w:p>
        </w:tc>
        <w:tc>
          <w:tcPr>
            <w:tcW w:w="3227" w:type="dxa"/>
            <w:noWrap w:val="0"/>
            <w:vAlign w:val="top"/>
          </w:tcPr>
          <w:p>
            <w:pPr>
              <w:jc w:val="center"/>
              <w:rPr>
                <w:rFonts w:ascii="仿宋" w:hAnsi="仿宋" w:eastAsia="仿宋" w:cs="仿宋"/>
                <w:color w:val="auto"/>
                <w:sz w:val="21"/>
                <w:szCs w:val="21"/>
                <w:highlight w:val="none"/>
              </w:rPr>
            </w:pPr>
          </w:p>
        </w:tc>
        <w:tc>
          <w:tcPr>
            <w:tcW w:w="1275" w:type="dxa"/>
            <w:noWrap w:val="0"/>
            <w:vAlign w:val="center"/>
          </w:tcPr>
          <w:p>
            <w:pPr>
              <w:jc w:val="center"/>
              <w:rPr>
                <w:rFonts w:ascii="仿宋" w:hAnsi="仿宋" w:eastAsia="仿宋" w:cs="仿宋"/>
                <w:color w:val="auto"/>
                <w:sz w:val="21"/>
                <w:szCs w:val="21"/>
                <w:highlight w:val="none"/>
              </w:rPr>
            </w:pPr>
          </w:p>
        </w:tc>
        <w:tc>
          <w:tcPr>
            <w:tcW w:w="1274" w:type="dxa"/>
            <w:noWrap w:val="0"/>
            <w:vAlign w:val="top"/>
          </w:tcPr>
          <w:p>
            <w:pPr>
              <w:jc w:val="center"/>
              <w:rPr>
                <w:rFonts w:ascii="仿宋" w:hAnsi="仿宋" w:eastAsia="仿宋" w:cs="仿宋"/>
                <w:color w:val="auto"/>
                <w:sz w:val="21"/>
                <w:szCs w:val="21"/>
                <w:highlight w:val="none"/>
              </w:rPr>
            </w:pPr>
          </w:p>
        </w:tc>
        <w:tc>
          <w:tcPr>
            <w:tcW w:w="1275" w:type="dxa"/>
            <w:noWrap w:val="0"/>
            <w:vAlign w:val="top"/>
          </w:tcPr>
          <w:p>
            <w:pP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noWrap w:val="0"/>
            <w:vAlign w:val="center"/>
          </w:tcPr>
          <w:p>
            <w:pPr>
              <w:pStyle w:val="23"/>
              <w:spacing w:line="240" w:lineRule="atLeast"/>
              <w:ind w:left="3920"/>
              <w:jc w:val="center"/>
              <w:outlineLvl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608" w:type="dxa"/>
            <w:noWrap w:val="0"/>
            <w:vAlign w:val="center"/>
          </w:tcPr>
          <w:p>
            <w:pPr>
              <w:jc w:val="center"/>
              <w:rPr>
                <w:rFonts w:ascii="仿宋" w:hAnsi="仿宋" w:eastAsia="仿宋" w:cs="仿宋"/>
                <w:color w:val="auto"/>
                <w:sz w:val="21"/>
                <w:szCs w:val="21"/>
                <w:highlight w:val="none"/>
              </w:rPr>
            </w:pPr>
          </w:p>
        </w:tc>
        <w:tc>
          <w:tcPr>
            <w:tcW w:w="3227" w:type="dxa"/>
            <w:noWrap w:val="0"/>
            <w:vAlign w:val="top"/>
          </w:tcPr>
          <w:p>
            <w:pPr>
              <w:jc w:val="center"/>
              <w:rPr>
                <w:rFonts w:ascii="仿宋" w:hAnsi="仿宋" w:eastAsia="仿宋" w:cs="仿宋"/>
                <w:color w:val="auto"/>
                <w:sz w:val="21"/>
                <w:szCs w:val="21"/>
                <w:highlight w:val="none"/>
              </w:rPr>
            </w:pPr>
          </w:p>
        </w:tc>
        <w:tc>
          <w:tcPr>
            <w:tcW w:w="1275" w:type="dxa"/>
            <w:noWrap w:val="0"/>
            <w:vAlign w:val="center"/>
          </w:tcPr>
          <w:p>
            <w:pPr>
              <w:jc w:val="center"/>
              <w:rPr>
                <w:rFonts w:ascii="仿宋" w:hAnsi="仿宋" w:eastAsia="仿宋" w:cs="仿宋"/>
                <w:color w:val="auto"/>
                <w:sz w:val="21"/>
                <w:szCs w:val="21"/>
                <w:highlight w:val="none"/>
              </w:rPr>
            </w:pPr>
          </w:p>
        </w:tc>
        <w:tc>
          <w:tcPr>
            <w:tcW w:w="1274" w:type="dxa"/>
            <w:noWrap w:val="0"/>
            <w:vAlign w:val="top"/>
          </w:tcPr>
          <w:p>
            <w:pPr>
              <w:jc w:val="center"/>
              <w:rPr>
                <w:rFonts w:ascii="仿宋" w:hAnsi="仿宋" w:eastAsia="仿宋" w:cs="仿宋"/>
                <w:color w:val="auto"/>
                <w:sz w:val="21"/>
                <w:szCs w:val="21"/>
                <w:highlight w:val="none"/>
              </w:rPr>
            </w:pPr>
          </w:p>
        </w:tc>
        <w:tc>
          <w:tcPr>
            <w:tcW w:w="1275" w:type="dxa"/>
            <w:noWrap w:val="0"/>
            <w:vAlign w:val="top"/>
          </w:tcPr>
          <w:p>
            <w:pP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noWrap w:val="0"/>
            <w:vAlign w:val="center"/>
          </w:tcPr>
          <w:p>
            <w:pPr>
              <w:pStyle w:val="23"/>
              <w:spacing w:line="240" w:lineRule="atLeast"/>
              <w:ind w:left="3920"/>
              <w:jc w:val="center"/>
              <w:outlineLvl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608" w:type="dxa"/>
            <w:noWrap w:val="0"/>
            <w:vAlign w:val="center"/>
          </w:tcPr>
          <w:p>
            <w:pPr>
              <w:jc w:val="center"/>
              <w:rPr>
                <w:rFonts w:ascii="仿宋" w:hAnsi="仿宋" w:eastAsia="仿宋" w:cs="仿宋"/>
                <w:color w:val="auto"/>
                <w:sz w:val="21"/>
                <w:szCs w:val="21"/>
                <w:highlight w:val="none"/>
              </w:rPr>
            </w:pPr>
          </w:p>
        </w:tc>
        <w:tc>
          <w:tcPr>
            <w:tcW w:w="3227" w:type="dxa"/>
            <w:noWrap w:val="0"/>
            <w:vAlign w:val="top"/>
          </w:tcPr>
          <w:p>
            <w:pPr>
              <w:jc w:val="center"/>
              <w:rPr>
                <w:rFonts w:ascii="仿宋" w:hAnsi="仿宋" w:eastAsia="仿宋" w:cs="仿宋"/>
                <w:color w:val="auto"/>
                <w:sz w:val="21"/>
                <w:szCs w:val="21"/>
                <w:highlight w:val="none"/>
              </w:rPr>
            </w:pPr>
          </w:p>
        </w:tc>
        <w:tc>
          <w:tcPr>
            <w:tcW w:w="1275" w:type="dxa"/>
            <w:noWrap w:val="0"/>
            <w:vAlign w:val="center"/>
          </w:tcPr>
          <w:p>
            <w:pPr>
              <w:jc w:val="center"/>
              <w:rPr>
                <w:rFonts w:ascii="仿宋" w:hAnsi="仿宋" w:eastAsia="仿宋" w:cs="仿宋"/>
                <w:color w:val="auto"/>
                <w:sz w:val="21"/>
                <w:szCs w:val="21"/>
                <w:highlight w:val="none"/>
              </w:rPr>
            </w:pPr>
          </w:p>
        </w:tc>
        <w:tc>
          <w:tcPr>
            <w:tcW w:w="1274" w:type="dxa"/>
            <w:noWrap w:val="0"/>
            <w:vAlign w:val="top"/>
          </w:tcPr>
          <w:p>
            <w:pPr>
              <w:jc w:val="center"/>
              <w:rPr>
                <w:rFonts w:ascii="仿宋" w:hAnsi="仿宋" w:eastAsia="仿宋" w:cs="仿宋"/>
                <w:color w:val="auto"/>
                <w:sz w:val="21"/>
                <w:szCs w:val="21"/>
                <w:highlight w:val="none"/>
              </w:rPr>
            </w:pPr>
          </w:p>
        </w:tc>
        <w:tc>
          <w:tcPr>
            <w:tcW w:w="1275" w:type="dxa"/>
            <w:noWrap w:val="0"/>
            <w:vAlign w:val="top"/>
          </w:tcPr>
          <w:p>
            <w:pP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noWrap w:val="0"/>
            <w:vAlign w:val="center"/>
          </w:tcPr>
          <w:p>
            <w:pPr>
              <w:pStyle w:val="23"/>
              <w:spacing w:line="240" w:lineRule="atLeast"/>
              <w:ind w:left="3920"/>
              <w:jc w:val="center"/>
              <w:outlineLvl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608" w:type="dxa"/>
            <w:noWrap w:val="0"/>
            <w:vAlign w:val="center"/>
          </w:tcPr>
          <w:p>
            <w:pPr>
              <w:jc w:val="center"/>
              <w:rPr>
                <w:rFonts w:ascii="仿宋" w:hAnsi="仿宋" w:eastAsia="仿宋" w:cs="仿宋"/>
                <w:color w:val="auto"/>
                <w:sz w:val="21"/>
                <w:szCs w:val="21"/>
                <w:highlight w:val="none"/>
              </w:rPr>
            </w:pPr>
          </w:p>
        </w:tc>
        <w:tc>
          <w:tcPr>
            <w:tcW w:w="3227" w:type="dxa"/>
            <w:noWrap w:val="0"/>
            <w:vAlign w:val="top"/>
          </w:tcPr>
          <w:p>
            <w:pPr>
              <w:jc w:val="center"/>
              <w:rPr>
                <w:rFonts w:ascii="仿宋" w:hAnsi="仿宋" w:eastAsia="仿宋" w:cs="仿宋"/>
                <w:color w:val="auto"/>
                <w:sz w:val="21"/>
                <w:szCs w:val="21"/>
                <w:highlight w:val="none"/>
              </w:rPr>
            </w:pPr>
          </w:p>
        </w:tc>
        <w:tc>
          <w:tcPr>
            <w:tcW w:w="1275" w:type="dxa"/>
            <w:noWrap w:val="0"/>
            <w:vAlign w:val="center"/>
          </w:tcPr>
          <w:p>
            <w:pPr>
              <w:jc w:val="center"/>
              <w:rPr>
                <w:rFonts w:ascii="仿宋" w:hAnsi="仿宋" w:eastAsia="仿宋" w:cs="仿宋"/>
                <w:color w:val="auto"/>
                <w:sz w:val="21"/>
                <w:szCs w:val="21"/>
                <w:highlight w:val="none"/>
              </w:rPr>
            </w:pPr>
          </w:p>
        </w:tc>
        <w:tc>
          <w:tcPr>
            <w:tcW w:w="1274" w:type="dxa"/>
            <w:noWrap w:val="0"/>
            <w:vAlign w:val="top"/>
          </w:tcPr>
          <w:p>
            <w:pPr>
              <w:jc w:val="center"/>
              <w:rPr>
                <w:rFonts w:ascii="仿宋" w:hAnsi="仿宋" w:eastAsia="仿宋" w:cs="仿宋"/>
                <w:color w:val="auto"/>
                <w:sz w:val="21"/>
                <w:szCs w:val="21"/>
                <w:highlight w:val="none"/>
              </w:rPr>
            </w:pPr>
          </w:p>
        </w:tc>
        <w:tc>
          <w:tcPr>
            <w:tcW w:w="1275" w:type="dxa"/>
            <w:noWrap w:val="0"/>
            <w:vAlign w:val="top"/>
          </w:tcPr>
          <w:p>
            <w:pP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noWrap w:val="0"/>
            <w:vAlign w:val="center"/>
          </w:tcPr>
          <w:p>
            <w:pPr>
              <w:pStyle w:val="23"/>
              <w:spacing w:line="240" w:lineRule="atLeast"/>
              <w:ind w:left="3920"/>
              <w:jc w:val="center"/>
              <w:outlineLvl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608" w:type="dxa"/>
            <w:noWrap w:val="0"/>
            <w:vAlign w:val="center"/>
          </w:tcPr>
          <w:p>
            <w:pPr>
              <w:jc w:val="center"/>
              <w:rPr>
                <w:rFonts w:ascii="仿宋" w:hAnsi="仿宋" w:eastAsia="仿宋" w:cs="仿宋"/>
                <w:color w:val="auto"/>
                <w:sz w:val="21"/>
                <w:szCs w:val="21"/>
                <w:highlight w:val="none"/>
              </w:rPr>
            </w:pPr>
          </w:p>
        </w:tc>
        <w:tc>
          <w:tcPr>
            <w:tcW w:w="3227" w:type="dxa"/>
            <w:noWrap w:val="0"/>
            <w:vAlign w:val="top"/>
          </w:tcPr>
          <w:p>
            <w:pPr>
              <w:jc w:val="center"/>
              <w:rPr>
                <w:rFonts w:ascii="仿宋" w:hAnsi="仿宋" w:eastAsia="仿宋" w:cs="仿宋"/>
                <w:color w:val="auto"/>
                <w:sz w:val="21"/>
                <w:szCs w:val="21"/>
                <w:highlight w:val="none"/>
              </w:rPr>
            </w:pPr>
          </w:p>
        </w:tc>
        <w:tc>
          <w:tcPr>
            <w:tcW w:w="1275" w:type="dxa"/>
            <w:noWrap w:val="0"/>
            <w:vAlign w:val="center"/>
          </w:tcPr>
          <w:p>
            <w:pPr>
              <w:jc w:val="center"/>
              <w:rPr>
                <w:rFonts w:ascii="仿宋" w:hAnsi="仿宋" w:eastAsia="仿宋" w:cs="仿宋"/>
                <w:color w:val="auto"/>
                <w:sz w:val="21"/>
                <w:szCs w:val="21"/>
                <w:highlight w:val="none"/>
              </w:rPr>
            </w:pPr>
          </w:p>
        </w:tc>
        <w:tc>
          <w:tcPr>
            <w:tcW w:w="1274" w:type="dxa"/>
            <w:noWrap w:val="0"/>
            <w:vAlign w:val="top"/>
          </w:tcPr>
          <w:p>
            <w:pPr>
              <w:jc w:val="center"/>
              <w:rPr>
                <w:rFonts w:ascii="仿宋" w:hAnsi="仿宋" w:eastAsia="仿宋" w:cs="仿宋"/>
                <w:color w:val="auto"/>
                <w:sz w:val="21"/>
                <w:szCs w:val="21"/>
                <w:highlight w:val="none"/>
              </w:rPr>
            </w:pPr>
          </w:p>
        </w:tc>
        <w:tc>
          <w:tcPr>
            <w:tcW w:w="1275" w:type="dxa"/>
            <w:noWrap w:val="0"/>
            <w:vAlign w:val="top"/>
          </w:tcPr>
          <w:p>
            <w:pP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noWrap w:val="0"/>
            <w:vAlign w:val="center"/>
          </w:tcPr>
          <w:p>
            <w:pPr>
              <w:pStyle w:val="23"/>
              <w:spacing w:line="240" w:lineRule="atLeast"/>
              <w:ind w:left="3920"/>
              <w:jc w:val="center"/>
              <w:outlineLvl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608" w:type="dxa"/>
            <w:noWrap w:val="0"/>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人工费</w:t>
            </w:r>
          </w:p>
        </w:tc>
        <w:tc>
          <w:tcPr>
            <w:tcW w:w="3227" w:type="dxa"/>
            <w:noWrap w:val="0"/>
            <w:vAlign w:val="top"/>
          </w:tcPr>
          <w:p>
            <w:pPr>
              <w:jc w:val="center"/>
              <w:rPr>
                <w:rFonts w:ascii="仿宋" w:hAnsi="仿宋" w:eastAsia="仿宋" w:cs="仿宋"/>
                <w:color w:val="auto"/>
                <w:sz w:val="21"/>
                <w:szCs w:val="21"/>
                <w:highlight w:val="none"/>
              </w:rPr>
            </w:pPr>
          </w:p>
        </w:tc>
        <w:tc>
          <w:tcPr>
            <w:tcW w:w="1275" w:type="dxa"/>
            <w:noWrap w:val="0"/>
            <w:vAlign w:val="center"/>
          </w:tcPr>
          <w:p>
            <w:pPr>
              <w:jc w:val="center"/>
              <w:rPr>
                <w:rFonts w:ascii="仿宋" w:hAnsi="仿宋" w:eastAsia="仿宋" w:cs="仿宋"/>
                <w:color w:val="auto"/>
                <w:sz w:val="21"/>
                <w:szCs w:val="21"/>
                <w:highlight w:val="none"/>
              </w:rPr>
            </w:pPr>
          </w:p>
        </w:tc>
        <w:tc>
          <w:tcPr>
            <w:tcW w:w="1274" w:type="dxa"/>
            <w:noWrap w:val="0"/>
            <w:vAlign w:val="top"/>
          </w:tcPr>
          <w:p>
            <w:pPr>
              <w:jc w:val="center"/>
              <w:rPr>
                <w:rFonts w:ascii="仿宋" w:hAnsi="仿宋" w:eastAsia="仿宋" w:cs="仿宋"/>
                <w:color w:val="auto"/>
                <w:sz w:val="21"/>
                <w:szCs w:val="21"/>
                <w:highlight w:val="none"/>
              </w:rPr>
            </w:pPr>
          </w:p>
        </w:tc>
        <w:tc>
          <w:tcPr>
            <w:tcW w:w="1275" w:type="dxa"/>
            <w:noWrap w:val="0"/>
            <w:vAlign w:val="top"/>
          </w:tcPr>
          <w:p>
            <w:pP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noWrap w:val="0"/>
            <w:vAlign w:val="center"/>
          </w:tcPr>
          <w:p>
            <w:pPr>
              <w:pStyle w:val="23"/>
              <w:spacing w:line="240" w:lineRule="atLeast"/>
              <w:ind w:left="3920"/>
              <w:jc w:val="center"/>
              <w:outlineLvl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608" w:type="dxa"/>
            <w:noWrap w:val="0"/>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各种税费</w:t>
            </w:r>
          </w:p>
        </w:tc>
        <w:tc>
          <w:tcPr>
            <w:tcW w:w="3227" w:type="dxa"/>
            <w:noWrap w:val="0"/>
            <w:vAlign w:val="top"/>
          </w:tcPr>
          <w:p>
            <w:pPr>
              <w:jc w:val="center"/>
              <w:rPr>
                <w:rFonts w:ascii="仿宋" w:hAnsi="仿宋" w:eastAsia="仿宋" w:cs="仿宋"/>
                <w:color w:val="auto"/>
                <w:sz w:val="21"/>
                <w:szCs w:val="21"/>
                <w:highlight w:val="none"/>
              </w:rPr>
            </w:pPr>
          </w:p>
        </w:tc>
        <w:tc>
          <w:tcPr>
            <w:tcW w:w="1275" w:type="dxa"/>
            <w:noWrap w:val="0"/>
            <w:vAlign w:val="center"/>
          </w:tcPr>
          <w:p>
            <w:pPr>
              <w:jc w:val="center"/>
              <w:rPr>
                <w:rFonts w:ascii="仿宋" w:hAnsi="仿宋" w:eastAsia="仿宋" w:cs="仿宋"/>
                <w:color w:val="auto"/>
                <w:sz w:val="21"/>
                <w:szCs w:val="21"/>
                <w:highlight w:val="none"/>
              </w:rPr>
            </w:pPr>
          </w:p>
        </w:tc>
        <w:tc>
          <w:tcPr>
            <w:tcW w:w="1274" w:type="dxa"/>
            <w:noWrap w:val="0"/>
            <w:vAlign w:val="top"/>
          </w:tcPr>
          <w:p>
            <w:pPr>
              <w:jc w:val="center"/>
              <w:rPr>
                <w:rFonts w:ascii="仿宋" w:hAnsi="仿宋" w:eastAsia="仿宋" w:cs="仿宋"/>
                <w:color w:val="auto"/>
                <w:sz w:val="21"/>
                <w:szCs w:val="21"/>
                <w:highlight w:val="none"/>
              </w:rPr>
            </w:pPr>
          </w:p>
        </w:tc>
        <w:tc>
          <w:tcPr>
            <w:tcW w:w="1275" w:type="dxa"/>
            <w:noWrap w:val="0"/>
            <w:vAlign w:val="top"/>
          </w:tcPr>
          <w:p>
            <w:pP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noWrap w:val="0"/>
            <w:vAlign w:val="center"/>
          </w:tcPr>
          <w:p>
            <w:pPr>
              <w:pStyle w:val="23"/>
              <w:spacing w:line="240" w:lineRule="atLeast"/>
              <w:ind w:left="3920"/>
              <w:jc w:val="center"/>
              <w:outlineLvl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608" w:type="dxa"/>
            <w:noWrap w:val="0"/>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其他费用</w:t>
            </w:r>
          </w:p>
        </w:tc>
        <w:tc>
          <w:tcPr>
            <w:tcW w:w="3227" w:type="dxa"/>
            <w:noWrap w:val="0"/>
            <w:vAlign w:val="top"/>
          </w:tcPr>
          <w:p>
            <w:pPr>
              <w:jc w:val="center"/>
              <w:rPr>
                <w:rFonts w:ascii="仿宋" w:hAnsi="仿宋" w:eastAsia="仿宋" w:cs="仿宋"/>
                <w:color w:val="auto"/>
                <w:sz w:val="21"/>
                <w:szCs w:val="21"/>
                <w:highlight w:val="none"/>
              </w:rPr>
            </w:pPr>
          </w:p>
        </w:tc>
        <w:tc>
          <w:tcPr>
            <w:tcW w:w="1275" w:type="dxa"/>
            <w:noWrap w:val="0"/>
            <w:vAlign w:val="center"/>
          </w:tcPr>
          <w:p>
            <w:pPr>
              <w:jc w:val="center"/>
              <w:rPr>
                <w:rFonts w:ascii="仿宋" w:hAnsi="仿宋" w:eastAsia="仿宋" w:cs="仿宋"/>
                <w:color w:val="auto"/>
                <w:sz w:val="21"/>
                <w:szCs w:val="21"/>
                <w:highlight w:val="none"/>
              </w:rPr>
            </w:pPr>
          </w:p>
        </w:tc>
        <w:tc>
          <w:tcPr>
            <w:tcW w:w="1274" w:type="dxa"/>
            <w:noWrap w:val="0"/>
            <w:vAlign w:val="top"/>
          </w:tcPr>
          <w:p>
            <w:pPr>
              <w:jc w:val="center"/>
              <w:rPr>
                <w:rFonts w:ascii="仿宋" w:hAnsi="仿宋" w:eastAsia="仿宋" w:cs="仿宋"/>
                <w:color w:val="auto"/>
                <w:sz w:val="21"/>
                <w:szCs w:val="21"/>
                <w:highlight w:val="none"/>
              </w:rPr>
            </w:pPr>
          </w:p>
        </w:tc>
        <w:tc>
          <w:tcPr>
            <w:tcW w:w="1275" w:type="dxa"/>
            <w:noWrap w:val="0"/>
            <w:vAlign w:val="top"/>
          </w:tcPr>
          <w:p>
            <w:pP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noWrap w:val="0"/>
            <w:vAlign w:val="center"/>
          </w:tcPr>
          <w:p>
            <w:pPr>
              <w:pStyle w:val="23"/>
              <w:spacing w:line="240" w:lineRule="atLeast"/>
              <w:ind w:left="3920"/>
              <w:jc w:val="center"/>
              <w:outlineLvl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1608" w:type="dxa"/>
            <w:noWrap w:val="0"/>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3227" w:type="dxa"/>
            <w:noWrap w:val="0"/>
            <w:vAlign w:val="top"/>
          </w:tcPr>
          <w:p>
            <w:pPr>
              <w:jc w:val="center"/>
              <w:rPr>
                <w:rFonts w:ascii="仿宋" w:hAnsi="仿宋" w:eastAsia="仿宋" w:cs="仿宋"/>
                <w:color w:val="auto"/>
                <w:sz w:val="21"/>
                <w:szCs w:val="21"/>
                <w:highlight w:val="none"/>
              </w:rPr>
            </w:pPr>
          </w:p>
        </w:tc>
        <w:tc>
          <w:tcPr>
            <w:tcW w:w="1275" w:type="dxa"/>
            <w:noWrap w:val="0"/>
            <w:vAlign w:val="center"/>
          </w:tcPr>
          <w:p>
            <w:pPr>
              <w:jc w:val="center"/>
              <w:rPr>
                <w:rFonts w:ascii="仿宋" w:hAnsi="仿宋" w:eastAsia="仿宋" w:cs="仿宋"/>
                <w:color w:val="auto"/>
                <w:sz w:val="21"/>
                <w:szCs w:val="21"/>
                <w:highlight w:val="none"/>
              </w:rPr>
            </w:pPr>
          </w:p>
        </w:tc>
        <w:tc>
          <w:tcPr>
            <w:tcW w:w="1274" w:type="dxa"/>
            <w:noWrap w:val="0"/>
            <w:vAlign w:val="top"/>
          </w:tcPr>
          <w:p>
            <w:pPr>
              <w:jc w:val="center"/>
              <w:rPr>
                <w:rFonts w:ascii="仿宋" w:hAnsi="仿宋" w:eastAsia="仿宋" w:cs="仿宋"/>
                <w:color w:val="auto"/>
                <w:sz w:val="21"/>
                <w:szCs w:val="21"/>
                <w:highlight w:val="none"/>
              </w:rPr>
            </w:pPr>
          </w:p>
        </w:tc>
        <w:tc>
          <w:tcPr>
            <w:tcW w:w="1275" w:type="dxa"/>
            <w:noWrap w:val="0"/>
            <w:vAlign w:val="top"/>
          </w:tcPr>
          <w:p>
            <w:pPr>
              <w:jc w:val="center"/>
              <w:rPr>
                <w:rFonts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noWrap w:val="0"/>
            <w:vAlign w:val="center"/>
          </w:tcPr>
          <w:p>
            <w:pPr>
              <w:pStyle w:val="23"/>
              <w:spacing w:line="240" w:lineRule="atLeast"/>
              <w:ind w:left="3920"/>
              <w:jc w:val="center"/>
              <w:outlineLvl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608" w:type="dxa"/>
            <w:noWrap w:val="0"/>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总计（元）</w:t>
            </w:r>
          </w:p>
        </w:tc>
        <w:tc>
          <w:tcPr>
            <w:tcW w:w="7051" w:type="dxa"/>
            <w:gridSpan w:val="4"/>
            <w:noWrap w:val="0"/>
            <w:vAlign w:val="top"/>
          </w:tcPr>
          <w:p>
            <w:pPr>
              <w:rPr>
                <w:rFonts w:ascii="仿宋" w:hAnsi="仿宋" w:eastAsia="仿宋" w:cs="仿宋"/>
                <w:color w:val="auto"/>
                <w:sz w:val="21"/>
                <w:szCs w:val="21"/>
                <w:highlight w:val="none"/>
              </w:rPr>
            </w:pPr>
          </w:p>
        </w:tc>
      </w:tr>
    </w:tbl>
    <w:p>
      <w:pPr>
        <w:snapToGrid w:val="0"/>
        <w:spacing w:line="500" w:lineRule="exact"/>
        <w:rPr>
          <w:rFonts w:hint="eastAsia" w:ascii="仿宋" w:hAnsi="仿宋" w:eastAsia="仿宋" w:cs="仿宋"/>
          <w:color w:val="auto"/>
          <w:sz w:val="24"/>
          <w:szCs w:val="28"/>
          <w:highlight w:val="none"/>
        </w:rPr>
      </w:pPr>
    </w:p>
    <w:p>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注：1.供应商应完整填写本表。</w:t>
      </w:r>
    </w:p>
    <w:p>
      <w:pPr>
        <w:snapToGrid w:val="0"/>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2.该表可扩展</w:t>
      </w:r>
      <w:bookmarkStart w:id="303" w:name="OLE_LINK1"/>
      <w:bookmarkStart w:id="304" w:name="OLE_LINK2"/>
      <w:r>
        <w:rPr>
          <w:rFonts w:hint="eastAsia" w:ascii="仿宋" w:hAnsi="仿宋" w:eastAsia="仿宋" w:cs="仿宋"/>
          <w:color w:val="auto"/>
          <w:sz w:val="24"/>
          <w:szCs w:val="28"/>
          <w:highlight w:val="none"/>
        </w:rPr>
        <w:t>。</w:t>
      </w:r>
      <w:bookmarkEnd w:id="303"/>
      <w:bookmarkEnd w:id="304"/>
    </w:p>
    <w:p>
      <w:pPr>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8"/>
          <w:highlight w:val="none"/>
        </w:rPr>
        <w:t xml:space="preserve">       </w:t>
      </w:r>
    </w:p>
    <w:p>
      <w:pPr>
        <w:pStyle w:val="3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供应商名称（公章）：</w:t>
      </w:r>
    </w:p>
    <w:p>
      <w:pPr>
        <w:widowControl/>
        <w:spacing w:line="360" w:lineRule="auto"/>
        <w:ind w:firstLine="6240" w:firstLineChars="2600"/>
        <w:jc w:val="left"/>
        <w:rPr>
          <w:rFonts w:hint="eastAsia" w:ascii="仿宋" w:hAnsi="仿宋" w:eastAsia="仿宋" w:cs="仿宋"/>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sectPr>
      </w:pPr>
      <w:r>
        <w:rPr>
          <w:rFonts w:hint="eastAsia" w:ascii="仿宋" w:hAnsi="仿宋" w:eastAsia="仿宋" w:cs="仿宋"/>
          <w:color w:val="auto"/>
          <w:sz w:val="24"/>
          <w:szCs w:val="24"/>
          <w:highlight w:val="none"/>
        </w:rPr>
        <w:t>年     月    日</w:t>
      </w:r>
    </w:p>
    <w:p>
      <w:pPr>
        <w:pStyle w:val="5"/>
        <w:spacing w:before="0" w:after="0" w:line="360" w:lineRule="auto"/>
        <w:rPr>
          <w:rFonts w:hint="eastAsia" w:ascii="仿宋" w:hAnsi="仿宋" w:eastAsia="仿宋" w:cs="仿宋"/>
          <w:color w:val="auto"/>
          <w:sz w:val="24"/>
          <w:szCs w:val="24"/>
          <w:highlight w:val="none"/>
        </w:rPr>
      </w:pPr>
      <w:bookmarkStart w:id="305" w:name="_Toc18006"/>
      <w:bookmarkStart w:id="306" w:name="_Toc25562"/>
      <w:bookmarkStart w:id="307" w:name="_Toc487204798"/>
      <w:bookmarkStart w:id="308" w:name="_Toc2118"/>
      <w:bookmarkStart w:id="309" w:name="_Toc1503"/>
      <w:bookmarkStart w:id="310" w:name="_Toc486608278"/>
      <w:bookmarkStart w:id="311" w:name="_Toc32180"/>
      <w:bookmarkStart w:id="312" w:name="_Toc486585241"/>
      <w:bookmarkStart w:id="313" w:name="_Toc25325"/>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部分</w:t>
      </w:r>
      <w:bookmarkEnd w:id="305"/>
      <w:bookmarkEnd w:id="306"/>
      <w:bookmarkEnd w:id="307"/>
      <w:bookmarkEnd w:id="308"/>
      <w:bookmarkEnd w:id="309"/>
      <w:bookmarkEnd w:id="310"/>
      <w:bookmarkEnd w:id="311"/>
      <w:bookmarkEnd w:id="312"/>
      <w:bookmarkEnd w:id="313"/>
    </w:p>
    <w:p>
      <w:pPr>
        <w:snapToGrid w:val="0"/>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偏离表</w:t>
      </w:r>
    </w:p>
    <w:p>
      <w:pPr>
        <w:pStyle w:val="2"/>
        <w:jc w:val="center"/>
        <w:rPr>
          <w:rFonts w:hint="eastAsia"/>
        </w:rPr>
      </w:pPr>
      <w:r>
        <w:rPr>
          <w:rFonts w:hint="eastAsia" w:ascii="仿宋" w:hAnsi="仿宋" w:eastAsia="仿宋" w:cs="仿宋"/>
          <w:b/>
          <w:color w:val="auto"/>
          <w:sz w:val="24"/>
          <w:szCs w:val="24"/>
          <w:highlight w:val="none"/>
          <w:lang w:val="en-US" w:eastAsia="zh-CN"/>
        </w:rPr>
        <w:t>服务</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偏离表</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编</w:t>
      </w:r>
      <w:r>
        <w:rPr>
          <w:rFonts w:hint="eastAsia" w:ascii="仿宋" w:hAnsi="仿宋" w:eastAsia="仿宋" w:cs="仿宋"/>
          <w:color w:val="auto"/>
          <w:sz w:val="24"/>
          <w:szCs w:val="24"/>
          <w:highlight w:val="none"/>
        </w:rPr>
        <w:t xml:space="preserve">号：                           </w:t>
      </w:r>
    </w:p>
    <w:p>
      <w:pPr>
        <w:pStyle w:val="33"/>
        <w:tabs>
          <w:tab w:val="left" w:pos="6300"/>
        </w:tabs>
        <w:snapToGri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情况</w:t>
            </w: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w:t>
      </w:r>
      <w:r>
        <w:rPr>
          <w:rFonts w:hint="eastAsia" w:ascii="仿宋" w:hAnsi="仿宋" w:eastAsia="仿宋" w:cs="仿宋"/>
          <w:color w:val="auto"/>
          <w:sz w:val="24"/>
          <w:szCs w:val="24"/>
          <w:highlight w:val="none"/>
          <w:lang w:val="en-US" w:eastAsia="zh-CN"/>
        </w:rPr>
        <w:t>或法定代表人</w:t>
      </w:r>
      <w:r>
        <w:rPr>
          <w:rFonts w:hint="eastAsia" w:ascii="仿宋" w:hAnsi="仿宋" w:eastAsia="仿宋" w:cs="仿宋"/>
          <w:color w:val="auto"/>
          <w:sz w:val="24"/>
          <w:szCs w:val="24"/>
          <w:highlight w:val="none"/>
        </w:rPr>
        <w:t>授权代表：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询价项目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需求”中所列要求进行比较和</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2.该表可扩展；</w:t>
      </w:r>
    </w:p>
    <w:p>
      <w:pPr>
        <w:tabs>
          <w:tab w:val="left" w:pos="6300"/>
        </w:tabs>
        <w:snapToGrid w:val="0"/>
        <w:spacing w:line="360" w:lineRule="auto"/>
        <w:ind w:firstLine="480" w:firstLineChars="200"/>
        <w:rPr>
          <w:rFonts w:hint="eastAsia"/>
          <w:color w:val="auto"/>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.可附相关技术支撑材料。（格式自定）</w:t>
      </w:r>
    </w:p>
    <w:p>
      <w:pPr>
        <w:tabs>
          <w:tab w:val="left" w:pos="6300"/>
        </w:tabs>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spacing w:before="0" w:after="0" w:line="360" w:lineRule="auto"/>
        <w:rPr>
          <w:rFonts w:hint="eastAsia" w:ascii="仿宋" w:hAnsi="仿宋" w:eastAsia="仿宋" w:cs="仿宋"/>
          <w:color w:val="auto"/>
          <w:sz w:val="24"/>
          <w:szCs w:val="24"/>
          <w:highlight w:val="none"/>
        </w:rPr>
      </w:pPr>
      <w:bookmarkStart w:id="314" w:name="_Toc23399"/>
      <w:bookmarkStart w:id="315" w:name="_Toc487204799"/>
      <w:bookmarkStart w:id="316" w:name="_Toc29235"/>
      <w:bookmarkStart w:id="317" w:name="_Toc27575"/>
      <w:bookmarkStart w:id="318" w:name="_Toc22297"/>
      <w:bookmarkStart w:id="319" w:name="_Toc486608279"/>
      <w:bookmarkStart w:id="320" w:name="_Toc31577"/>
      <w:bookmarkStart w:id="321" w:name="_Toc486585242"/>
      <w:bookmarkStart w:id="322" w:name="_Toc12129"/>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部分</w:t>
      </w:r>
      <w:bookmarkEnd w:id="314"/>
      <w:bookmarkEnd w:id="315"/>
      <w:bookmarkEnd w:id="316"/>
      <w:bookmarkEnd w:id="317"/>
      <w:bookmarkEnd w:id="318"/>
      <w:bookmarkEnd w:id="319"/>
      <w:bookmarkEnd w:id="320"/>
      <w:bookmarkEnd w:id="321"/>
      <w:bookmarkEnd w:id="322"/>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偏离表</w:t>
      </w: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商务</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偏离表</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编</w:t>
      </w:r>
      <w:r>
        <w:rPr>
          <w:rFonts w:hint="eastAsia" w:ascii="仿宋" w:hAnsi="仿宋" w:eastAsia="仿宋" w:cs="仿宋"/>
          <w:color w:val="auto"/>
          <w:sz w:val="24"/>
          <w:szCs w:val="24"/>
          <w:highlight w:val="none"/>
        </w:rPr>
        <w:t xml:space="preserve">号：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5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569"/>
        <w:gridCol w:w="270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55"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07"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询价项目需求</w:t>
            </w:r>
          </w:p>
        </w:tc>
        <w:tc>
          <w:tcPr>
            <w:tcW w:w="1587"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情况</w:t>
            </w:r>
          </w:p>
        </w:tc>
        <w:tc>
          <w:tcPr>
            <w:tcW w:w="1349"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55"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507"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587"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55"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507"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587"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55"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507"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587"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55"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507"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587"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55"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507"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587"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55"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507"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587"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pPr>
              <w:tabs>
                <w:tab w:val="left" w:pos="6300"/>
              </w:tabs>
              <w:snapToGrid w:val="0"/>
              <w:spacing w:line="360" w:lineRule="auto"/>
              <w:jc w:val="center"/>
              <w:outlineLvl w:val="0"/>
              <w:rPr>
                <w:rFonts w:hint="eastAsia" w:ascii="仿宋" w:hAnsi="仿宋" w:eastAsia="仿宋" w:cs="仿宋"/>
                <w:color w:val="auto"/>
                <w:sz w:val="24"/>
                <w:szCs w:val="24"/>
                <w:highlight w:val="none"/>
              </w:rPr>
            </w:pPr>
          </w:p>
        </w:tc>
      </w:tr>
    </w:tbl>
    <w:p>
      <w:pPr>
        <w:snapToGrid w:val="0"/>
        <w:spacing w:line="360" w:lineRule="auto"/>
        <w:ind w:firstLine="465"/>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                            </w:t>
      </w:r>
      <w:r>
        <w:rPr>
          <w:rFonts w:hint="eastAsia" w:ascii="仿宋" w:hAnsi="仿宋" w:eastAsia="仿宋" w:cs="仿宋"/>
          <w:color w:val="auto"/>
          <w:sz w:val="24"/>
          <w:szCs w:val="24"/>
          <w:highlight w:val="none"/>
          <w:lang w:val="en-US" w:eastAsia="zh-CN"/>
        </w:rPr>
        <w:t>法定代表人或</w:t>
      </w:r>
      <w:r>
        <w:rPr>
          <w:rFonts w:hint="eastAsia" w:ascii="仿宋" w:hAnsi="仿宋" w:eastAsia="仿宋" w:cs="仿宋"/>
          <w:color w:val="auto"/>
          <w:sz w:val="24"/>
          <w:szCs w:val="24"/>
          <w:highlight w:val="none"/>
        </w:rPr>
        <w:t>法定代表人授权代表：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1.本表即为对本项目“第四篇 询价项目</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需求”中所列要求进行比较和</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2.该表可扩展</w:t>
      </w:r>
      <w:r>
        <w:rPr>
          <w:rFonts w:hint="eastAsia" w:ascii="仿宋" w:hAnsi="仿宋" w:eastAsia="仿宋" w:cs="仿宋"/>
          <w:color w:val="auto"/>
          <w:sz w:val="24"/>
          <w:szCs w:val="24"/>
          <w:highlight w:val="none"/>
          <w:lang w:eastAsia="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（二）其它优惠承诺（格式自定）</w:t>
      </w:r>
    </w:p>
    <w:p>
      <w:pPr>
        <w:pStyle w:val="5"/>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br w:type="page"/>
      </w:r>
      <w:bookmarkStart w:id="323" w:name="_Toc487204800"/>
      <w:bookmarkStart w:id="324" w:name="_Toc2294"/>
      <w:bookmarkStart w:id="325" w:name="_Toc486608280"/>
      <w:bookmarkStart w:id="326" w:name="_Toc21912"/>
      <w:bookmarkStart w:id="327" w:name="_Toc31250"/>
      <w:bookmarkStart w:id="328" w:name="_Toc486585243"/>
      <w:bookmarkStart w:id="329" w:name="_Toc20956"/>
      <w:bookmarkStart w:id="330" w:name="_Toc19564"/>
      <w:bookmarkStart w:id="331" w:name="_Toc18172"/>
      <w:r>
        <w:rPr>
          <w:rFonts w:hint="eastAsia" w:ascii="仿宋" w:hAnsi="仿宋" w:eastAsia="仿宋" w:cs="仿宋"/>
          <w:color w:val="auto"/>
          <w:sz w:val="24"/>
          <w:szCs w:val="24"/>
          <w:highlight w:val="none"/>
        </w:rPr>
        <w:t>四、资格条件及其他</w:t>
      </w:r>
      <w:bookmarkEnd w:id="323"/>
      <w:bookmarkEnd w:id="324"/>
      <w:bookmarkEnd w:id="325"/>
      <w:bookmarkEnd w:id="326"/>
      <w:bookmarkEnd w:id="327"/>
      <w:bookmarkEnd w:id="328"/>
      <w:bookmarkEnd w:id="329"/>
      <w:bookmarkEnd w:id="330"/>
      <w:bookmarkEnd w:id="331"/>
    </w:p>
    <w:p>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（一）法人营业执照（副本）或事业单位法人证书（副本）或个体工商户营业执照或有效的自然人身份证明或社会团体法人登记证书（提供复印件）</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（二）法定代表人身份证明书（格式）</w:t>
      </w: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名称）：</w:t>
      </w:r>
    </w:p>
    <w:p>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（法定代表人姓名）在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（职务名称）职务，是__________________（供应商名称）的法定代表人。</w:t>
      </w: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（附：法定代表人身份证正反面复印件）</w:t>
      </w: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（三）法定代表人授权委托书（格式）</w:t>
      </w:r>
    </w:p>
    <w:p>
      <w:pPr>
        <w:tabs>
          <w:tab w:val="left" w:pos="6300"/>
        </w:tabs>
        <w:snapToGrid w:val="0"/>
        <w:spacing w:line="360" w:lineRule="auto"/>
        <w:ind w:firstLine="570"/>
        <w:rPr>
          <w:rFonts w:hint="eastAsia" w:ascii="仿宋" w:hAnsi="仿宋" w:eastAsia="仿宋" w:cs="仿宋"/>
          <w:color w:val="auto"/>
          <w:sz w:val="24"/>
          <w:szCs w:val="24"/>
          <w:highlight w:val="none"/>
        </w:rPr>
      </w:pPr>
    </w:p>
    <w:p>
      <w:pPr>
        <w:tabs>
          <w:tab w:val="left" w:pos="6300"/>
        </w:tabs>
        <w:snapToGrid w:val="0"/>
        <w:spacing w:line="360" w:lineRule="auto"/>
        <w:jc w:val="center"/>
        <w:outlineLvl w:val="0"/>
        <w:rPr>
          <w:rFonts w:hint="eastAsia" w:ascii="仿宋" w:hAnsi="仿宋" w:eastAsia="仿宋" w:cs="仿宋"/>
          <w:b/>
          <w:color w:val="auto"/>
          <w:highlight w:val="none"/>
        </w:rPr>
      </w:pPr>
      <w:r>
        <w:rPr>
          <w:rFonts w:hint="eastAsia" w:ascii="仿宋" w:hAnsi="仿宋" w:eastAsia="仿宋" w:cs="仿宋"/>
          <w:b/>
          <w:color w:val="auto"/>
          <w:highlight w:val="none"/>
        </w:rPr>
        <w:t>法定代表人授权委托书（格式）</w:t>
      </w:r>
    </w:p>
    <w:p>
      <w:pPr>
        <w:tabs>
          <w:tab w:val="left" w:pos="6300"/>
        </w:tabs>
        <w:snapToGrid w:val="0"/>
        <w:spacing w:line="360" w:lineRule="auto"/>
        <w:rPr>
          <w:rFonts w:hint="eastAsia" w:ascii="仿宋" w:hAnsi="仿宋" w:eastAsia="仿宋" w:cs="仿宋"/>
          <w:color w:val="auto"/>
          <w:sz w:val="24"/>
          <w:szCs w:val="24"/>
          <w:highlight w:val="none"/>
        </w:rPr>
      </w:pPr>
    </w:p>
    <w:p>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项目名称：_______________</w:t>
      </w:r>
    </w:p>
    <w:p>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期：_______________</w:t>
      </w:r>
    </w:p>
    <w:p>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致：_____________________（</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名称）</w:t>
      </w:r>
    </w:p>
    <w:p>
      <w:pPr>
        <w:tabs>
          <w:tab w:val="left" w:pos="6300"/>
        </w:tabs>
        <w:snapToGrid w:val="0"/>
        <w:spacing w:line="360" w:lineRule="auto"/>
        <w:ind w:firstLine="5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_____________________（供应商名称）是中华人民共和国合法企业，法定地址______________________________。</w:t>
      </w:r>
    </w:p>
    <w:p>
      <w:pPr>
        <w:tabs>
          <w:tab w:val="left" w:pos="6300"/>
        </w:tabs>
        <w:snapToGrid w:val="0"/>
        <w:spacing w:line="360" w:lineRule="auto"/>
        <w:ind w:firstLine="5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360" w:lineRule="auto"/>
        <w:ind w:firstLine="5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pPr>
        <w:tabs>
          <w:tab w:val="left" w:pos="6300"/>
        </w:tabs>
        <w:snapToGrid w:val="0"/>
        <w:spacing w:line="360" w:lineRule="auto"/>
        <w:ind w:firstLine="5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hint="eastAsia" w:ascii="仿宋" w:hAnsi="仿宋" w:eastAsia="仿宋" w:cs="仿宋"/>
          <w:color w:val="auto"/>
          <w:sz w:val="24"/>
          <w:szCs w:val="24"/>
          <w:highlight w:val="none"/>
        </w:rPr>
      </w:pPr>
    </w:p>
    <w:p>
      <w:pPr>
        <w:tabs>
          <w:tab w:val="left" w:pos="6300"/>
        </w:tabs>
        <w:snapToGrid w:val="0"/>
        <w:spacing w:line="360" w:lineRule="auto"/>
        <w:rPr>
          <w:rFonts w:hint="eastAsia" w:ascii="仿宋" w:hAnsi="仿宋" w:eastAsia="仿宋" w:cs="仿宋"/>
          <w:color w:val="auto"/>
          <w:sz w:val="24"/>
          <w:szCs w:val="24"/>
          <w:highlight w:val="none"/>
        </w:rPr>
      </w:pP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法定代表人：</w:t>
      </w:r>
    </w:p>
    <w:p>
      <w:pPr>
        <w:tabs>
          <w:tab w:val="left" w:pos="6300"/>
        </w:tabs>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（签字或盖章）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highlight w:val="none"/>
        </w:rPr>
        <w:t>（签字或盖章）</w:t>
      </w:r>
      <w:r>
        <w:rPr>
          <w:rFonts w:hint="eastAsia" w:ascii="仿宋" w:hAnsi="仿宋" w:eastAsia="仿宋" w:cs="仿宋"/>
          <w:color w:val="auto"/>
          <w:sz w:val="24"/>
          <w:szCs w:val="24"/>
          <w:highlight w:val="none"/>
        </w:rPr>
        <w:t>：</w:t>
      </w:r>
    </w:p>
    <w:p>
      <w:pPr>
        <w:tabs>
          <w:tab w:val="left" w:pos="6300"/>
        </w:tabs>
        <w:snapToGrid w:val="0"/>
        <w:spacing w:line="360" w:lineRule="auto"/>
        <w:ind w:firstLine="570"/>
        <w:rPr>
          <w:rFonts w:hint="eastAsia" w:ascii="仿宋" w:hAnsi="仿宋" w:eastAsia="仿宋" w:cs="仿宋"/>
          <w:color w:val="auto"/>
          <w:sz w:val="24"/>
          <w:highlight w:val="none"/>
        </w:rPr>
      </w:pPr>
    </w:p>
    <w:p>
      <w:pPr>
        <w:tabs>
          <w:tab w:val="left" w:pos="6300"/>
        </w:tabs>
        <w:snapToGrid w:val="0"/>
        <w:spacing w:line="360" w:lineRule="auto"/>
        <w:ind w:firstLine="570"/>
        <w:rPr>
          <w:rFonts w:hint="eastAsia" w:ascii="仿宋" w:hAnsi="仿宋" w:eastAsia="仿宋" w:cs="仿宋"/>
          <w:color w:val="auto"/>
          <w:sz w:val="24"/>
          <w:highlight w:val="none"/>
        </w:rPr>
      </w:pPr>
      <w:bookmarkStart w:id="332" w:name="OLE_LINK4"/>
      <w:bookmarkStart w:id="333" w:name="OLE_LINK3"/>
      <w:r>
        <w:rPr>
          <w:rFonts w:hint="eastAsia" w:ascii="仿宋" w:hAnsi="仿宋" w:eastAsia="仿宋" w:cs="仿宋"/>
          <w:color w:val="auto"/>
          <w:sz w:val="24"/>
          <w:highlight w:val="none"/>
        </w:rPr>
        <w:t>（附：被授权人身份证复印件）</w:t>
      </w:r>
      <w:bookmarkEnd w:id="332"/>
      <w:bookmarkEnd w:id="333"/>
    </w:p>
    <w:p>
      <w:pPr>
        <w:tabs>
          <w:tab w:val="left" w:pos="6300"/>
        </w:tabs>
        <w:snapToGrid w:val="0"/>
        <w:spacing w:line="360" w:lineRule="auto"/>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pPr>
        <w:snapToGrid w:val="0"/>
        <w:spacing w:line="360" w:lineRule="auto"/>
        <w:ind w:firstLine="6480" w:firstLineChars="27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年   月   日</w:t>
      </w:r>
    </w:p>
    <w:p>
      <w:pPr>
        <w:tabs>
          <w:tab w:val="left" w:pos="6300"/>
        </w:tabs>
        <w:snapToGrid w:val="0"/>
        <w:spacing w:line="360" w:lineRule="auto"/>
        <w:ind w:right="480" w:firstLine="570"/>
        <w:jc w:val="right"/>
        <w:rPr>
          <w:rFonts w:hint="eastAsia" w:ascii="仿宋" w:hAnsi="仿宋" w:eastAsia="仿宋" w:cs="仿宋"/>
          <w:color w:val="auto"/>
          <w:sz w:val="24"/>
          <w:szCs w:val="24"/>
          <w:highlight w:val="none"/>
        </w:rPr>
      </w:pPr>
    </w:p>
    <w:p>
      <w:pPr>
        <w:tabs>
          <w:tab w:val="left" w:pos="6300"/>
        </w:tabs>
        <w:snapToGrid w:val="0"/>
        <w:spacing w:line="360" w:lineRule="auto"/>
        <w:ind w:right="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（四）基本资格条件承诺函（格式）</w:t>
      </w:r>
    </w:p>
    <w:p>
      <w:pPr>
        <w:tabs>
          <w:tab w:val="left" w:pos="6300"/>
        </w:tabs>
        <w:snapToGrid w:val="0"/>
        <w:spacing w:line="530" w:lineRule="exact"/>
        <w:rPr>
          <w:rFonts w:hint="eastAsia" w:ascii="仿宋" w:hAnsi="仿宋" w:eastAsia="仿宋" w:cs="仿宋"/>
          <w:color w:val="auto"/>
          <w:szCs w:val="32"/>
          <w:highlight w:val="none"/>
        </w:rPr>
      </w:pPr>
    </w:p>
    <w:p>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（供应商名称）郑重承诺：</w:t>
      </w:r>
    </w:p>
    <w:p>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w:t>
      </w:r>
      <w:r>
        <w:rPr>
          <w:rFonts w:hint="eastAsia" w:ascii="仿宋" w:hAnsi="仿宋" w:eastAsia="仿宋" w:cs="仿宋"/>
          <w:color w:val="auto"/>
          <w:sz w:val="24"/>
          <w:szCs w:val="24"/>
          <w:highlight w:val="none"/>
          <w:lang w:eastAsia="zh-CN"/>
        </w:rPr>
        <w:t>询价通知书</w:t>
      </w:r>
      <w:r>
        <w:rPr>
          <w:rFonts w:hint="eastAsia" w:ascii="仿宋" w:hAnsi="仿宋" w:eastAsia="仿宋" w:cs="仿宋"/>
          <w:color w:val="auto"/>
          <w:sz w:val="24"/>
          <w:szCs w:val="24"/>
          <w:highlight w:val="none"/>
        </w:rPr>
        <w:t>规定的供应商基本资格条件。</w:t>
      </w:r>
    </w:p>
    <w:p>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4.我方完全满足法律、行政法规规定的其他条件，不存在法律、行政法规规定的其他违法违规情形。</w:t>
      </w:r>
    </w:p>
    <w:p>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pPr>
        <w:tabs>
          <w:tab w:val="left" w:pos="6300"/>
        </w:tabs>
        <w:snapToGrid w:val="0"/>
        <w:spacing w:line="530" w:lineRule="exact"/>
        <w:rPr>
          <w:rFonts w:hint="eastAsia" w:ascii="仿宋" w:hAnsi="仿宋" w:eastAsia="仿宋" w:cs="仿宋"/>
          <w:color w:val="auto"/>
          <w:sz w:val="24"/>
          <w:szCs w:val="24"/>
          <w:highlight w:val="none"/>
        </w:rPr>
      </w:pPr>
    </w:p>
    <w:p>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pPr>
        <w:tabs>
          <w:tab w:val="left" w:pos="6300"/>
        </w:tabs>
        <w:snapToGrid w:val="0"/>
        <w:spacing w:line="360" w:lineRule="auto"/>
        <w:ind w:firstLine="6480" w:firstLineChars="2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tabs>
          <w:tab w:val="left" w:pos="6300"/>
        </w:tabs>
        <w:snapToGrid w:val="0"/>
        <w:spacing w:line="360" w:lineRule="auto"/>
        <w:ind w:firstLine="570"/>
        <w:rPr>
          <w:rFonts w:hint="eastAsia" w:ascii="仿宋" w:hAnsi="仿宋" w:eastAsia="仿宋" w:cs="仿宋"/>
          <w:color w:val="auto"/>
          <w:sz w:val="24"/>
          <w:szCs w:val="24"/>
          <w:highlight w:val="none"/>
        </w:rPr>
      </w:pPr>
    </w:p>
    <w:p>
      <w:pPr>
        <w:pStyle w:val="5"/>
        <w:spacing w:before="0" w:after="0" w:line="360" w:lineRule="auto"/>
        <w:rPr>
          <w:rFonts w:hint="eastAsia" w:ascii="仿宋" w:hAnsi="仿宋" w:eastAsia="仿宋" w:cs="仿宋"/>
          <w:b w:val="0"/>
          <w:color w:val="auto"/>
          <w:sz w:val="24"/>
          <w:szCs w:val="24"/>
          <w:highlight w:val="none"/>
        </w:rPr>
        <w:sectPr>
          <w:head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）特定资格条件证书或证明文件（如要求）</w:t>
      </w:r>
    </w:p>
    <w:p>
      <w:pPr>
        <w:pStyle w:val="5"/>
        <w:spacing w:before="0" w:after="0" w:line="360" w:lineRule="auto"/>
        <w:rPr>
          <w:rFonts w:hint="eastAsia" w:ascii="仿宋" w:hAnsi="仿宋" w:eastAsia="仿宋" w:cs="仿宋"/>
          <w:color w:val="auto"/>
          <w:sz w:val="24"/>
          <w:szCs w:val="24"/>
          <w:highlight w:val="none"/>
        </w:rPr>
      </w:pPr>
      <w:bookmarkStart w:id="334" w:name="_Toc486608281"/>
      <w:bookmarkStart w:id="335" w:name="_Toc486585244"/>
      <w:bookmarkStart w:id="336" w:name="_Toc487204801"/>
      <w:r>
        <w:rPr>
          <w:rFonts w:hint="eastAsia" w:ascii="仿宋" w:hAnsi="仿宋" w:eastAsia="仿宋" w:cs="仿宋"/>
          <w:color w:val="auto"/>
          <w:sz w:val="24"/>
          <w:szCs w:val="24"/>
          <w:highlight w:val="none"/>
        </w:rPr>
        <w:br w:type="page"/>
      </w:r>
      <w:bookmarkStart w:id="337" w:name="_Toc6461"/>
      <w:bookmarkStart w:id="338" w:name="_Toc22361"/>
      <w:bookmarkStart w:id="339" w:name="_Toc12641"/>
      <w:bookmarkStart w:id="340" w:name="_Toc22191"/>
      <w:bookmarkStart w:id="341" w:name="_Toc5312"/>
      <w:bookmarkStart w:id="342" w:name="_Toc3258"/>
      <w:r>
        <w:rPr>
          <w:rFonts w:hint="eastAsia" w:ascii="仿宋" w:hAnsi="仿宋" w:eastAsia="仿宋" w:cs="仿宋"/>
          <w:color w:val="auto"/>
          <w:sz w:val="24"/>
          <w:szCs w:val="24"/>
          <w:highlight w:val="none"/>
        </w:rPr>
        <w:t>五、其他应提供的资料</w:t>
      </w:r>
      <w:bookmarkEnd w:id="334"/>
      <w:bookmarkEnd w:id="335"/>
      <w:bookmarkEnd w:id="336"/>
      <w:bookmarkEnd w:id="337"/>
      <w:bookmarkEnd w:id="338"/>
      <w:bookmarkEnd w:id="339"/>
      <w:bookmarkEnd w:id="340"/>
      <w:bookmarkEnd w:id="341"/>
      <w:bookmarkEnd w:id="342"/>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仿宋" w:hAnsi="仿宋" w:eastAsia="仿宋" w:cs="仿宋"/>
          <w:b w:val="0"/>
          <w:bCs/>
          <w:color w:val="auto"/>
          <w:sz w:val="24"/>
          <w:szCs w:val="24"/>
          <w:highlight w:val="none"/>
        </w:rPr>
      </w:pPr>
      <w:bookmarkStart w:id="343" w:name="_Toc12212"/>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color w:val="auto"/>
          <w:sz w:val="24"/>
          <w:szCs w:val="24"/>
          <w:highlight w:val="none"/>
        </w:rPr>
        <w:t>）其他与项目有关的资料（自附）：供应商总体情况介绍、其他与本项目有关的资料等。</w:t>
      </w:r>
      <w:bookmarkEnd w:id="343"/>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pStyle w:val="2"/>
        <w:rPr>
          <w:rFonts w:hint="eastAsia"/>
          <w:color w:val="auto"/>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（结束）</w:t>
      </w: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Arial Unicode MS">
    <w:panose1 w:val="020B0604020202020204"/>
    <w:charset w:val="7A"/>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1" w:usb1="08000000" w:usb2="00000000" w:usb3="00000000" w:csb0="00040000" w:csb1="00000000"/>
  </w:font>
  <w:font w:name="Futura Bk">
    <w:altName w:val="Courier New"/>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rPr>
                              <w:rStyle w:val="62"/>
                              <w:sz w:val="28"/>
                              <w:szCs w:val="28"/>
                            </w:rPr>
                          </w:pPr>
                          <w:r>
                            <w:rPr>
                              <w:rStyle w:val="62"/>
                              <w:sz w:val="28"/>
                              <w:szCs w:val="28"/>
                            </w:rPr>
                            <w:fldChar w:fldCharType="begin"/>
                          </w:r>
                          <w:r>
                            <w:rPr>
                              <w:rStyle w:val="62"/>
                              <w:sz w:val="28"/>
                              <w:szCs w:val="28"/>
                            </w:rPr>
                            <w:instrText xml:space="preserve"> PAGE  \* MERGEFORMAT </w:instrText>
                          </w:r>
                          <w:r>
                            <w:rPr>
                              <w:rStyle w:val="62"/>
                              <w:sz w:val="28"/>
                              <w:szCs w:val="28"/>
                            </w:rPr>
                            <w:fldChar w:fldCharType="separate"/>
                          </w:r>
                          <w:r>
                            <w:rPr>
                              <w:rStyle w:val="62"/>
                              <w:sz w:val="28"/>
                              <w:szCs w:val="28"/>
                            </w:rPr>
                            <w:t>- 2 -</w:t>
                          </w:r>
                          <w:r>
                            <w:rPr>
                              <w:rStyle w:val="62"/>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ql5uc8AAAAFAQAADwAAAAAAAAABACAAAAA4AAAAZHJzL2Rvd25yZXYueG1sUEsBAhQAFAAAAAgA&#10;h07iQDgT13ffAQAAvgMAAA4AAAAAAAAAAQAgAAAANAEAAGRycy9lMm9Eb2MueG1sUEsFBgAAAAAG&#10;AAYAWQEAAIUFAAAAAA==&#10;">
              <v:fill on="f" focussize="0,0"/>
              <v:stroke on="f"/>
              <v:imagedata o:title=""/>
              <o:lock v:ext="edit" aspectratio="f"/>
              <v:textbox inset="0mm,0mm,0mm,0mm" style="mso-fit-shape-to-text:t;">
                <w:txbxContent>
                  <w:p>
                    <w:pPr>
                      <w:pStyle w:val="36"/>
                      <w:rPr>
                        <w:rStyle w:val="62"/>
                        <w:sz w:val="28"/>
                        <w:szCs w:val="28"/>
                      </w:rPr>
                    </w:pPr>
                    <w:r>
                      <w:rPr>
                        <w:rStyle w:val="62"/>
                        <w:sz w:val="28"/>
                        <w:szCs w:val="28"/>
                      </w:rPr>
                      <w:fldChar w:fldCharType="begin"/>
                    </w:r>
                    <w:r>
                      <w:rPr>
                        <w:rStyle w:val="62"/>
                        <w:sz w:val="28"/>
                        <w:szCs w:val="28"/>
                      </w:rPr>
                      <w:instrText xml:space="preserve"> PAGE  \* MERGEFORMAT </w:instrText>
                    </w:r>
                    <w:r>
                      <w:rPr>
                        <w:rStyle w:val="62"/>
                        <w:sz w:val="28"/>
                        <w:szCs w:val="28"/>
                      </w:rPr>
                      <w:fldChar w:fldCharType="separate"/>
                    </w:r>
                    <w:r>
                      <w:rPr>
                        <w:rStyle w:val="62"/>
                        <w:sz w:val="28"/>
                        <w:szCs w:val="28"/>
                      </w:rPr>
                      <w:t>- 2 -</w:t>
                    </w:r>
                    <w:r>
                      <w:rPr>
                        <w:rStyle w:val="6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jc w:val="center"/>
                            <w:rPr>
                              <w:rStyle w:val="62"/>
                              <w:rFonts w:ascii="宋体"/>
                              <w:sz w:val="21"/>
                              <w:szCs w:val="21"/>
                            </w:rPr>
                          </w:pPr>
                          <w:r>
                            <w:rPr>
                              <w:rStyle w:val="62"/>
                              <w:rFonts w:ascii="宋体"/>
                              <w:sz w:val="21"/>
                              <w:szCs w:val="21"/>
                            </w:rPr>
                            <w:fldChar w:fldCharType="begin"/>
                          </w:r>
                          <w:r>
                            <w:rPr>
                              <w:rStyle w:val="62"/>
                              <w:rFonts w:ascii="宋体"/>
                              <w:sz w:val="21"/>
                              <w:szCs w:val="21"/>
                            </w:rPr>
                            <w:instrText xml:space="preserve"> PAGE  \* MERGEFORMAT </w:instrText>
                          </w:r>
                          <w:r>
                            <w:rPr>
                              <w:rStyle w:val="62"/>
                              <w:rFonts w:ascii="宋体"/>
                              <w:sz w:val="21"/>
                              <w:szCs w:val="21"/>
                            </w:rPr>
                            <w:fldChar w:fldCharType="separate"/>
                          </w:r>
                          <w:r>
                            <w:rPr>
                              <w:rStyle w:val="62"/>
                              <w:rFonts w:ascii="宋体"/>
                              <w:sz w:val="21"/>
                              <w:szCs w:val="21"/>
                            </w:rPr>
                            <w:t>- 4 -</w:t>
                          </w:r>
                          <w:r>
                            <w:rPr>
                              <w:rStyle w:val="62"/>
                              <w:rFonts w:ascii="宋体"/>
                              <w:sz w:val="21"/>
                              <w:szCs w:val="21"/>
                            </w:rPr>
                            <w:fldChar w:fldCharType="end"/>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DHo12d3QEAAL4DAAAOAAAAAAAAAAEAIAAAADQBAABkcnMvZTJvRG9jLnhtbFBLBQYAAAAABgAG&#10;AFkBAACDBQAAAAA=&#10;">
              <v:fill on="f" focussize="0,0"/>
              <v:stroke on="f"/>
              <v:imagedata o:title=""/>
              <o:lock v:ext="edit" aspectratio="f"/>
              <v:textbox inset="0mm,0mm,0mm,0mm" style="mso-fit-shape-to-text:t;">
                <w:txbxContent>
                  <w:p>
                    <w:pPr>
                      <w:pStyle w:val="36"/>
                      <w:jc w:val="center"/>
                      <w:rPr>
                        <w:rStyle w:val="62"/>
                        <w:rFonts w:ascii="宋体"/>
                        <w:sz w:val="21"/>
                        <w:szCs w:val="21"/>
                      </w:rPr>
                    </w:pPr>
                    <w:r>
                      <w:rPr>
                        <w:rStyle w:val="62"/>
                        <w:rFonts w:ascii="宋体"/>
                        <w:sz w:val="21"/>
                        <w:szCs w:val="21"/>
                      </w:rPr>
                      <w:fldChar w:fldCharType="begin"/>
                    </w:r>
                    <w:r>
                      <w:rPr>
                        <w:rStyle w:val="62"/>
                        <w:rFonts w:ascii="宋体"/>
                        <w:sz w:val="21"/>
                        <w:szCs w:val="21"/>
                      </w:rPr>
                      <w:instrText xml:space="preserve"> PAGE  \* MERGEFORMAT </w:instrText>
                    </w:r>
                    <w:r>
                      <w:rPr>
                        <w:rStyle w:val="62"/>
                        <w:rFonts w:ascii="宋体"/>
                        <w:sz w:val="21"/>
                        <w:szCs w:val="21"/>
                      </w:rPr>
                      <w:fldChar w:fldCharType="separate"/>
                    </w:r>
                    <w:r>
                      <w:rPr>
                        <w:rStyle w:val="62"/>
                        <w:rFonts w:ascii="宋体"/>
                        <w:sz w:val="21"/>
                        <w:szCs w:val="21"/>
                      </w:rPr>
                      <w:t>- 4 -</w:t>
                    </w:r>
                    <w:r>
                      <w:rPr>
                        <w:rStyle w:val="62"/>
                        <w:rFonts w:ascii="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jc w:val="center"/>
                          </w:pPr>
                          <w:r>
                            <w:fldChar w:fldCharType="begin"/>
                          </w:r>
                          <w:r>
                            <w:instrText xml:space="preserve"> PAGE  \* MERGEFORMAT </w:instrText>
                          </w:r>
                          <w:r>
                            <w:fldChar w:fldCharType="separate"/>
                          </w:r>
                          <w:r>
                            <w:t>- 12 -</w:t>
                          </w:r>
                          <w:r>
                            <w:fldChar w:fldCharType="end"/>
                          </w:r>
                        </w:p>
                      </w:txbxContent>
                    </wps:txbx>
                    <wps:bodyPr vert="horz" wrap="none" lIns="0" tIns="0" rIns="0" bIns="0" anchor="t" anchorCtr="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mTGB/d4BAAC+AwAADgAAAAAAAAABACAAAAA0AQAAZHJzL2Uyb0RvYy54bWxQSwUGAAAAAAYA&#10;BgBZAQAAhAUAAAAA&#10;">
              <v:fill on="f" focussize="0,0"/>
              <v:stroke on="f"/>
              <v:imagedata o:title=""/>
              <o:lock v:ext="edit" aspectratio="f"/>
              <v:textbox inset="0mm,0mm,0mm,0mm" style="mso-fit-shape-to-text:t;">
                <w:txbxContent>
                  <w:p>
                    <w:pPr>
                      <w:pStyle w:val="36"/>
                      <w:jc w:val="center"/>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eastAsia="方正仿宋_GBK"/>
        <w:sz w:val="21"/>
        <w:szCs w:val="21"/>
      </w:rPr>
    </w:pPr>
    <w:r>
      <w:rPr>
        <w:rFonts w:hint="eastAsia"/>
      </w:rPr>
      <w:drawing>
        <wp:inline distT="0" distB="0" distL="114300" distR="114300">
          <wp:extent cx="4176395" cy="551180"/>
          <wp:effectExtent l="0" t="0" r="14605" b="1270"/>
          <wp:docPr id="5" name="图片 1" descr="和定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和定页眉"/>
                  <pic:cNvPicPr>
                    <a:picLocks noChangeAspect="1"/>
                  </pic:cNvPicPr>
                </pic:nvPicPr>
                <pic:blipFill>
                  <a:blip r:embed="rId1"/>
                  <a:stretch>
                    <a:fillRect/>
                  </a:stretch>
                </pic:blipFill>
                <pic:spPr>
                  <a:xfrm>
                    <a:off x="0" y="0"/>
                    <a:ext cx="4176395" cy="5511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eastAsia="方正仿宋_GBK"/>
        <w:sz w:val="21"/>
        <w:szCs w:val="21"/>
      </w:rPr>
    </w:pPr>
    <w:r>
      <w:rPr>
        <w:rFonts w:hint="eastAsia"/>
      </w:rPr>
      <w:drawing>
        <wp:inline distT="0" distB="0" distL="114300" distR="114300">
          <wp:extent cx="3769360" cy="497205"/>
          <wp:effectExtent l="0" t="0" r="2540" b="17145"/>
          <wp:docPr id="6" name="图片 2" descr="和定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和定页眉"/>
                  <pic:cNvPicPr>
                    <a:picLocks noChangeAspect="1"/>
                  </pic:cNvPicPr>
                </pic:nvPicPr>
                <pic:blipFill>
                  <a:blip r:embed="rId1"/>
                  <a:stretch>
                    <a:fillRect/>
                  </a:stretch>
                </pic:blipFill>
                <pic:spPr>
                  <a:xfrm>
                    <a:off x="0" y="0"/>
                    <a:ext cx="3769360" cy="4972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仿宋" w:hAnsi="仿宋" w:eastAsia="仿宋"/>
      </w:rPr>
    </w:pPr>
    <w:r>
      <w:rPr>
        <w:rFonts w:hint="eastAsia"/>
      </w:rPr>
      <w:drawing>
        <wp:inline distT="0" distB="0" distL="114300" distR="114300">
          <wp:extent cx="4176395" cy="551180"/>
          <wp:effectExtent l="0" t="0" r="14605" b="1270"/>
          <wp:docPr id="7" name="图片 3" descr="和定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和定页眉"/>
                  <pic:cNvPicPr>
                    <a:picLocks noChangeAspect="1"/>
                  </pic:cNvPicPr>
                </pic:nvPicPr>
                <pic:blipFill>
                  <a:blip r:embed="rId1"/>
                  <a:stretch>
                    <a:fillRect/>
                  </a:stretch>
                </pic:blipFill>
                <pic:spPr>
                  <a:xfrm>
                    <a:off x="0" y="0"/>
                    <a:ext cx="4176395" cy="55118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仿宋" w:hAnsi="仿宋" w:eastAsia="仿宋"/>
        <w:sz w:val="21"/>
        <w:szCs w:val="24"/>
      </w:rPr>
    </w:pPr>
    <w:r>
      <w:rPr>
        <w:rFonts w:hint="eastAsia"/>
      </w:rPr>
      <w:drawing>
        <wp:inline distT="0" distB="0" distL="114300" distR="114300">
          <wp:extent cx="4176395" cy="551180"/>
          <wp:effectExtent l="0" t="0" r="14605" b="1270"/>
          <wp:docPr id="8" name="图片 4" descr="和定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和定页眉"/>
                  <pic:cNvPicPr>
                    <a:picLocks noChangeAspect="1"/>
                  </pic:cNvPicPr>
                </pic:nvPicPr>
                <pic:blipFill>
                  <a:blip r:embed="rId1"/>
                  <a:stretch>
                    <a:fillRect/>
                  </a:stretch>
                </pic:blipFill>
                <pic:spPr>
                  <a:xfrm>
                    <a:off x="0" y="0"/>
                    <a:ext cx="4176395" cy="55118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仿宋" w:hAnsi="仿宋" w:eastAsia="仿宋"/>
      </w:rPr>
    </w:pPr>
    <w:r>
      <w:rPr>
        <w:rFonts w:hint="eastAsia"/>
      </w:rPr>
      <w:drawing>
        <wp:inline distT="0" distB="0" distL="114300" distR="114300">
          <wp:extent cx="4176395" cy="551180"/>
          <wp:effectExtent l="0" t="0" r="14605" b="1270"/>
          <wp:docPr id="9" name="图片 5" descr="和定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和定页眉"/>
                  <pic:cNvPicPr>
                    <a:picLocks noChangeAspect="1"/>
                  </pic:cNvPicPr>
                </pic:nvPicPr>
                <pic:blipFill>
                  <a:blip r:embed="rId1"/>
                  <a:stretch>
                    <a:fillRect/>
                  </a:stretch>
                </pic:blipFill>
                <pic:spPr>
                  <a:xfrm>
                    <a:off x="0" y="0"/>
                    <a:ext cx="4176395" cy="5511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YTM0NjkzODc0YThmODA4YzNhYjYyOTMyYzRjNTQifQ=="/>
  </w:docVars>
  <w:rsids>
    <w:rsidRoot w:val="00172A27"/>
    <w:rsid w:val="00010958"/>
    <w:rsid w:val="00014D07"/>
    <w:rsid w:val="0002327E"/>
    <w:rsid w:val="0004571D"/>
    <w:rsid w:val="000464B9"/>
    <w:rsid w:val="0008426E"/>
    <w:rsid w:val="0009228C"/>
    <w:rsid w:val="000B1602"/>
    <w:rsid w:val="000C4540"/>
    <w:rsid w:val="000D21DE"/>
    <w:rsid w:val="00112527"/>
    <w:rsid w:val="001179DC"/>
    <w:rsid w:val="00130DF1"/>
    <w:rsid w:val="00166A12"/>
    <w:rsid w:val="00174F5E"/>
    <w:rsid w:val="001837DA"/>
    <w:rsid w:val="00184690"/>
    <w:rsid w:val="00185F6E"/>
    <w:rsid w:val="001A7765"/>
    <w:rsid w:val="001A7BB9"/>
    <w:rsid w:val="001C1D26"/>
    <w:rsid w:val="001C621B"/>
    <w:rsid w:val="001C6838"/>
    <w:rsid w:val="001F0E81"/>
    <w:rsid w:val="001F361E"/>
    <w:rsid w:val="002160E8"/>
    <w:rsid w:val="00217D5F"/>
    <w:rsid w:val="00243026"/>
    <w:rsid w:val="00277892"/>
    <w:rsid w:val="00293CD6"/>
    <w:rsid w:val="002A139C"/>
    <w:rsid w:val="002B4542"/>
    <w:rsid w:val="002B5E77"/>
    <w:rsid w:val="002C5087"/>
    <w:rsid w:val="002C5135"/>
    <w:rsid w:val="002C61AE"/>
    <w:rsid w:val="002E1FA9"/>
    <w:rsid w:val="00301DED"/>
    <w:rsid w:val="00315229"/>
    <w:rsid w:val="00322C2C"/>
    <w:rsid w:val="00354E5A"/>
    <w:rsid w:val="00374994"/>
    <w:rsid w:val="003B25AA"/>
    <w:rsid w:val="003D0A64"/>
    <w:rsid w:val="003D1443"/>
    <w:rsid w:val="003D790B"/>
    <w:rsid w:val="003E3928"/>
    <w:rsid w:val="003F583C"/>
    <w:rsid w:val="004131FD"/>
    <w:rsid w:val="004137D4"/>
    <w:rsid w:val="00426A00"/>
    <w:rsid w:val="004620AC"/>
    <w:rsid w:val="00462B10"/>
    <w:rsid w:val="00465547"/>
    <w:rsid w:val="004848AD"/>
    <w:rsid w:val="00492B5F"/>
    <w:rsid w:val="004A7010"/>
    <w:rsid w:val="004E1BD5"/>
    <w:rsid w:val="004E1D99"/>
    <w:rsid w:val="004F5355"/>
    <w:rsid w:val="00526BF4"/>
    <w:rsid w:val="00534B96"/>
    <w:rsid w:val="00541D34"/>
    <w:rsid w:val="0055428F"/>
    <w:rsid w:val="00566E19"/>
    <w:rsid w:val="0057584D"/>
    <w:rsid w:val="00576E82"/>
    <w:rsid w:val="00581D76"/>
    <w:rsid w:val="005954DD"/>
    <w:rsid w:val="005C00BB"/>
    <w:rsid w:val="005C7F70"/>
    <w:rsid w:val="005D1401"/>
    <w:rsid w:val="005D4CEB"/>
    <w:rsid w:val="005E0719"/>
    <w:rsid w:val="005E24BF"/>
    <w:rsid w:val="00610AEE"/>
    <w:rsid w:val="00622DD1"/>
    <w:rsid w:val="00623453"/>
    <w:rsid w:val="00633031"/>
    <w:rsid w:val="0064025D"/>
    <w:rsid w:val="00660B45"/>
    <w:rsid w:val="00663A04"/>
    <w:rsid w:val="006669D7"/>
    <w:rsid w:val="00674EF2"/>
    <w:rsid w:val="006834BD"/>
    <w:rsid w:val="006907FE"/>
    <w:rsid w:val="007329A0"/>
    <w:rsid w:val="00735CE6"/>
    <w:rsid w:val="007376E3"/>
    <w:rsid w:val="007519E1"/>
    <w:rsid w:val="00765448"/>
    <w:rsid w:val="00774A6B"/>
    <w:rsid w:val="00780379"/>
    <w:rsid w:val="00785272"/>
    <w:rsid w:val="00790A54"/>
    <w:rsid w:val="007949B2"/>
    <w:rsid w:val="007A5DA3"/>
    <w:rsid w:val="007F0850"/>
    <w:rsid w:val="008175A7"/>
    <w:rsid w:val="00824CE9"/>
    <w:rsid w:val="00826101"/>
    <w:rsid w:val="00837D56"/>
    <w:rsid w:val="0084708D"/>
    <w:rsid w:val="00850B74"/>
    <w:rsid w:val="00860B34"/>
    <w:rsid w:val="00870B8C"/>
    <w:rsid w:val="008A6DA1"/>
    <w:rsid w:val="008B3D8F"/>
    <w:rsid w:val="008E2644"/>
    <w:rsid w:val="008E5511"/>
    <w:rsid w:val="00907A7F"/>
    <w:rsid w:val="0092783C"/>
    <w:rsid w:val="0094065F"/>
    <w:rsid w:val="00984F30"/>
    <w:rsid w:val="0099776A"/>
    <w:rsid w:val="009C6D7A"/>
    <w:rsid w:val="00A01B24"/>
    <w:rsid w:val="00A61932"/>
    <w:rsid w:val="00A701F7"/>
    <w:rsid w:val="00AA117B"/>
    <w:rsid w:val="00AC1164"/>
    <w:rsid w:val="00AC2CE9"/>
    <w:rsid w:val="00AE4E87"/>
    <w:rsid w:val="00AF5425"/>
    <w:rsid w:val="00B01BF9"/>
    <w:rsid w:val="00B533BF"/>
    <w:rsid w:val="00B95F45"/>
    <w:rsid w:val="00BA11FA"/>
    <w:rsid w:val="00BA19C9"/>
    <w:rsid w:val="00BB2C56"/>
    <w:rsid w:val="00BE1FBC"/>
    <w:rsid w:val="00BE33DB"/>
    <w:rsid w:val="00BF1333"/>
    <w:rsid w:val="00C264DC"/>
    <w:rsid w:val="00C44836"/>
    <w:rsid w:val="00C46C8A"/>
    <w:rsid w:val="00C57273"/>
    <w:rsid w:val="00C808A9"/>
    <w:rsid w:val="00C81432"/>
    <w:rsid w:val="00C86583"/>
    <w:rsid w:val="00CA7D05"/>
    <w:rsid w:val="00CA7DDF"/>
    <w:rsid w:val="00CB0CE4"/>
    <w:rsid w:val="00CB468C"/>
    <w:rsid w:val="00CB6DC6"/>
    <w:rsid w:val="00CE2139"/>
    <w:rsid w:val="00CF18FB"/>
    <w:rsid w:val="00CF2ABB"/>
    <w:rsid w:val="00D245A1"/>
    <w:rsid w:val="00D655D6"/>
    <w:rsid w:val="00D75AA6"/>
    <w:rsid w:val="00D84230"/>
    <w:rsid w:val="00D86D83"/>
    <w:rsid w:val="00DC2002"/>
    <w:rsid w:val="00DE3E23"/>
    <w:rsid w:val="00DF193D"/>
    <w:rsid w:val="00E12C58"/>
    <w:rsid w:val="00E22D16"/>
    <w:rsid w:val="00E44601"/>
    <w:rsid w:val="00E50230"/>
    <w:rsid w:val="00E646D2"/>
    <w:rsid w:val="00E90470"/>
    <w:rsid w:val="00E9234A"/>
    <w:rsid w:val="00EA0FA9"/>
    <w:rsid w:val="00EF335C"/>
    <w:rsid w:val="00F112E2"/>
    <w:rsid w:val="00F27D9B"/>
    <w:rsid w:val="00F557D2"/>
    <w:rsid w:val="00F96177"/>
    <w:rsid w:val="00FB051C"/>
    <w:rsid w:val="00FB07A2"/>
    <w:rsid w:val="00FB1648"/>
    <w:rsid w:val="00FB5BE8"/>
    <w:rsid w:val="00FD4565"/>
    <w:rsid w:val="00FE3220"/>
    <w:rsid w:val="00FF20D5"/>
    <w:rsid w:val="010826B4"/>
    <w:rsid w:val="01401174"/>
    <w:rsid w:val="014F63B7"/>
    <w:rsid w:val="015713DC"/>
    <w:rsid w:val="01D61359"/>
    <w:rsid w:val="021F4E39"/>
    <w:rsid w:val="024B2EFD"/>
    <w:rsid w:val="026B04AB"/>
    <w:rsid w:val="02A24383"/>
    <w:rsid w:val="02EC798E"/>
    <w:rsid w:val="030D337D"/>
    <w:rsid w:val="03192187"/>
    <w:rsid w:val="03544F87"/>
    <w:rsid w:val="038266E7"/>
    <w:rsid w:val="03CF48D0"/>
    <w:rsid w:val="04673797"/>
    <w:rsid w:val="049201D0"/>
    <w:rsid w:val="04A0479F"/>
    <w:rsid w:val="04B143BD"/>
    <w:rsid w:val="04BE6FA0"/>
    <w:rsid w:val="050329E7"/>
    <w:rsid w:val="052365D4"/>
    <w:rsid w:val="054A0FF0"/>
    <w:rsid w:val="055D3A38"/>
    <w:rsid w:val="05617893"/>
    <w:rsid w:val="05897A63"/>
    <w:rsid w:val="059F329B"/>
    <w:rsid w:val="06402A10"/>
    <w:rsid w:val="064F1EE6"/>
    <w:rsid w:val="06A825C7"/>
    <w:rsid w:val="06BB1F86"/>
    <w:rsid w:val="073C3E46"/>
    <w:rsid w:val="078C7E46"/>
    <w:rsid w:val="079A014B"/>
    <w:rsid w:val="07A87496"/>
    <w:rsid w:val="07EC7960"/>
    <w:rsid w:val="084418BB"/>
    <w:rsid w:val="08DD63D6"/>
    <w:rsid w:val="08DF684F"/>
    <w:rsid w:val="09700FB0"/>
    <w:rsid w:val="09D75426"/>
    <w:rsid w:val="0A86729D"/>
    <w:rsid w:val="0B6E5136"/>
    <w:rsid w:val="0BE945B7"/>
    <w:rsid w:val="0C176293"/>
    <w:rsid w:val="0C29314C"/>
    <w:rsid w:val="0CC31D7E"/>
    <w:rsid w:val="0CC7226A"/>
    <w:rsid w:val="0CF20302"/>
    <w:rsid w:val="0CFA05BA"/>
    <w:rsid w:val="0D1C74B6"/>
    <w:rsid w:val="0D677C9C"/>
    <w:rsid w:val="0DFD213F"/>
    <w:rsid w:val="0DFD78DA"/>
    <w:rsid w:val="0E252E33"/>
    <w:rsid w:val="0E3C7D71"/>
    <w:rsid w:val="0EF52187"/>
    <w:rsid w:val="0F2371D2"/>
    <w:rsid w:val="0F532D1D"/>
    <w:rsid w:val="0FA97AA5"/>
    <w:rsid w:val="0FB97067"/>
    <w:rsid w:val="0FF43B3D"/>
    <w:rsid w:val="105E035B"/>
    <w:rsid w:val="10D067D7"/>
    <w:rsid w:val="117717B4"/>
    <w:rsid w:val="11AB2A65"/>
    <w:rsid w:val="120E4200"/>
    <w:rsid w:val="121348F8"/>
    <w:rsid w:val="121673C4"/>
    <w:rsid w:val="12C94F09"/>
    <w:rsid w:val="13157A04"/>
    <w:rsid w:val="131E5640"/>
    <w:rsid w:val="13247706"/>
    <w:rsid w:val="133275B6"/>
    <w:rsid w:val="13352FAC"/>
    <w:rsid w:val="13EC1364"/>
    <w:rsid w:val="13F338CA"/>
    <w:rsid w:val="148240C4"/>
    <w:rsid w:val="14DC7969"/>
    <w:rsid w:val="14F45F4B"/>
    <w:rsid w:val="14FB52E4"/>
    <w:rsid w:val="152A2EF6"/>
    <w:rsid w:val="153B5860"/>
    <w:rsid w:val="15414DAC"/>
    <w:rsid w:val="15494347"/>
    <w:rsid w:val="154B7600"/>
    <w:rsid w:val="157D5F71"/>
    <w:rsid w:val="15E34BBF"/>
    <w:rsid w:val="161E7889"/>
    <w:rsid w:val="163910DE"/>
    <w:rsid w:val="165636D2"/>
    <w:rsid w:val="16725E60"/>
    <w:rsid w:val="167E4899"/>
    <w:rsid w:val="17072563"/>
    <w:rsid w:val="173B3A44"/>
    <w:rsid w:val="17424D5F"/>
    <w:rsid w:val="179A4154"/>
    <w:rsid w:val="1843075D"/>
    <w:rsid w:val="18582A73"/>
    <w:rsid w:val="18587B5A"/>
    <w:rsid w:val="189D3C9F"/>
    <w:rsid w:val="190F7ADC"/>
    <w:rsid w:val="19327445"/>
    <w:rsid w:val="195E0400"/>
    <w:rsid w:val="19E11A26"/>
    <w:rsid w:val="19FB2019"/>
    <w:rsid w:val="1A3B5AA6"/>
    <w:rsid w:val="1A5D3725"/>
    <w:rsid w:val="1A61690B"/>
    <w:rsid w:val="1A6564FA"/>
    <w:rsid w:val="1A7479A7"/>
    <w:rsid w:val="1A971273"/>
    <w:rsid w:val="1B0F2D35"/>
    <w:rsid w:val="1B3E1A25"/>
    <w:rsid w:val="1B6437FD"/>
    <w:rsid w:val="1C557BBE"/>
    <w:rsid w:val="1C656B2A"/>
    <w:rsid w:val="1C6E0478"/>
    <w:rsid w:val="1CF24E58"/>
    <w:rsid w:val="1D776C63"/>
    <w:rsid w:val="1DB50A73"/>
    <w:rsid w:val="1DF17E83"/>
    <w:rsid w:val="1E1500C8"/>
    <w:rsid w:val="1E8606E6"/>
    <w:rsid w:val="1EB0218B"/>
    <w:rsid w:val="1EFC01E6"/>
    <w:rsid w:val="1F2B7A67"/>
    <w:rsid w:val="1F584843"/>
    <w:rsid w:val="205704F6"/>
    <w:rsid w:val="20CC5590"/>
    <w:rsid w:val="20D77979"/>
    <w:rsid w:val="2101321D"/>
    <w:rsid w:val="211D70D4"/>
    <w:rsid w:val="21461BC7"/>
    <w:rsid w:val="21735E30"/>
    <w:rsid w:val="21F04754"/>
    <w:rsid w:val="227003AC"/>
    <w:rsid w:val="22796ACA"/>
    <w:rsid w:val="23453857"/>
    <w:rsid w:val="237C275F"/>
    <w:rsid w:val="237D68E2"/>
    <w:rsid w:val="238603B4"/>
    <w:rsid w:val="23984AF6"/>
    <w:rsid w:val="243E3923"/>
    <w:rsid w:val="24595EDE"/>
    <w:rsid w:val="245D5BBB"/>
    <w:rsid w:val="24A25C3D"/>
    <w:rsid w:val="24B4722F"/>
    <w:rsid w:val="24F520BB"/>
    <w:rsid w:val="254F5F01"/>
    <w:rsid w:val="256367AA"/>
    <w:rsid w:val="25996474"/>
    <w:rsid w:val="2627313D"/>
    <w:rsid w:val="263026CE"/>
    <w:rsid w:val="263C0C02"/>
    <w:rsid w:val="264D4F65"/>
    <w:rsid w:val="26586CC1"/>
    <w:rsid w:val="26AD5C3A"/>
    <w:rsid w:val="27336990"/>
    <w:rsid w:val="27C2263C"/>
    <w:rsid w:val="27EF7C56"/>
    <w:rsid w:val="282143F5"/>
    <w:rsid w:val="28B975EA"/>
    <w:rsid w:val="290862B9"/>
    <w:rsid w:val="294B7116"/>
    <w:rsid w:val="296E0952"/>
    <w:rsid w:val="2A8009A9"/>
    <w:rsid w:val="2A8B06FC"/>
    <w:rsid w:val="2A9F548C"/>
    <w:rsid w:val="2AA70422"/>
    <w:rsid w:val="2B4D16E3"/>
    <w:rsid w:val="2B523CBA"/>
    <w:rsid w:val="2B966B1D"/>
    <w:rsid w:val="2BB7400E"/>
    <w:rsid w:val="2C045D63"/>
    <w:rsid w:val="2C2D48B1"/>
    <w:rsid w:val="2C4F081F"/>
    <w:rsid w:val="2D0C70F3"/>
    <w:rsid w:val="2D4C0AD1"/>
    <w:rsid w:val="2D8D0364"/>
    <w:rsid w:val="2E5F491A"/>
    <w:rsid w:val="2ED5463C"/>
    <w:rsid w:val="2F016C0B"/>
    <w:rsid w:val="2F494073"/>
    <w:rsid w:val="2F974700"/>
    <w:rsid w:val="2FF10B26"/>
    <w:rsid w:val="2FF20198"/>
    <w:rsid w:val="30DB39F4"/>
    <w:rsid w:val="312D0D98"/>
    <w:rsid w:val="313721E0"/>
    <w:rsid w:val="313A0758"/>
    <w:rsid w:val="31B8543B"/>
    <w:rsid w:val="32200794"/>
    <w:rsid w:val="32277642"/>
    <w:rsid w:val="323131E7"/>
    <w:rsid w:val="32AE78B8"/>
    <w:rsid w:val="33712345"/>
    <w:rsid w:val="339D2226"/>
    <w:rsid w:val="33FDA660"/>
    <w:rsid w:val="34353A08"/>
    <w:rsid w:val="3503712B"/>
    <w:rsid w:val="35560FD5"/>
    <w:rsid w:val="355A0D8C"/>
    <w:rsid w:val="361937B1"/>
    <w:rsid w:val="364B5FCD"/>
    <w:rsid w:val="365717D8"/>
    <w:rsid w:val="37D62534"/>
    <w:rsid w:val="37DC159F"/>
    <w:rsid w:val="381D7125"/>
    <w:rsid w:val="38446F93"/>
    <w:rsid w:val="386769AA"/>
    <w:rsid w:val="390F6270"/>
    <w:rsid w:val="39105126"/>
    <w:rsid w:val="391C2B96"/>
    <w:rsid w:val="398268AC"/>
    <w:rsid w:val="39AE7B85"/>
    <w:rsid w:val="3BBD5F8E"/>
    <w:rsid w:val="3BD00662"/>
    <w:rsid w:val="3C3D3DCD"/>
    <w:rsid w:val="3E206C98"/>
    <w:rsid w:val="3E722652"/>
    <w:rsid w:val="3F31181D"/>
    <w:rsid w:val="3F4250DF"/>
    <w:rsid w:val="3F6B1BAA"/>
    <w:rsid w:val="3F701107"/>
    <w:rsid w:val="3F9D0383"/>
    <w:rsid w:val="3F9E273E"/>
    <w:rsid w:val="3FCB546F"/>
    <w:rsid w:val="40163C0A"/>
    <w:rsid w:val="40271EEC"/>
    <w:rsid w:val="407119E9"/>
    <w:rsid w:val="41266FAA"/>
    <w:rsid w:val="4162324B"/>
    <w:rsid w:val="42096BD2"/>
    <w:rsid w:val="421E08A3"/>
    <w:rsid w:val="426D0DA2"/>
    <w:rsid w:val="42806950"/>
    <w:rsid w:val="42C53A9C"/>
    <w:rsid w:val="42D014E9"/>
    <w:rsid w:val="42F23EC2"/>
    <w:rsid w:val="44B71CCD"/>
    <w:rsid w:val="44DA6A6B"/>
    <w:rsid w:val="45B84467"/>
    <w:rsid w:val="465A62D2"/>
    <w:rsid w:val="469C7C3D"/>
    <w:rsid w:val="47B67DAE"/>
    <w:rsid w:val="48282543"/>
    <w:rsid w:val="48391EBE"/>
    <w:rsid w:val="48B96EBD"/>
    <w:rsid w:val="48E22A84"/>
    <w:rsid w:val="49624320"/>
    <w:rsid w:val="49684777"/>
    <w:rsid w:val="498311AF"/>
    <w:rsid w:val="499779D8"/>
    <w:rsid w:val="49A42373"/>
    <w:rsid w:val="4A02642D"/>
    <w:rsid w:val="4A0F5E8D"/>
    <w:rsid w:val="4A475D59"/>
    <w:rsid w:val="4A600742"/>
    <w:rsid w:val="4A613D1D"/>
    <w:rsid w:val="4AEA4061"/>
    <w:rsid w:val="4B8B5C21"/>
    <w:rsid w:val="4C3722B7"/>
    <w:rsid w:val="4CCA5886"/>
    <w:rsid w:val="4D2636DD"/>
    <w:rsid w:val="4D5503C7"/>
    <w:rsid w:val="4D6C0E7C"/>
    <w:rsid w:val="4DBF5186"/>
    <w:rsid w:val="4DCF04C8"/>
    <w:rsid w:val="4E2F644B"/>
    <w:rsid w:val="4EA30BF6"/>
    <w:rsid w:val="4EFB40D6"/>
    <w:rsid w:val="4F8A4F07"/>
    <w:rsid w:val="4FC74BC1"/>
    <w:rsid w:val="4FD75082"/>
    <w:rsid w:val="50A218B6"/>
    <w:rsid w:val="51050031"/>
    <w:rsid w:val="51086794"/>
    <w:rsid w:val="511E4C67"/>
    <w:rsid w:val="5125313E"/>
    <w:rsid w:val="517E6447"/>
    <w:rsid w:val="51972DB5"/>
    <w:rsid w:val="51A73BDA"/>
    <w:rsid w:val="51EB1A4A"/>
    <w:rsid w:val="520906DD"/>
    <w:rsid w:val="52273AE6"/>
    <w:rsid w:val="5228532A"/>
    <w:rsid w:val="52326D9D"/>
    <w:rsid w:val="527A4B88"/>
    <w:rsid w:val="52D542C1"/>
    <w:rsid w:val="533739E1"/>
    <w:rsid w:val="53704ACB"/>
    <w:rsid w:val="53BD26DA"/>
    <w:rsid w:val="53FF22B2"/>
    <w:rsid w:val="54AC0B1C"/>
    <w:rsid w:val="54D76106"/>
    <w:rsid w:val="54D8392C"/>
    <w:rsid w:val="553C36B4"/>
    <w:rsid w:val="56192B7C"/>
    <w:rsid w:val="565575EF"/>
    <w:rsid w:val="569E6DE8"/>
    <w:rsid w:val="57781D0A"/>
    <w:rsid w:val="578C44C2"/>
    <w:rsid w:val="57B12110"/>
    <w:rsid w:val="57F7204F"/>
    <w:rsid w:val="5852698B"/>
    <w:rsid w:val="587A610D"/>
    <w:rsid w:val="587B1FBA"/>
    <w:rsid w:val="59060509"/>
    <w:rsid w:val="592737C2"/>
    <w:rsid w:val="59E4409D"/>
    <w:rsid w:val="59FF127F"/>
    <w:rsid w:val="5A375AAF"/>
    <w:rsid w:val="5AAB580B"/>
    <w:rsid w:val="5B2263F4"/>
    <w:rsid w:val="5D3D39CD"/>
    <w:rsid w:val="5D794DBA"/>
    <w:rsid w:val="5ECA3431"/>
    <w:rsid w:val="5ED333E0"/>
    <w:rsid w:val="5EE577AE"/>
    <w:rsid w:val="5EEB710A"/>
    <w:rsid w:val="60225790"/>
    <w:rsid w:val="603B3499"/>
    <w:rsid w:val="620A3951"/>
    <w:rsid w:val="62736D4C"/>
    <w:rsid w:val="627B5540"/>
    <w:rsid w:val="62807CCE"/>
    <w:rsid w:val="628C1AEC"/>
    <w:rsid w:val="62C65104"/>
    <w:rsid w:val="62D13673"/>
    <w:rsid w:val="62FA5BC8"/>
    <w:rsid w:val="644A30BE"/>
    <w:rsid w:val="6467617A"/>
    <w:rsid w:val="65106599"/>
    <w:rsid w:val="653963AE"/>
    <w:rsid w:val="653D1D7E"/>
    <w:rsid w:val="65A7379A"/>
    <w:rsid w:val="65C01AF7"/>
    <w:rsid w:val="66027B8A"/>
    <w:rsid w:val="66384E7B"/>
    <w:rsid w:val="66780936"/>
    <w:rsid w:val="6699201D"/>
    <w:rsid w:val="66EA1915"/>
    <w:rsid w:val="67082AF7"/>
    <w:rsid w:val="67794553"/>
    <w:rsid w:val="682375F2"/>
    <w:rsid w:val="684940D1"/>
    <w:rsid w:val="692B68EA"/>
    <w:rsid w:val="69432CE9"/>
    <w:rsid w:val="69895E92"/>
    <w:rsid w:val="69A22009"/>
    <w:rsid w:val="69C76EE7"/>
    <w:rsid w:val="69F74971"/>
    <w:rsid w:val="6A185CA1"/>
    <w:rsid w:val="6A4447C5"/>
    <w:rsid w:val="6A4811C8"/>
    <w:rsid w:val="6A8A2B22"/>
    <w:rsid w:val="6AB64DCE"/>
    <w:rsid w:val="6B5E642F"/>
    <w:rsid w:val="6BAE2E89"/>
    <w:rsid w:val="6BC30C3B"/>
    <w:rsid w:val="6CA32BFD"/>
    <w:rsid w:val="6E62222D"/>
    <w:rsid w:val="6E887F0C"/>
    <w:rsid w:val="6EBF31B7"/>
    <w:rsid w:val="6F2A462E"/>
    <w:rsid w:val="6FD97589"/>
    <w:rsid w:val="6FE01CF0"/>
    <w:rsid w:val="706A7941"/>
    <w:rsid w:val="7071210B"/>
    <w:rsid w:val="708C179A"/>
    <w:rsid w:val="70CA2F5D"/>
    <w:rsid w:val="70FC3066"/>
    <w:rsid w:val="71E8265C"/>
    <w:rsid w:val="735B7C6C"/>
    <w:rsid w:val="73820CA0"/>
    <w:rsid w:val="73946B78"/>
    <w:rsid w:val="73976E5B"/>
    <w:rsid w:val="73D009B9"/>
    <w:rsid w:val="742B25E9"/>
    <w:rsid w:val="743C6EB1"/>
    <w:rsid w:val="74D654F4"/>
    <w:rsid w:val="74DA6C0D"/>
    <w:rsid w:val="74DB72EA"/>
    <w:rsid w:val="74E8099E"/>
    <w:rsid w:val="74E86645"/>
    <w:rsid w:val="751A63D5"/>
    <w:rsid w:val="764D6BC3"/>
    <w:rsid w:val="765F6312"/>
    <w:rsid w:val="76C816C0"/>
    <w:rsid w:val="76CC0B8C"/>
    <w:rsid w:val="76D06B8B"/>
    <w:rsid w:val="77B45232"/>
    <w:rsid w:val="784D4780"/>
    <w:rsid w:val="78A02FA0"/>
    <w:rsid w:val="78A7118D"/>
    <w:rsid w:val="78DD19BE"/>
    <w:rsid w:val="7A520385"/>
    <w:rsid w:val="7A5E2A35"/>
    <w:rsid w:val="7A8B5A76"/>
    <w:rsid w:val="7A964D8A"/>
    <w:rsid w:val="7AF116B2"/>
    <w:rsid w:val="7B3759AD"/>
    <w:rsid w:val="7B632A56"/>
    <w:rsid w:val="7B6B30FE"/>
    <w:rsid w:val="7C4F18EE"/>
    <w:rsid w:val="7C5878D1"/>
    <w:rsid w:val="7C721F40"/>
    <w:rsid w:val="7C7D66A3"/>
    <w:rsid w:val="7C8E1643"/>
    <w:rsid w:val="7CFC692F"/>
    <w:rsid w:val="7CFE5BF0"/>
    <w:rsid w:val="7D7E6BD9"/>
    <w:rsid w:val="7DA66208"/>
    <w:rsid w:val="7DB7594D"/>
    <w:rsid w:val="7DBC663B"/>
    <w:rsid w:val="7DE71376"/>
    <w:rsid w:val="7DFFF605"/>
    <w:rsid w:val="7E1C6E0E"/>
    <w:rsid w:val="7E323ACD"/>
    <w:rsid w:val="7E8471C3"/>
    <w:rsid w:val="7ED87813"/>
    <w:rsid w:val="7EDE3596"/>
    <w:rsid w:val="7F4134FB"/>
    <w:rsid w:val="7F504991"/>
    <w:rsid w:val="7F77605E"/>
    <w:rsid w:val="BF4BF826"/>
    <w:rsid w:val="CFFF22E7"/>
    <w:rsid w:val="DCEEA95B"/>
    <w:rsid w:val="F1F7BEAF"/>
    <w:rsid w:val="FDFF93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link w:val="70"/>
    <w:qFormat/>
    <w:uiPriority w:val="0"/>
    <w:pPr>
      <w:keepNext/>
      <w:snapToGrid w:val="0"/>
      <w:spacing w:line="360" w:lineRule="atLeast"/>
      <w:outlineLvl w:val="0"/>
    </w:pPr>
    <w:rPr>
      <w:rFonts w:ascii="Times New Roman" w:hAnsi="Times New Roman" w:eastAsia="宋体" w:cs="Times New Roman"/>
      <w:b/>
      <w:kern w:val="44"/>
      <w:sz w:val="44"/>
      <w:szCs w:val="20"/>
    </w:rPr>
  </w:style>
  <w:style w:type="paragraph" w:styleId="4">
    <w:name w:val="heading 2"/>
    <w:basedOn w:val="1"/>
    <w:next w:val="1"/>
    <w:link w:val="96"/>
    <w:qFormat/>
    <w:uiPriority w:val="0"/>
    <w:pPr>
      <w:keepNext/>
      <w:keepLines/>
      <w:spacing w:before="260" w:after="260" w:line="413" w:lineRule="auto"/>
      <w:outlineLvl w:val="1"/>
    </w:pPr>
    <w:rPr>
      <w:rFonts w:ascii="Arial" w:hAnsi="Arial" w:eastAsia="黑体" w:cs="Times New Roman"/>
      <w:b/>
      <w:kern w:val="0"/>
      <w:sz w:val="32"/>
      <w:szCs w:val="20"/>
    </w:rPr>
  </w:style>
  <w:style w:type="paragraph" w:styleId="5">
    <w:name w:val="heading 3"/>
    <w:basedOn w:val="1"/>
    <w:next w:val="1"/>
    <w:link w:val="72"/>
    <w:qFormat/>
    <w:uiPriority w:val="0"/>
    <w:pPr>
      <w:keepNext/>
      <w:keepLines/>
      <w:spacing w:before="260" w:after="260" w:line="413" w:lineRule="auto"/>
      <w:outlineLvl w:val="2"/>
    </w:pPr>
    <w:rPr>
      <w:rFonts w:ascii="Times New Roman" w:hAnsi="Times New Roman" w:eastAsia="宋体" w:cs="Times New Roman"/>
      <w:b/>
      <w:kern w:val="0"/>
      <w:sz w:val="32"/>
      <w:szCs w:val="20"/>
    </w:rPr>
  </w:style>
  <w:style w:type="paragraph" w:styleId="6">
    <w:name w:val="heading 4"/>
    <w:basedOn w:val="1"/>
    <w:next w:val="1"/>
    <w:link w:val="73"/>
    <w:qFormat/>
    <w:uiPriority w:val="0"/>
    <w:pPr>
      <w:keepNext/>
      <w:keepLines/>
      <w:spacing w:before="280" w:after="290" w:line="372" w:lineRule="auto"/>
      <w:outlineLvl w:val="3"/>
    </w:pPr>
    <w:rPr>
      <w:rFonts w:ascii="Cambria" w:hAnsi="Cambria" w:eastAsia="宋体" w:cs="Times New Roman"/>
      <w:b/>
      <w:kern w:val="0"/>
      <w:szCs w:val="20"/>
    </w:rPr>
  </w:style>
  <w:style w:type="paragraph" w:styleId="7">
    <w:name w:val="heading 5"/>
    <w:basedOn w:val="1"/>
    <w:next w:val="1"/>
    <w:link w:val="74"/>
    <w:qFormat/>
    <w:uiPriority w:val="0"/>
    <w:pPr>
      <w:keepNext/>
      <w:keepLines/>
      <w:tabs>
        <w:tab w:val="left" w:pos="2551"/>
      </w:tabs>
      <w:spacing w:before="280" w:after="290" w:line="372" w:lineRule="auto"/>
      <w:ind w:left="2551" w:hanging="850"/>
      <w:outlineLvl w:val="4"/>
    </w:pPr>
    <w:rPr>
      <w:rFonts w:ascii="Times New Roman" w:hAnsi="Times New Roman" w:eastAsia="宋体" w:cs="Times New Roman"/>
      <w:b/>
      <w:kern w:val="0"/>
      <w:szCs w:val="20"/>
    </w:rPr>
  </w:style>
  <w:style w:type="paragraph" w:styleId="8">
    <w:name w:val="heading 6"/>
    <w:basedOn w:val="1"/>
    <w:next w:val="1"/>
    <w:link w:val="75"/>
    <w:qFormat/>
    <w:uiPriority w:val="0"/>
    <w:pPr>
      <w:keepNext/>
      <w:keepLines/>
      <w:tabs>
        <w:tab w:val="left" w:pos="1152"/>
      </w:tabs>
      <w:adjustRightInd w:val="0"/>
      <w:snapToGrid w:val="0"/>
      <w:spacing w:before="240" w:after="64" w:line="317" w:lineRule="auto"/>
      <w:ind w:left="1152" w:hanging="1152"/>
      <w:outlineLvl w:val="5"/>
    </w:pPr>
    <w:rPr>
      <w:rFonts w:ascii="Cambria" w:hAnsi="Cambria" w:eastAsia="宋体" w:cs="Times New Roman"/>
      <w:b/>
      <w:kern w:val="0"/>
      <w:sz w:val="24"/>
      <w:szCs w:val="20"/>
    </w:rPr>
  </w:style>
  <w:style w:type="paragraph" w:styleId="9">
    <w:name w:val="heading 7"/>
    <w:basedOn w:val="1"/>
    <w:next w:val="1"/>
    <w:link w:val="76"/>
    <w:qFormat/>
    <w:uiPriority w:val="0"/>
    <w:pPr>
      <w:keepNext/>
      <w:keepLines/>
      <w:tabs>
        <w:tab w:val="left" w:pos="1296"/>
      </w:tabs>
      <w:adjustRightInd w:val="0"/>
      <w:snapToGrid w:val="0"/>
      <w:spacing w:before="240" w:after="64" w:line="317" w:lineRule="auto"/>
      <w:ind w:left="1296" w:hanging="1296"/>
      <w:outlineLvl w:val="6"/>
    </w:pPr>
    <w:rPr>
      <w:rFonts w:ascii="Times New Roman" w:hAnsi="Times New Roman" w:eastAsia="宋体" w:cs="Times New Roman"/>
      <w:b/>
      <w:kern w:val="0"/>
      <w:sz w:val="24"/>
      <w:szCs w:val="20"/>
    </w:rPr>
  </w:style>
  <w:style w:type="paragraph" w:styleId="10">
    <w:name w:val="heading 8"/>
    <w:basedOn w:val="1"/>
    <w:next w:val="1"/>
    <w:link w:val="77"/>
    <w:qFormat/>
    <w:uiPriority w:val="0"/>
    <w:pPr>
      <w:keepNext/>
      <w:keepLines/>
      <w:tabs>
        <w:tab w:val="left" w:pos="1440"/>
      </w:tabs>
      <w:adjustRightInd w:val="0"/>
      <w:snapToGrid w:val="0"/>
      <w:spacing w:before="240" w:after="64" w:line="317" w:lineRule="auto"/>
      <w:ind w:left="1440" w:hanging="1440"/>
      <w:outlineLvl w:val="7"/>
    </w:pPr>
    <w:rPr>
      <w:rFonts w:ascii="Cambria" w:hAnsi="Cambria" w:eastAsia="宋体" w:cs="Times New Roman"/>
      <w:kern w:val="0"/>
      <w:sz w:val="24"/>
      <w:szCs w:val="20"/>
    </w:rPr>
  </w:style>
  <w:style w:type="paragraph" w:styleId="11">
    <w:name w:val="heading 9"/>
    <w:basedOn w:val="1"/>
    <w:next w:val="1"/>
    <w:link w:val="78"/>
    <w:qFormat/>
    <w:uiPriority w:val="0"/>
    <w:pPr>
      <w:keepNext/>
      <w:keepLines/>
      <w:tabs>
        <w:tab w:val="left" w:pos="1584"/>
      </w:tabs>
      <w:adjustRightInd w:val="0"/>
      <w:snapToGrid w:val="0"/>
      <w:spacing w:before="240" w:after="64" w:line="317" w:lineRule="auto"/>
      <w:ind w:left="1584" w:hanging="1584"/>
      <w:outlineLvl w:val="8"/>
    </w:pPr>
    <w:rPr>
      <w:rFonts w:ascii="Cambria" w:hAnsi="Cambria" w:eastAsia="宋体" w:cs="Times New Roman"/>
      <w:kern w:val="0"/>
      <w:sz w:val="20"/>
      <w:szCs w:val="20"/>
    </w:rPr>
  </w:style>
  <w:style w:type="character" w:default="1" w:styleId="60">
    <w:name w:val="Default Paragraph Font"/>
    <w:qFormat/>
    <w:uiPriority w:val="0"/>
    <w:rPr>
      <w:rFonts w:ascii="Times New Roman" w:hAnsi="Times New Roman" w:eastAsia="宋体" w:cs="Times New Roman"/>
    </w:rPr>
  </w:style>
  <w:style w:type="table" w:default="1" w:styleId="5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1"/>
    <w:link w:val="69"/>
    <w:qFormat/>
    <w:uiPriority w:val="0"/>
    <w:pPr>
      <w:spacing w:after="120"/>
    </w:pPr>
    <w:rPr>
      <w:rFonts w:ascii="Times New Roman" w:hAnsi="Times New Roman" w:eastAsia="宋体" w:cs="Times New Roman"/>
      <w:kern w:val="0"/>
    </w:rPr>
  </w:style>
  <w:style w:type="paragraph" w:styleId="12">
    <w:name w:val="List 3"/>
    <w:basedOn w:val="1"/>
    <w:qFormat/>
    <w:uiPriority w:val="0"/>
    <w:pPr>
      <w:adjustRightInd w:val="0"/>
      <w:snapToGrid w:val="0"/>
      <w:spacing w:line="360" w:lineRule="auto"/>
      <w:ind w:left="100" w:leftChars="400" w:hanging="200" w:hangingChars="200"/>
    </w:pPr>
    <w:rPr>
      <w:rFonts w:ascii="Times New Roman" w:hAnsi="Times New Roman" w:eastAsia="宋体" w:cs="Times New Roman"/>
      <w:sz w:val="24"/>
      <w:szCs w:val="24"/>
    </w:rPr>
  </w:style>
  <w:style w:type="paragraph" w:styleId="13">
    <w:name w:val="toc 7"/>
    <w:basedOn w:val="1"/>
    <w:next w:val="1"/>
    <w:qFormat/>
    <w:uiPriority w:val="0"/>
    <w:pPr>
      <w:ind w:left="2520" w:leftChars="1200"/>
    </w:pPr>
    <w:rPr>
      <w:rFonts w:ascii="Times New Roman" w:hAnsi="Times New Roman" w:eastAsia="宋体" w:cs="Times New Roman"/>
    </w:rPr>
  </w:style>
  <w:style w:type="paragraph" w:styleId="14">
    <w:name w:val="List Number 2"/>
    <w:basedOn w:val="1"/>
    <w:qFormat/>
    <w:uiPriority w:val="0"/>
    <w:pPr>
      <w:tabs>
        <w:tab w:val="left" w:pos="780"/>
      </w:tabs>
      <w:spacing w:line="360" w:lineRule="auto"/>
      <w:ind w:left="425" w:hanging="425"/>
    </w:pPr>
    <w:rPr>
      <w:rFonts w:ascii="Times New Roman" w:hAnsi="Times New Roman" w:eastAsia="宋体" w:cs="Times New Roman"/>
      <w:sz w:val="24"/>
      <w:szCs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hAnsi="Times New Roman" w:eastAsia="宋体" w:cs="宋体"/>
      <w:kern w:val="0"/>
      <w:sz w:val="22"/>
      <w:szCs w:val="22"/>
    </w:rPr>
  </w:style>
  <w:style w:type="paragraph" w:styleId="16">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ascii="Times New Roman" w:hAnsi="Times New Roman" w:eastAsia="PMingLiUfalt" w:cs="Times New Roman"/>
      <w:b/>
      <w:bCs/>
      <w:kern w:val="0"/>
      <w:sz w:val="24"/>
      <w:szCs w:val="24"/>
      <w:lang w:eastAsia="zh-TW"/>
    </w:rPr>
  </w:style>
  <w:style w:type="paragraph" w:styleId="18">
    <w:name w:val="Document Map"/>
    <w:basedOn w:val="1"/>
    <w:link w:val="79"/>
    <w:qFormat/>
    <w:uiPriority w:val="0"/>
    <w:pPr>
      <w:shd w:val="clear" w:color="auto" w:fill="000080"/>
    </w:pPr>
    <w:rPr>
      <w:rFonts w:ascii="Times New Roman" w:hAnsi="Times New Roman" w:eastAsia="宋体" w:cs="Times New Roman"/>
      <w:kern w:val="0"/>
      <w:sz w:val="2"/>
      <w:szCs w:val="20"/>
    </w:rPr>
  </w:style>
  <w:style w:type="paragraph" w:styleId="19">
    <w:name w:val="toa heading"/>
    <w:basedOn w:val="1"/>
    <w:next w:val="1"/>
    <w:qFormat/>
    <w:uiPriority w:val="0"/>
    <w:pPr>
      <w:spacing w:before="120"/>
    </w:pPr>
    <w:rPr>
      <w:rFonts w:ascii="Arial" w:hAnsi="Arial" w:eastAsia="宋体" w:cs="Arial"/>
      <w:sz w:val="24"/>
      <w:szCs w:val="24"/>
    </w:rPr>
  </w:style>
  <w:style w:type="paragraph" w:styleId="20">
    <w:name w:val="annotation text"/>
    <w:basedOn w:val="1"/>
    <w:link w:val="80"/>
    <w:qFormat/>
    <w:uiPriority w:val="0"/>
    <w:pPr>
      <w:jc w:val="left"/>
    </w:pPr>
    <w:rPr>
      <w:rFonts w:ascii="Times New Roman" w:hAnsi="Times New Roman" w:eastAsia="宋体" w:cs="Times New Roman"/>
      <w:kern w:val="0"/>
    </w:rPr>
  </w:style>
  <w:style w:type="paragraph" w:styleId="21">
    <w:name w:val="Body Text 3"/>
    <w:basedOn w:val="1"/>
    <w:link w:val="81"/>
    <w:qFormat/>
    <w:uiPriority w:val="0"/>
    <w:pPr>
      <w:adjustRightInd w:val="0"/>
      <w:snapToGrid w:val="0"/>
      <w:spacing w:after="120" w:line="360" w:lineRule="auto"/>
    </w:pPr>
    <w:rPr>
      <w:rFonts w:ascii="Times New Roman" w:hAnsi="Times New Roman" w:eastAsia="宋体" w:cs="Times New Roman"/>
      <w:kern w:val="0"/>
      <w:sz w:val="16"/>
      <w:szCs w:val="20"/>
    </w:rPr>
  </w:style>
  <w:style w:type="paragraph" w:styleId="22">
    <w:name w:val="List Bullet 3"/>
    <w:basedOn w:val="1"/>
    <w:qFormat/>
    <w:uiPriority w:val="0"/>
    <w:pPr>
      <w:tabs>
        <w:tab w:val="left" w:pos="1200"/>
      </w:tabs>
      <w:adjustRightInd w:val="0"/>
      <w:snapToGrid w:val="0"/>
      <w:spacing w:line="360" w:lineRule="auto"/>
      <w:ind w:left="1200" w:hanging="360"/>
    </w:pPr>
    <w:rPr>
      <w:rFonts w:ascii="Times New Roman" w:hAnsi="Times New Roman" w:eastAsia="宋体" w:cs="Times New Roman"/>
      <w:sz w:val="24"/>
      <w:szCs w:val="24"/>
    </w:rPr>
  </w:style>
  <w:style w:type="paragraph" w:styleId="23">
    <w:name w:val="Body Text Indent"/>
    <w:basedOn w:val="1"/>
    <w:next w:val="24"/>
    <w:link w:val="82"/>
    <w:qFormat/>
    <w:uiPriority w:val="0"/>
    <w:pPr>
      <w:spacing w:line="700" w:lineRule="exact"/>
      <w:ind w:left="960"/>
    </w:pPr>
    <w:rPr>
      <w:rFonts w:ascii="Times New Roman" w:hAnsi="Times New Roman" w:eastAsia="宋体" w:cs="Times New Roman"/>
      <w:kern w:val="0"/>
      <w:sz w:val="44"/>
      <w:szCs w:val="20"/>
    </w:rPr>
  </w:style>
  <w:style w:type="paragraph" w:styleId="24">
    <w:name w:val="envelope return"/>
    <w:basedOn w:val="1"/>
    <w:qFormat/>
    <w:uiPriority w:val="0"/>
    <w:pPr>
      <w:snapToGrid w:val="0"/>
    </w:pPr>
    <w:rPr>
      <w:rFonts w:ascii="Arial" w:hAnsi="Arial"/>
    </w:rPr>
  </w:style>
  <w:style w:type="paragraph" w:styleId="25">
    <w:name w:val="List Number 3"/>
    <w:basedOn w:val="1"/>
    <w:qFormat/>
    <w:uiPriority w:val="0"/>
    <w:pPr>
      <w:tabs>
        <w:tab w:val="left" w:pos="2120"/>
      </w:tabs>
      <w:adjustRightInd w:val="0"/>
      <w:snapToGrid w:val="0"/>
      <w:spacing w:line="360" w:lineRule="auto"/>
      <w:ind w:left="2120" w:hanging="720"/>
    </w:pPr>
    <w:rPr>
      <w:rFonts w:ascii="Times New Roman" w:hAnsi="Times New Roman" w:eastAsia="宋体" w:cs="Times New Roman"/>
      <w:sz w:val="24"/>
      <w:szCs w:val="24"/>
    </w:rPr>
  </w:style>
  <w:style w:type="paragraph" w:styleId="26">
    <w:name w:val="List 2"/>
    <w:basedOn w:val="1"/>
    <w:qFormat/>
    <w:uiPriority w:val="0"/>
    <w:pPr>
      <w:adjustRightInd w:val="0"/>
      <w:snapToGrid w:val="0"/>
      <w:spacing w:line="360" w:lineRule="auto"/>
      <w:ind w:left="100" w:leftChars="200" w:hanging="200" w:hangingChars="200"/>
    </w:pPr>
    <w:rPr>
      <w:rFonts w:ascii="Times New Roman" w:hAnsi="Times New Roman" w:eastAsia="宋体" w:cs="Times New Roman"/>
      <w:sz w:val="24"/>
      <w:szCs w:val="24"/>
    </w:rPr>
  </w:style>
  <w:style w:type="paragraph" w:styleId="27">
    <w:name w:val="List Continue"/>
    <w:basedOn w:val="1"/>
    <w:qFormat/>
    <w:uiPriority w:val="0"/>
    <w:pPr>
      <w:adjustRightInd w:val="0"/>
      <w:snapToGrid w:val="0"/>
      <w:spacing w:after="120" w:line="360" w:lineRule="auto"/>
      <w:ind w:left="420" w:leftChars="200"/>
    </w:pPr>
    <w:rPr>
      <w:rFonts w:ascii="Times New Roman" w:hAnsi="Times New Roman" w:eastAsia="宋体" w:cs="Times New Roman"/>
      <w:sz w:val="24"/>
      <w:szCs w:val="24"/>
    </w:rPr>
  </w:style>
  <w:style w:type="paragraph" w:styleId="28">
    <w:name w:val="List Bullet 2"/>
    <w:basedOn w:val="1"/>
    <w:qFormat/>
    <w:uiPriority w:val="0"/>
    <w:pPr>
      <w:tabs>
        <w:tab w:val="left" w:pos="780"/>
      </w:tabs>
      <w:adjustRightInd w:val="0"/>
      <w:snapToGrid w:val="0"/>
      <w:spacing w:line="360" w:lineRule="auto"/>
      <w:ind w:left="780" w:hanging="360"/>
    </w:pPr>
    <w:rPr>
      <w:rFonts w:ascii="Times New Roman" w:hAnsi="Times New Roman" w:eastAsia="宋体" w:cs="Times New Roman"/>
      <w:sz w:val="24"/>
      <w:szCs w:val="24"/>
    </w:rPr>
  </w:style>
  <w:style w:type="paragraph" w:styleId="29">
    <w:name w:val="toc 5"/>
    <w:basedOn w:val="1"/>
    <w:next w:val="1"/>
    <w:qFormat/>
    <w:uiPriority w:val="0"/>
    <w:pPr>
      <w:ind w:left="1680" w:leftChars="800"/>
    </w:pPr>
    <w:rPr>
      <w:rFonts w:ascii="Times New Roman" w:hAnsi="Times New Roman" w:eastAsia="宋体" w:cs="Times New Roman"/>
    </w:rPr>
  </w:style>
  <w:style w:type="paragraph" w:styleId="30">
    <w:name w:val="toc 3"/>
    <w:basedOn w:val="1"/>
    <w:next w:val="1"/>
    <w:qFormat/>
    <w:uiPriority w:val="0"/>
    <w:pPr>
      <w:ind w:left="840" w:leftChars="400"/>
    </w:pPr>
    <w:rPr>
      <w:rFonts w:ascii="Times New Roman" w:hAnsi="Times New Roman" w:eastAsia="宋体" w:cs="Times New Roman"/>
    </w:rPr>
  </w:style>
  <w:style w:type="paragraph" w:styleId="31">
    <w:name w:val="Plain Text"/>
    <w:basedOn w:val="1"/>
    <w:link w:val="83"/>
    <w:qFormat/>
    <w:uiPriority w:val="0"/>
    <w:rPr>
      <w:rFonts w:ascii="宋体" w:hAnsi="Courier New" w:eastAsia="宋体" w:cs="Times New Roman"/>
      <w:kern w:val="0"/>
      <w:sz w:val="20"/>
      <w:szCs w:val="20"/>
    </w:rPr>
  </w:style>
  <w:style w:type="paragraph" w:styleId="32">
    <w:name w:val="toc 8"/>
    <w:basedOn w:val="1"/>
    <w:next w:val="1"/>
    <w:qFormat/>
    <w:uiPriority w:val="0"/>
    <w:pPr>
      <w:ind w:left="2940" w:leftChars="1400"/>
    </w:pPr>
    <w:rPr>
      <w:rFonts w:ascii="Times New Roman" w:hAnsi="Times New Roman" w:eastAsia="宋体" w:cs="Times New Roman"/>
    </w:rPr>
  </w:style>
  <w:style w:type="paragraph" w:styleId="33">
    <w:name w:val="Date"/>
    <w:basedOn w:val="1"/>
    <w:next w:val="1"/>
    <w:link w:val="84"/>
    <w:qFormat/>
    <w:uiPriority w:val="0"/>
    <w:rPr>
      <w:rFonts w:ascii="Times New Roman" w:hAnsi="Times New Roman" w:eastAsia="宋体" w:cs="Times New Roman"/>
      <w:kern w:val="0"/>
      <w:szCs w:val="20"/>
    </w:rPr>
  </w:style>
  <w:style w:type="paragraph" w:styleId="34">
    <w:name w:val="Body Text Indent 2"/>
    <w:basedOn w:val="1"/>
    <w:link w:val="85"/>
    <w:qFormat/>
    <w:uiPriority w:val="0"/>
    <w:pPr>
      <w:snapToGrid w:val="0"/>
      <w:spacing w:line="560" w:lineRule="atLeast"/>
      <w:ind w:firstLine="540"/>
    </w:pPr>
    <w:rPr>
      <w:rFonts w:ascii="Times New Roman" w:hAnsi="Times New Roman" w:eastAsia="宋体" w:cs="Times New Roman"/>
      <w:kern w:val="0"/>
      <w:szCs w:val="20"/>
    </w:rPr>
  </w:style>
  <w:style w:type="paragraph" w:styleId="35">
    <w:name w:val="Balloon Text"/>
    <w:basedOn w:val="1"/>
    <w:link w:val="86"/>
    <w:qFormat/>
    <w:uiPriority w:val="0"/>
    <w:rPr>
      <w:rFonts w:ascii="Times New Roman" w:hAnsi="Times New Roman" w:eastAsia="宋体" w:cs="Times New Roman"/>
      <w:kern w:val="0"/>
      <w:sz w:val="20"/>
      <w:szCs w:val="20"/>
    </w:rPr>
  </w:style>
  <w:style w:type="paragraph" w:styleId="36">
    <w:name w:val="footer"/>
    <w:basedOn w:val="1"/>
    <w:link w:val="87"/>
    <w:qFormat/>
    <w:uiPriority w:val="0"/>
    <w:pPr>
      <w:tabs>
        <w:tab w:val="center" w:pos="4153"/>
        <w:tab w:val="right" w:pos="8306"/>
      </w:tabs>
      <w:snapToGrid w:val="0"/>
      <w:jc w:val="left"/>
    </w:pPr>
    <w:rPr>
      <w:rFonts w:ascii="Times New Roman" w:hAnsi="Times New Roman" w:eastAsia="宋体" w:cs="Times New Roman"/>
      <w:kern w:val="0"/>
      <w:sz w:val="18"/>
      <w:szCs w:val="20"/>
    </w:rPr>
  </w:style>
  <w:style w:type="paragraph" w:styleId="37">
    <w:name w:val="header"/>
    <w:basedOn w:val="1"/>
    <w:link w:val="8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38">
    <w:name w:val="toc 1"/>
    <w:basedOn w:val="1"/>
    <w:next w:val="1"/>
    <w:qFormat/>
    <w:uiPriority w:val="0"/>
    <w:pPr>
      <w:spacing w:line="180" w:lineRule="auto"/>
      <w:jc w:val="center"/>
    </w:pPr>
    <w:rPr>
      <w:rFonts w:ascii="Times New Roman" w:hAnsi="Times New Roman" w:eastAsia="宋体" w:cs="Times New Roman"/>
      <w:sz w:val="30"/>
      <w:szCs w:val="30"/>
    </w:rPr>
  </w:style>
  <w:style w:type="paragraph" w:styleId="39">
    <w:name w:val="List Continue 4"/>
    <w:basedOn w:val="1"/>
    <w:qFormat/>
    <w:uiPriority w:val="0"/>
    <w:pPr>
      <w:adjustRightInd w:val="0"/>
      <w:snapToGrid w:val="0"/>
      <w:spacing w:after="120" w:line="360" w:lineRule="auto"/>
      <w:ind w:left="1680" w:leftChars="800"/>
    </w:pPr>
    <w:rPr>
      <w:rFonts w:ascii="Times New Roman" w:hAnsi="Times New Roman" w:eastAsia="宋体" w:cs="Times New Roman"/>
      <w:sz w:val="24"/>
      <w:szCs w:val="24"/>
    </w:rPr>
  </w:style>
  <w:style w:type="paragraph" w:styleId="40">
    <w:name w:val="toc 4"/>
    <w:basedOn w:val="1"/>
    <w:next w:val="1"/>
    <w:qFormat/>
    <w:uiPriority w:val="0"/>
    <w:pPr>
      <w:ind w:left="1260" w:leftChars="600"/>
    </w:pPr>
    <w:rPr>
      <w:rFonts w:ascii="Times New Roman" w:hAnsi="Times New Roman" w:eastAsia="宋体" w:cs="Times New Roman"/>
    </w:rPr>
  </w:style>
  <w:style w:type="paragraph" w:styleId="41">
    <w:name w:val="footnote text"/>
    <w:basedOn w:val="1"/>
    <w:link w:val="89"/>
    <w:qFormat/>
    <w:uiPriority w:val="0"/>
    <w:pPr>
      <w:spacing w:line="360" w:lineRule="auto"/>
    </w:pPr>
    <w:rPr>
      <w:rFonts w:ascii="Times New Roman" w:hAnsi="Times New Roman" w:eastAsia="宋体" w:cs="Times New Roman"/>
      <w:kern w:val="0"/>
      <w:sz w:val="18"/>
      <w:szCs w:val="20"/>
    </w:rPr>
  </w:style>
  <w:style w:type="paragraph" w:styleId="42">
    <w:name w:val="toc 6"/>
    <w:basedOn w:val="1"/>
    <w:next w:val="1"/>
    <w:qFormat/>
    <w:uiPriority w:val="0"/>
    <w:pPr>
      <w:ind w:left="2100" w:leftChars="1000"/>
    </w:pPr>
    <w:rPr>
      <w:rFonts w:ascii="Times New Roman" w:hAnsi="Times New Roman" w:eastAsia="宋体" w:cs="Times New Roman"/>
    </w:rPr>
  </w:style>
  <w:style w:type="paragraph" w:styleId="43">
    <w:name w:val="List 5"/>
    <w:basedOn w:val="1"/>
    <w:qFormat/>
    <w:uiPriority w:val="0"/>
    <w:pPr>
      <w:adjustRightInd w:val="0"/>
      <w:snapToGrid w:val="0"/>
      <w:spacing w:line="360" w:lineRule="auto"/>
      <w:ind w:left="100" w:leftChars="800" w:hanging="200" w:hangingChars="200"/>
    </w:pPr>
    <w:rPr>
      <w:rFonts w:ascii="Times New Roman" w:hAnsi="Times New Roman" w:eastAsia="宋体" w:cs="Times New Roman"/>
      <w:sz w:val="24"/>
      <w:szCs w:val="24"/>
    </w:rPr>
  </w:style>
  <w:style w:type="paragraph" w:styleId="44">
    <w:name w:val="Body Text Indent 3"/>
    <w:basedOn w:val="1"/>
    <w:link w:val="90"/>
    <w:qFormat/>
    <w:uiPriority w:val="0"/>
    <w:pPr>
      <w:spacing w:line="360" w:lineRule="auto"/>
      <w:ind w:firstLine="632"/>
    </w:pPr>
    <w:rPr>
      <w:rFonts w:ascii="Times New Roman" w:hAnsi="Times New Roman" w:eastAsia="宋体" w:cs="Times New Roman"/>
      <w:kern w:val="0"/>
      <w:sz w:val="16"/>
      <w:szCs w:val="20"/>
    </w:rPr>
  </w:style>
  <w:style w:type="paragraph" w:styleId="45">
    <w:name w:val="table of figures"/>
    <w:basedOn w:val="1"/>
    <w:next w:val="1"/>
    <w:qFormat/>
    <w:uiPriority w:val="0"/>
    <w:pPr>
      <w:tabs>
        <w:tab w:val="right" w:leader="dot" w:pos="8640"/>
      </w:tabs>
      <w:spacing w:line="360" w:lineRule="auto"/>
      <w:ind w:left="400" w:hanging="400"/>
    </w:pPr>
    <w:rPr>
      <w:rFonts w:ascii="Times New Roman" w:hAnsi="Times New Roman" w:eastAsia="宋体" w:cs="Times New Roman"/>
      <w:sz w:val="24"/>
      <w:szCs w:val="24"/>
    </w:rPr>
  </w:style>
  <w:style w:type="paragraph" w:styleId="46">
    <w:name w:val="toc 2"/>
    <w:basedOn w:val="1"/>
    <w:next w:val="1"/>
    <w:qFormat/>
    <w:uiPriority w:val="0"/>
    <w:pPr>
      <w:ind w:left="420" w:leftChars="200"/>
    </w:pPr>
    <w:rPr>
      <w:rFonts w:ascii="Times New Roman" w:hAnsi="Times New Roman" w:eastAsia="宋体" w:cs="Times New Roman"/>
    </w:rPr>
  </w:style>
  <w:style w:type="paragraph" w:styleId="47">
    <w:name w:val="toc 9"/>
    <w:basedOn w:val="1"/>
    <w:next w:val="1"/>
    <w:qFormat/>
    <w:uiPriority w:val="0"/>
    <w:pPr>
      <w:ind w:left="3360" w:leftChars="1600"/>
    </w:pPr>
    <w:rPr>
      <w:rFonts w:ascii="Times New Roman" w:hAnsi="Times New Roman" w:eastAsia="宋体" w:cs="Times New Roman"/>
    </w:rPr>
  </w:style>
  <w:style w:type="paragraph" w:styleId="48">
    <w:name w:val="Body Text 2"/>
    <w:basedOn w:val="1"/>
    <w:link w:val="91"/>
    <w:qFormat/>
    <w:uiPriority w:val="0"/>
    <w:pPr>
      <w:adjustRightInd w:val="0"/>
      <w:snapToGrid w:val="0"/>
      <w:spacing w:after="120" w:line="480" w:lineRule="auto"/>
    </w:pPr>
    <w:rPr>
      <w:rFonts w:ascii="Times New Roman" w:hAnsi="Times New Roman" w:eastAsia="宋体" w:cs="Times New Roman"/>
      <w:kern w:val="0"/>
      <w:sz w:val="20"/>
      <w:szCs w:val="20"/>
    </w:rPr>
  </w:style>
  <w:style w:type="paragraph" w:styleId="49">
    <w:name w:val="List 4"/>
    <w:basedOn w:val="1"/>
    <w:qFormat/>
    <w:uiPriority w:val="0"/>
    <w:pPr>
      <w:adjustRightInd w:val="0"/>
      <w:snapToGrid w:val="0"/>
      <w:spacing w:line="360" w:lineRule="auto"/>
      <w:ind w:left="100" w:leftChars="600" w:hanging="200" w:hangingChars="200"/>
    </w:pPr>
    <w:rPr>
      <w:rFonts w:ascii="Times New Roman" w:hAnsi="Times New Roman" w:eastAsia="宋体" w:cs="Times New Roman"/>
      <w:sz w:val="24"/>
      <w:szCs w:val="24"/>
    </w:rPr>
  </w:style>
  <w:style w:type="paragraph" w:styleId="50">
    <w:name w:val="List Continue 2"/>
    <w:basedOn w:val="1"/>
    <w:qFormat/>
    <w:uiPriority w:val="0"/>
    <w:pPr>
      <w:adjustRightInd w:val="0"/>
      <w:snapToGrid w:val="0"/>
      <w:spacing w:after="120" w:line="360" w:lineRule="auto"/>
      <w:ind w:left="840" w:leftChars="400"/>
    </w:pPr>
    <w:rPr>
      <w:rFonts w:ascii="Times New Roman" w:hAnsi="Times New Roman" w:eastAsia="宋体" w:cs="Times New Roman"/>
      <w:sz w:val="24"/>
      <w:szCs w:val="24"/>
    </w:rPr>
  </w:style>
  <w:style w:type="paragraph" w:styleId="5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2">
    <w:name w:val="List Continue 3"/>
    <w:basedOn w:val="1"/>
    <w:qFormat/>
    <w:uiPriority w:val="0"/>
    <w:pPr>
      <w:adjustRightInd w:val="0"/>
      <w:snapToGrid w:val="0"/>
      <w:spacing w:after="120" w:line="360" w:lineRule="auto"/>
      <w:ind w:left="1260" w:leftChars="600"/>
    </w:pPr>
    <w:rPr>
      <w:rFonts w:ascii="Times New Roman" w:hAnsi="Times New Roman" w:eastAsia="宋体" w:cs="Times New Roman"/>
      <w:sz w:val="24"/>
      <w:szCs w:val="24"/>
    </w:rPr>
  </w:style>
  <w:style w:type="paragraph" w:styleId="53">
    <w:name w:val="index 1"/>
    <w:basedOn w:val="1"/>
    <w:next w:val="1"/>
    <w:qFormat/>
    <w:uiPriority w:val="0"/>
    <w:pPr>
      <w:adjustRightInd w:val="0"/>
      <w:spacing w:line="240" w:lineRule="atLeast"/>
      <w:textAlignment w:val="baseline"/>
    </w:pPr>
    <w:rPr>
      <w:rFonts w:ascii="宋体" w:hAnsi="Times New Roman" w:eastAsia="宋体" w:cs="宋体"/>
      <w:kern w:val="0"/>
      <w:sz w:val="21"/>
      <w:szCs w:val="21"/>
    </w:rPr>
  </w:style>
  <w:style w:type="paragraph" w:styleId="54">
    <w:name w:val="Title"/>
    <w:basedOn w:val="1"/>
    <w:link w:val="92"/>
    <w:qFormat/>
    <w:uiPriority w:val="0"/>
    <w:pPr>
      <w:widowControl/>
      <w:spacing w:after="240" w:line="360" w:lineRule="auto"/>
      <w:jc w:val="center"/>
    </w:pPr>
    <w:rPr>
      <w:rFonts w:ascii="Cambria" w:hAnsi="Cambria" w:eastAsia="宋体" w:cs="Times New Roman"/>
      <w:b/>
      <w:kern w:val="0"/>
      <w:sz w:val="32"/>
      <w:szCs w:val="20"/>
    </w:rPr>
  </w:style>
  <w:style w:type="paragraph" w:styleId="55">
    <w:name w:val="annotation subject"/>
    <w:basedOn w:val="20"/>
    <w:next w:val="20"/>
    <w:link w:val="93"/>
    <w:qFormat/>
    <w:uiPriority w:val="0"/>
    <w:rPr>
      <w:rFonts w:ascii="Times New Roman" w:hAnsi="Times New Roman" w:eastAsia="宋体" w:cs="Times New Roman"/>
      <w:szCs w:val="20"/>
    </w:rPr>
  </w:style>
  <w:style w:type="paragraph" w:styleId="56">
    <w:name w:val="Body Text First Indent"/>
    <w:basedOn w:val="2"/>
    <w:link w:val="94"/>
    <w:qFormat/>
    <w:uiPriority w:val="0"/>
    <w:pPr>
      <w:spacing w:line="360" w:lineRule="auto"/>
      <w:ind w:firstLine="420"/>
    </w:pPr>
    <w:rPr>
      <w:rFonts w:ascii="Times New Roman" w:hAnsi="Times New Roman" w:eastAsia="宋体" w:cs="Times New Roman"/>
      <w:kern w:val="0"/>
      <w:sz w:val="20"/>
      <w:szCs w:val="20"/>
    </w:rPr>
  </w:style>
  <w:style w:type="paragraph" w:styleId="57">
    <w:name w:val="Body Text First Indent 2"/>
    <w:basedOn w:val="23"/>
    <w:link w:val="95"/>
    <w:qFormat/>
    <w:uiPriority w:val="0"/>
    <w:pPr>
      <w:spacing w:after="120" w:line="240" w:lineRule="auto"/>
      <w:ind w:left="420" w:leftChars="200" w:firstLine="420" w:firstLineChars="200"/>
    </w:pPr>
    <w:rPr>
      <w:rFonts w:ascii="Times New Roman" w:hAnsi="Times New Roman" w:eastAsia="宋体" w:cs="Times New Roman"/>
    </w:rPr>
  </w:style>
  <w:style w:type="table" w:styleId="59">
    <w:name w:val="Table Grid"/>
    <w:basedOn w:val="5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rFonts w:ascii="Times New Roman" w:hAnsi="Times New Roman" w:eastAsia="宋体" w:cs="Times New Roman"/>
      <w:b/>
    </w:rPr>
  </w:style>
  <w:style w:type="character" w:styleId="62">
    <w:name w:val="page number"/>
    <w:qFormat/>
    <w:uiPriority w:val="0"/>
    <w:rPr>
      <w:rFonts w:ascii="Times New Roman" w:hAnsi="Times New Roman" w:eastAsia="宋体" w:cs="Times New Roman"/>
    </w:rPr>
  </w:style>
  <w:style w:type="character" w:styleId="63">
    <w:name w:val="FollowedHyperlink"/>
    <w:qFormat/>
    <w:uiPriority w:val="0"/>
    <w:rPr>
      <w:rFonts w:ascii="Times New Roman" w:hAnsi="Times New Roman" w:eastAsia="宋体" w:cs="Times New Roman"/>
      <w:color w:val="800080"/>
      <w:u w:val="single"/>
    </w:rPr>
  </w:style>
  <w:style w:type="character" w:styleId="64">
    <w:name w:val="Emphasis"/>
    <w:qFormat/>
    <w:uiPriority w:val="0"/>
    <w:rPr>
      <w:rFonts w:ascii="Times New Roman" w:hAnsi="Times New Roman" w:eastAsia="宋体" w:cs="Times New Roman"/>
      <w:i/>
    </w:rPr>
  </w:style>
  <w:style w:type="character" w:styleId="65">
    <w:name w:val="Hyperlink"/>
    <w:qFormat/>
    <w:uiPriority w:val="0"/>
    <w:rPr>
      <w:rFonts w:ascii="Times New Roman" w:hAnsi="Times New Roman" w:eastAsia="宋体" w:cs="Times New Roman"/>
      <w:color w:val="0000FF"/>
      <w:u w:val="single"/>
    </w:rPr>
  </w:style>
  <w:style w:type="character" w:styleId="66">
    <w:name w:val="annotation reference"/>
    <w:qFormat/>
    <w:uiPriority w:val="0"/>
    <w:rPr>
      <w:rFonts w:ascii="Times New Roman" w:hAnsi="Times New Roman" w:eastAsia="宋体" w:cs="Times New Roman"/>
      <w:sz w:val="28"/>
    </w:rPr>
  </w:style>
  <w:style w:type="character" w:styleId="67">
    <w:name w:val="footnote reference"/>
    <w:qFormat/>
    <w:uiPriority w:val="0"/>
    <w:rPr>
      <w:rFonts w:ascii="Times New Roman" w:hAnsi="Times New Roman" w:eastAsia="宋体" w:cs="Times New Roman"/>
      <w:position w:val="6"/>
      <w:sz w:val="14"/>
      <w:vertAlign w:val="superscript"/>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正文文本 Char"/>
    <w:link w:val="2"/>
    <w:qFormat/>
    <w:uiPriority w:val="0"/>
    <w:rPr>
      <w:rFonts w:ascii="Times New Roman" w:hAnsi="Times New Roman" w:eastAsia="宋体" w:cs="Times New Roman"/>
      <w:sz w:val="28"/>
      <w:szCs w:val="28"/>
    </w:rPr>
  </w:style>
  <w:style w:type="character" w:customStyle="1" w:styleId="70">
    <w:name w:val="标题 1 Char"/>
    <w:link w:val="3"/>
    <w:qFormat/>
    <w:uiPriority w:val="0"/>
    <w:rPr>
      <w:rFonts w:ascii="Times New Roman" w:hAnsi="Times New Roman" w:eastAsia="宋体" w:cs="Times New Roman"/>
      <w:b/>
      <w:kern w:val="44"/>
      <w:sz w:val="44"/>
      <w:szCs w:val="20"/>
    </w:rPr>
  </w:style>
  <w:style w:type="character" w:customStyle="1" w:styleId="71">
    <w:name w:val="标题 2 Char"/>
    <w:link w:val="4"/>
    <w:qFormat/>
    <w:uiPriority w:val="0"/>
    <w:rPr>
      <w:rFonts w:ascii="Arial" w:hAnsi="Arial" w:eastAsia="黑体" w:cs="Times New Roman"/>
      <w:b/>
      <w:sz w:val="32"/>
      <w:szCs w:val="20"/>
    </w:rPr>
  </w:style>
  <w:style w:type="character" w:customStyle="1" w:styleId="72">
    <w:name w:val="标题 3 Char"/>
    <w:link w:val="5"/>
    <w:qFormat/>
    <w:uiPriority w:val="0"/>
    <w:rPr>
      <w:rFonts w:ascii="Times New Roman" w:hAnsi="Times New Roman" w:eastAsia="宋体" w:cs="Times New Roman"/>
      <w:b/>
      <w:sz w:val="32"/>
      <w:szCs w:val="20"/>
    </w:rPr>
  </w:style>
  <w:style w:type="character" w:customStyle="1" w:styleId="73">
    <w:name w:val="标题 4 Char"/>
    <w:link w:val="6"/>
    <w:qFormat/>
    <w:uiPriority w:val="0"/>
    <w:rPr>
      <w:rFonts w:ascii="Cambria" w:hAnsi="Cambria" w:eastAsia="宋体" w:cs="Times New Roman"/>
      <w:b/>
      <w:kern w:val="0"/>
      <w:sz w:val="28"/>
      <w:szCs w:val="20"/>
    </w:rPr>
  </w:style>
  <w:style w:type="character" w:customStyle="1" w:styleId="74">
    <w:name w:val="标题 5 Char"/>
    <w:link w:val="7"/>
    <w:qFormat/>
    <w:uiPriority w:val="0"/>
    <w:rPr>
      <w:rFonts w:ascii="Times New Roman" w:hAnsi="Times New Roman" w:eastAsia="宋体" w:cs="Times New Roman"/>
      <w:b/>
      <w:kern w:val="0"/>
      <w:sz w:val="28"/>
      <w:szCs w:val="20"/>
    </w:rPr>
  </w:style>
  <w:style w:type="character" w:customStyle="1" w:styleId="75">
    <w:name w:val="标题 6 Char"/>
    <w:link w:val="8"/>
    <w:qFormat/>
    <w:uiPriority w:val="0"/>
    <w:rPr>
      <w:rFonts w:ascii="Cambria" w:hAnsi="Cambria" w:eastAsia="宋体" w:cs="Times New Roman"/>
      <w:b/>
      <w:kern w:val="0"/>
      <w:sz w:val="24"/>
      <w:szCs w:val="20"/>
    </w:rPr>
  </w:style>
  <w:style w:type="character" w:customStyle="1" w:styleId="76">
    <w:name w:val="标题 7 Char"/>
    <w:link w:val="9"/>
    <w:qFormat/>
    <w:uiPriority w:val="0"/>
    <w:rPr>
      <w:rFonts w:ascii="Times New Roman" w:hAnsi="Times New Roman" w:eastAsia="宋体" w:cs="Times New Roman"/>
      <w:b/>
      <w:kern w:val="0"/>
      <w:sz w:val="24"/>
      <w:szCs w:val="20"/>
    </w:rPr>
  </w:style>
  <w:style w:type="character" w:customStyle="1" w:styleId="77">
    <w:name w:val="标题 8 Char"/>
    <w:link w:val="10"/>
    <w:qFormat/>
    <w:uiPriority w:val="0"/>
    <w:rPr>
      <w:rFonts w:ascii="Cambria" w:hAnsi="Cambria" w:eastAsia="宋体" w:cs="Times New Roman"/>
      <w:kern w:val="0"/>
      <w:sz w:val="24"/>
      <w:szCs w:val="20"/>
    </w:rPr>
  </w:style>
  <w:style w:type="character" w:customStyle="1" w:styleId="78">
    <w:name w:val="标题 9 Char"/>
    <w:link w:val="11"/>
    <w:qFormat/>
    <w:uiPriority w:val="0"/>
    <w:rPr>
      <w:rFonts w:ascii="Cambria" w:hAnsi="Cambria" w:eastAsia="宋体" w:cs="Times New Roman"/>
      <w:kern w:val="0"/>
      <w:szCs w:val="20"/>
    </w:rPr>
  </w:style>
  <w:style w:type="character" w:customStyle="1" w:styleId="79">
    <w:name w:val="文档结构图 Char"/>
    <w:link w:val="18"/>
    <w:qFormat/>
    <w:uiPriority w:val="0"/>
    <w:rPr>
      <w:rFonts w:ascii="Times New Roman" w:hAnsi="Times New Roman" w:eastAsia="宋体" w:cs="Times New Roman"/>
      <w:kern w:val="0"/>
      <w:sz w:val="2"/>
      <w:szCs w:val="20"/>
      <w:shd w:val="clear" w:color="auto" w:fill="000080"/>
    </w:rPr>
  </w:style>
  <w:style w:type="character" w:customStyle="1" w:styleId="80">
    <w:name w:val="批注文字 Char"/>
    <w:link w:val="20"/>
    <w:qFormat/>
    <w:uiPriority w:val="0"/>
    <w:rPr>
      <w:rFonts w:ascii="Times New Roman" w:hAnsi="Times New Roman" w:eastAsia="宋体" w:cs="Times New Roman"/>
      <w:sz w:val="28"/>
      <w:szCs w:val="28"/>
    </w:rPr>
  </w:style>
  <w:style w:type="character" w:customStyle="1" w:styleId="81">
    <w:name w:val="正文文本 3 Char"/>
    <w:link w:val="21"/>
    <w:qFormat/>
    <w:uiPriority w:val="0"/>
    <w:rPr>
      <w:rFonts w:ascii="Times New Roman" w:hAnsi="Times New Roman" w:eastAsia="宋体" w:cs="Times New Roman"/>
      <w:kern w:val="0"/>
      <w:sz w:val="16"/>
      <w:szCs w:val="20"/>
    </w:rPr>
  </w:style>
  <w:style w:type="character" w:customStyle="1" w:styleId="82">
    <w:name w:val="正文文本缩进 Char"/>
    <w:link w:val="23"/>
    <w:qFormat/>
    <w:uiPriority w:val="0"/>
    <w:rPr>
      <w:rFonts w:ascii="Times New Roman" w:hAnsi="Times New Roman" w:eastAsia="宋体" w:cs="Times New Roman"/>
      <w:sz w:val="44"/>
      <w:szCs w:val="20"/>
    </w:rPr>
  </w:style>
  <w:style w:type="character" w:customStyle="1" w:styleId="83">
    <w:name w:val="纯文本 Char"/>
    <w:link w:val="31"/>
    <w:qFormat/>
    <w:uiPriority w:val="0"/>
    <w:rPr>
      <w:rFonts w:ascii="宋体" w:hAnsi="Courier New" w:eastAsia="宋体" w:cs="Times New Roman"/>
      <w:kern w:val="0"/>
      <w:szCs w:val="20"/>
    </w:rPr>
  </w:style>
  <w:style w:type="character" w:customStyle="1" w:styleId="84">
    <w:name w:val="日期 Char"/>
    <w:link w:val="33"/>
    <w:qFormat/>
    <w:uiPriority w:val="0"/>
    <w:rPr>
      <w:rFonts w:ascii="Times New Roman" w:hAnsi="Times New Roman" w:eastAsia="宋体" w:cs="Times New Roman"/>
      <w:sz w:val="28"/>
      <w:szCs w:val="20"/>
    </w:rPr>
  </w:style>
  <w:style w:type="character" w:customStyle="1" w:styleId="85">
    <w:name w:val="正文文本缩进 2 Char"/>
    <w:link w:val="34"/>
    <w:qFormat/>
    <w:uiPriority w:val="0"/>
    <w:rPr>
      <w:rFonts w:ascii="Times New Roman" w:hAnsi="Times New Roman" w:eastAsia="宋体" w:cs="Times New Roman"/>
      <w:sz w:val="28"/>
      <w:szCs w:val="20"/>
    </w:rPr>
  </w:style>
  <w:style w:type="character" w:customStyle="1" w:styleId="86">
    <w:name w:val="批注框文本 Char"/>
    <w:link w:val="35"/>
    <w:qFormat/>
    <w:uiPriority w:val="0"/>
    <w:rPr>
      <w:rFonts w:ascii="Times New Roman" w:hAnsi="Times New Roman" w:eastAsia="宋体" w:cs="Times New Roman"/>
      <w:kern w:val="0"/>
      <w:szCs w:val="20"/>
    </w:rPr>
  </w:style>
  <w:style w:type="character" w:customStyle="1" w:styleId="87">
    <w:name w:val="页脚 Char"/>
    <w:link w:val="36"/>
    <w:qFormat/>
    <w:uiPriority w:val="0"/>
    <w:rPr>
      <w:rFonts w:ascii="Times New Roman" w:hAnsi="Times New Roman" w:eastAsia="宋体" w:cs="Times New Roman"/>
      <w:kern w:val="0"/>
      <w:sz w:val="18"/>
      <w:szCs w:val="20"/>
    </w:rPr>
  </w:style>
  <w:style w:type="character" w:customStyle="1" w:styleId="88">
    <w:name w:val="页眉 Char"/>
    <w:link w:val="37"/>
    <w:qFormat/>
    <w:uiPriority w:val="0"/>
    <w:rPr>
      <w:rFonts w:ascii="Times New Roman" w:hAnsi="Times New Roman" w:eastAsia="宋体" w:cs="Times New Roman"/>
      <w:sz w:val="18"/>
      <w:szCs w:val="20"/>
    </w:rPr>
  </w:style>
  <w:style w:type="character" w:customStyle="1" w:styleId="89">
    <w:name w:val="脚注文本 Char"/>
    <w:link w:val="41"/>
    <w:qFormat/>
    <w:uiPriority w:val="0"/>
    <w:rPr>
      <w:rFonts w:ascii="Times New Roman" w:hAnsi="Times New Roman" w:eastAsia="宋体" w:cs="Times New Roman"/>
      <w:sz w:val="18"/>
      <w:szCs w:val="20"/>
    </w:rPr>
  </w:style>
  <w:style w:type="character" w:customStyle="1" w:styleId="90">
    <w:name w:val="正文文本缩进 3 Char"/>
    <w:link w:val="44"/>
    <w:qFormat/>
    <w:uiPriority w:val="0"/>
    <w:rPr>
      <w:rFonts w:ascii="Times New Roman" w:hAnsi="Times New Roman" w:eastAsia="宋体" w:cs="Times New Roman"/>
      <w:kern w:val="0"/>
      <w:sz w:val="16"/>
      <w:szCs w:val="20"/>
    </w:rPr>
  </w:style>
  <w:style w:type="character" w:customStyle="1" w:styleId="91">
    <w:name w:val="正文文本 2 Char"/>
    <w:link w:val="48"/>
    <w:qFormat/>
    <w:uiPriority w:val="0"/>
    <w:rPr>
      <w:rFonts w:ascii="Times New Roman" w:hAnsi="Times New Roman" w:eastAsia="宋体" w:cs="Times New Roman"/>
      <w:kern w:val="0"/>
      <w:sz w:val="20"/>
      <w:szCs w:val="20"/>
    </w:rPr>
  </w:style>
  <w:style w:type="character" w:customStyle="1" w:styleId="92">
    <w:name w:val="标题 Char"/>
    <w:link w:val="54"/>
    <w:qFormat/>
    <w:uiPriority w:val="0"/>
    <w:rPr>
      <w:rFonts w:ascii="Cambria" w:hAnsi="Cambria" w:eastAsia="宋体" w:cs="Times New Roman"/>
      <w:b/>
      <w:kern w:val="0"/>
      <w:sz w:val="32"/>
      <w:szCs w:val="20"/>
    </w:rPr>
  </w:style>
  <w:style w:type="character" w:customStyle="1" w:styleId="93">
    <w:name w:val="批注主题 Char"/>
    <w:link w:val="55"/>
    <w:qFormat/>
    <w:uiPriority w:val="0"/>
    <w:rPr>
      <w:rFonts w:ascii="Times New Roman" w:hAnsi="Times New Roman" w:eastAsia="宋体" w:cs="Times New Roman"/>
      <w:sz w:val="28"/>
      <w:szCs w:val="20"/>
    </w:rPr>
  </w:style>
  <w:style w:type="character" w:customStyle="1" w:styleId="94">
    <w:name w:val="正文首行缩进 Char"/>
    <w:link w:val="56"/>
    <w:qFormat/>
    <w:uiPriority w:val="0"/>
    <w:rPr>
      <w:rFonts w:ascii="Times New Roman" w:hAnsi="Times New Roman" w:eastAsia="宋体" w:cs="Times New Roman"/>
      <w:kern w:val="0"/>
      <w:sz w:val="20"/>
      <w:szCs w:val="20"/>
    </w:rPr>
  </w:style>
  <w:style w:type="character" w:customStyle="1" w:styleId="95">
    <w:name w:val="正文首行缩进 2 Char"/>
    <w:link w:val="57"/>
    <w:qFormat/>
    <w:uiPriority w:val="0"/>
    <w:rPr>
      <w:rFonts w:ascii="Times New Roman" w:hAnsi="Times New Roman" w:eastAsia="宋体" w:cs="Times New Roman"/>
    </w:rPr>
  </w:style>
  <w:style w:type="character" w:customStyle="1" w:styleId="96">
    <w:name w:val="标题 2 字符"/>
    <w:link w:val="4"/>
    <w:qFormat/>
    <w:uiPriority w:val="0"/>
    <w:rPr>
      <w:rFonts w:ascii="Arial" w:hAnsi="Arial" w:eastAsia="黑体" w:cs="Times New Roman"/>
      <w:b/>
      <w:sz w:val="32"/>
      <w:szCs w:val="20"/>
    </w:rPr>
  </w:style>
  <w:style w:type="paragraph" w:customStyle="1" w:styleId="97">
    <w:name w:val="默认"/>
    <w:qFormat/>
    <w:uiPriority w:val="0"/>
    <w:pPr>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000000"/>
      <w:lang w:val="zh-CN" w:eastAsia="zh-CN" w:bidi="ar-SA"/>
    </w:rPr>
  </w:style>
  <w:style w:type="paragraph" w:customStyle="1" w:styleId="98">
    <w:name w:val="1"/>
    <w:basedOn w:val="1"/>
    <w:next w:val="31"/>
    <w:qFormat/>
    <w:uiPriority w:val="0"/>
    <w:rPr>
      <w:rFonts w:ascii="宋体" w:hAnsi="Courier New" w:eastAsia="宋体" w:cs="宋体"/>
      <w:sz w:val="21"/>
      <w:szCs w:val="21"/>
    </w:rPr>
  </w:style>
  <w:style w:type="character" w:customStyle="1" w:styleId="99">
    <w:name w:val="NormalCharacter"/>
    <w:qFormat/>
    <w:uiPriority w:val="0"/>
    <w:rPr>
      <w:rFonts w:ascii="Times New Roman" w:hAnsi="Times New Roman" w:eastAsia="宋体" w:cs="Times New Roman"/>
      <w:kern w:val="2"/>
      <w:sz w:val="21"/>
      <w:szCs w:val="24"/>
      <w:lang w:val="en-US" w:eastAsia="zh-CN" w:bidi="ar-SA"/>
    </w:rPr>
  </w:style>
  <w:style w:type="character" w:customStyle="1" w:styleId="100">
    <w:name w:val="Char Char Char Char Char Char Char Char Char"/>
    <w:qFormat/>
    <w:uiPriority w:val="0"/>
    <w:rPr>
      <w:rFonts w:ascii="宋体" w:hAnsi="宋体" w:eastAsia="宋体" w:cs="Times New Roman"/>
      <w:kern w:val="2"/>
      <w:sz w:val="24"/>
      <w:lang w:val="en-US" w:eastAsia="zh-CN"/>
    </w:rPr>
  </w:style>
  <w:style w:type="character" w:customStyle="1" w:styleId="101">
    <w:name w:val="font31"/>
    <w:qFormat/>
    <w:uiPriority w:val="0"/>
    <w:rPr>
      <w:rFonts w:ascii="Times New Roman" w:hAnsi="Times New Roman" w:eastAsia="宋体" w:cs="Times New Roman"/>
      <w:color w:val="000000"/>
      <w:sz w:val="36"/>
      <w:u w:val="none"/>
    </w:rPr>
  </w:style>
  <w:style w:type="character" w:customStyle="1" w:styleId="102">
    <w:name w:val="H2 Char"/>
    <w:qFormat/>
    <w:uiPriority w:val="0"/>
    <w:rPr>
      <w:rFonts w:ascii="Arial" w:hAnsi="Arial" w:eastAsia="宋体" w:cs="Times New Roman"/>
      <w:kern w:val="2"/>
      <w:sz w:val="28"/>
      <w:lang w:val="en-US" w:eastAsia="zh-CN"/>
    </w:rPr>
  </w:style>
  <w:style w:type="character" w:customStyle="1" w:styleId="103">
    <w:name w:val="font01"/>
    <w:qFormat/>
    <w:uiPriority w:val="0"/>
    <w:rPr>
      <w:rFonts w:hint="default" w:ascii="方正仿宋_GBK" w:hAnsi="方正仿宋_GBK" w:eastAsia="方正仿宋_GBK" w:cs="方正仿宋_GBK"/>
      <w:color w:val="FF0000"/>
      <w:sz w:val="12"/>
      <w:szCs w:val="12"/>
      <w:u w:val="none"/>
    </w:rPr>
  </w:style>
  <w:style w:type="character" w:customStyle="1" w:styleId="104">
    <w:name w:val="Table Heading Char Char"/>
    <w:qFormat/>
    <w:uiPriority w:val="0"/>
    <w:rPr>
      <w:rFonts w:ascii="Arial" w:hAnsi="Arial" w:eastAsia="黑体" w:cs="Times New Roman"/>
      <w:kern w:val="2"/>
      <w:sz w:val="18"/>
      <w:lang w:val="en-US" w:eastAsia="zh-CN"/>
    </w:rPr>
  </w:style>
  <w:style w:type="character" w:customStyle="1" w:styleId="105">
    <w:name w:val="v151"/>
    <w:qFormat/>
    <w:uiPriority w:val="0"/>
    <w:rPr>
      <w:rFonts w:ascii="Times New Roman" w:hAnsi="Times New Roman" w:eastAsia="宋体" w:cs="Times New Roman"/>
      <w:sz w:val="18"/>
    </w:rPr>
  </w:style>
  <w:style w:type="character" w:customStyle="1" w:styleId="106">
    <w:name w:val="title_emph1"/>
    <w:qFormat/>
    <w:uiPriority w:val="0"/>
    <w:rPr>
      <w:rFonts w:ascii="Arial" w:hAnsi="Arial" w:eastAsia="宋体" w:cs="Times New Roman"/>
      <w:b/>
      <w:sz w:val="20"/>
    </w:rPr>
  </w:style>
  <w:style w:type="paragraph" w:customStyle="1" w:styleId="107">
    <w:name w:val="表格非标题文字"/>
    <w:link w:val="108"/>
    <w:qFormat/>
    <w:uiPriority w:val="0"/>
    <w:pPr>
      <w:snapToGrid w:val="0"/>
      <w:spacing w:before="80" w:after="40"/>
    </w:pPr>
    <w:rPr>
      <w:rFonts w:ascii="Futura Bk" w:hAnsi="Futura Bk" w:eastAsia="宋体" w:cs="Times New Roman"/>
      <w:sz w:val="18"/>
      <w:szCs w:val="21"/>
      <w:lang w:val="en-US" w:eastAsia="zh-CN" w:bidi="ar-SA"/>
    </w:rPr>
  </w:style>
  <w:style w:type="character" w:customStyle="1" w:styleId="108">
    <w:name w:val="表格非标题文字 Char"/>
    <w:link w:val="107"/>
    <w:qFormat/>
    <w:uiPriority w:val="0"/>
    <w:rPr>
      <w:rFonts w:ascii="Futura Bk" w:hAnsi="Futura Bk" w:eastAsia="宋体" w:cs="Times New Roman"/>
      <w:sz w:val="18"/>
      <w:szCs w:val="21"/>
      <w:lang w:val="en-US" w:eastAsia="zh-CN" w:bidi="ar-SA"/>
    </w:rPr>
  </w:style>
  <w:style w:type="character" w:customStyle="1" w:styleId="109">
    <w:name w:val="Char Char4"/>
    <w:qFormat/>
    <w:uiPriority w:val="0"/>
    <w:rPr>
      <w:rFonts w:ascii="Times New Roman" w:hAnsi="Times New Roman" w:eastAsia="宋体" w:cs="Times New Roman"/>
      <w:b/>
      <w:kern w:val="2"/>
      <w:sz w:val="21"/>
      <w:lang w:val="en-US" w:eastAsia="zh-CN"/>
    </w:rPr>
  </w:style>
  <w:style w:type="character" w:customStyle="1" w:styleId="110">
    <w:name w:val="未命名11"/>
    <w:qFormat/>
    <w:uiPriority w:val="0"/>
    <w:rPr>
      <w:rFonts w:ascii="Times New Roman" w:hAnsi="Times New Roman" w:eastAsia="宋体" w:cs="Times New Roman"/>
      <w:color w:val="auto"/>
      <w:sz w:val="24"/>
    </w:rPr>
  </w:style>
  <w:style w:type="character" w:customStyle="1" w:styleId="111">
    <w:name w:val="font1"/>
    <w:qFormat/>
    <w:uiPriority w:val="0"/>
    <w:rPr>
      <w:rFonts w:ascii="Times New Roman" w:hAnsi="Times New Roman" w:eastAsia="宋体" w:cs="Times New Roman"/>
      <w:color w:val="000000"/>
      <w:sz w:val="18"/>
    </w:rPr>
  </w:style>
  <w:style w:type="character" w:customStyle="1" w:styleId="112">
    <w:name w:val="Char Char2"/>
    <w:qFormat/>
    <w:uiPriority w:val="0"/>
    <w:rPr>
      <w:rFonts w:ascii="Times New Roman" w:hAnsi="Times New Roman" w:eastAsia="宋体" w:cs="Times New Roman"/>
      <w:kern w:val="2"/>
      <w:sz w:val="18"/>
      <w:lang w:val="en-US" w:eastAsia="zh-CN"/>
    </w:rPr>
  </w:style>
  <w:style w:type="paragraph" w:customStyle="1" w:styleId="113">
    <w:name w:val="文字"/>
    <w:basedOn w:val="1"/>
    <w:link w:val="114"/>
    <w:qFormat/>
    <w:uiPriority w:val="0"/>
    <w:pPr>
      <w:tabs>
        <w:tab w:val="left" w:pos="8520"/>
      </w:tabs>
      <w:spacing w:line="312" w:lineRule="auto"/>
      <w:ind w:right="-210" w:firstLine="556"/>
    </w:pPr>
    <w:rPr>
      <w:rFonts w:ascii="宋体" w:hAnsi="Times New Roman" w:eastAsia="宋体" w:cs="Times New Roman"/>
      <w:kern w:val="0"/>
      <w:szCs w:val="20"/>
    </w:rPr>
  </w:style>
  <w:style w:type="character" w:customStyle="1" w:styleId="114">
    <w:name w:val="文字 Char Char"/>
    <w:link w:val="113"/>
    <w:qFormat/>
    <w:uiPriority w:val="0"/>
    <w:rPr>
      <w:rFonts w:ascii="宋体" w:hAnsi="Times New Roman" w:eastAsia="宋体" w:cs="Times New Roman"/>
      <w:sz w:val="28"/>
    </w:rPr>
  </w:style>
  <w:style w:type="character" w:customStyle="1" w:styleId="115">
    <w:name w:val="Char Char5"/>
    <w:qFormat/>
    <w:uiPriority w:val="0"/>
    <w:rPr>
      <w:rFonts w:ascii="Arial" w:hAnsi="Arial" w:eastAsia="宋体" w:cs="Times New Roman"/>
      <w:b/>
      <w:smallCaps/>
      <w:kern w:val="28"/>
      <w:sz w:val="36"/>
      <w:lang w:val="en-US" w:eastAsia="en-US"/>
    </w:rPr>
  </w:style>
  <w:style w:type="character" w:customStyle="1" w:styleId="116">
    <w:name w:val="font51"/>
    <w:qFormat/>
    <w:uiPriority w:val="0"/>
    <w:rPr>
      <w:rFonts w:ascii="宋体" w:hAnsi="宋体" w:eastAsia="宋体" w:cs="Times New Roman"/>
      <w:color w:val="000000"/>
      <w:sz w:val="32"/>
      <w:u w:val="none"/>
    </w:rPr>
  </w:style>
  <w:style w:type="character" w:customStyle="1" w:styleId="117">
    <w:name w:val="font61"/>
    <w:qFormat/>
    <w:uiPriority w:val="0"/>
    <w:rPr>
      <w:rFonts w:ascii="宋体" w:hAnsi="宋体" w:eastAsia="宋体" w:cs="Times New Roman"/>
      <w:color w:val="000000"/>
      <w:sz w:val="30"/>
      <w:u w:val="none"/>
    </w:rPr>
  </w:style>
  <w:style w:type="character" w:customStyle="1" w:styleId="118">
    <w:name w:val="Char Char11"/>
    <w:qFormat/>
    <w:uiPriority w:val="0"/>
    <w:rPr>
      <w:rFonts w:ascii="宋体" w:hAnsi="Times New Roman" w:eastAsia="宋体" w:cs="Times New Roman"/>
      <w:kern w:val="2"/>
      <w:sz w:val="28"/>
    </w:rPr>
  </w:style>
  <w:style w:type="character" w:customStyle="1" w:styleId="119">
    <w:name w:val="param-name1"/>
    <w:qFormat/>
    <w:uiPriority w:val="0"/>
    <w:rPr>
      <w:rFonts w:ascii="Times New Roman" w:hAnsi="Times New Roman" w:eastAsia="宋体" w:cs="Times New Roman"/>
      <w:b/>
    </w:rPr>
  </w:style>
  <w:style w:type="character" w:customStyle="1" w:styleId="120">
    <w:name w:val="Char Char7"/>
    <w:qFormat/>
    <w:uiPriority w:val="0"/>
    <w:rPr>
      <w:rFonts w:ascii="宋体" w:hAnsi="宋体" w:eastAsia="宋体" w:cs="Times New Roman"/>
      <w:kern w:val="2"/>
      <w:sz w:val="28"/>
    </w:rPr>
  </w:style>
  <w:style w:type="character" w:customStyle="1" w:styleId="121">
    <w:name w:val="Char Char3"/>
    <w:qFormat/>
    <w:uiPriority w:val="0"/>
    <w:rPr>
      <w:rFonts w:ascii="Times New Roman" w:hAnsi="Times New Roman" w:eastAsia="宋体" w:cs="Times New Roman"/>
      <w:kern w:val="2"/>
      <w:sz w:val="18"/>
      <w:lang w:val="en-US" w:eastAsia="zh-CN"/>
    </w:rPr>
  </w:style>
  <w:style w:type="character" w:customStyle="1" w:styleId="122">
    <w:name w:val="Table Text Char1 Char Char"/>
    <w:qFormat/>
    <w:uiPriority w:val="0"/>
    <w:rPr>
      <w:rFonts w:ascii="Arial" w:hAnsi="Arial" w:eastAsia="宋体" w:cs="Times New Roman"/>
      <w:kern w:val="2"/>
      <w:sz w:val="18"/>
      <w:lang w:val="en-US" w:eastAsia="zh-CN"/>
    </w:rPr>
  </w:style>
  <w:style w:type="character" w:customStyle="1" w:styleId="123">
    <w:name w:val="样式 宋体"/>
    <w:qFormat/>
    <w:uiPriority w:val="0"/>
    <w:rPr>
      <w:rFonts w:ascii="宋体" w:hAnsi="宋体" w:eastAsia="宋体" w:cs="Times New Roman"/>
      <w:sz w:val="28"/>
    </w:rPr>
  </w:style>
  <w:style w:type="character" w:customStyle="1" w:styleId="124">
    <w:name w:val="apple-converted-space"/>
    <w:qFormat/>
    <w:uiPriority w:val="0"/>
    <w:rPr>
      <w:rFonts w:ascii="Times New Roman" w:hAnsi="Times New Roman" w:eastAsia="宋体" w:cs="Times New Roman"/>
    </w:rPr>
  </w:style>
  <w:style w:type="character" w:customStyle="1" w:styleId="125">
    <w:name w:val="Char Char6"/>
    <w:qFormat/>
    <w:uiPriority w:val="0"/>
    <w:rPr>
      <w:rFonts w:ascii="仿宋_GB2312" w:hAnsi="Times New Roman" w:eastAsia="仿宋_GB2312" w:cs="Times New Roman"/>
      <w:kern w:val="2"/>
      <w:sz w:val="32"/>
    </w:rPr>
  </w:style>
  <w:style w:type="character" w:customStyle="1" w:styleId="126">
    <w:name w:val="font41"/>
    <w:qFormat/>
    <w:uiPriority w:val="0"/>
    <w:rPr>
      <w:rFonts w:ascii="宋体" w:hAnsi="宋体" w:eastAsia="宋体" w:cs="Times New Roman"/>
      <w:color w:val="000000"/>
      <w:sz w:val="36"/>
      <w:u w:val="none"/>
    </w:rPr>
  </w:style>
  <w:style w:type="character" w:customStyle="1" w:styleId="127">
    <w:name w:val="小 Char"/>
    <w:qFormat/>
    <w:uiPriority w:val="0"/>
    <w:rPr>
      <w:rFonts w:ascii="宋体" w:hAnsi="Courier New" w:eastAsia="宋体" w:cs="Times New Roman"/>
      <w:kern w:val="2"/>
      <w:sz w:val="21"/>
      <w:lang w:val="en-US" w:eastAsia="zh-CN"/>
    </w:rPr>
  </w:style>
  <w:style w:type="character" w:customStyle="1" w:styleId="128">
    <w:name w:val="crowed11"/>
    <w:qFormat/>
    <w:uiPriority w:val="0"/>
    <w:rPr>
      <w:rFonts w:ascii="Times New Roman" w:hAnsi="Times New Roman" w:eastAsia="宋体" w:cs="Times New Roman"/>
      <w:sz w:val="24"/>
    </w:rPr>
  </w:style>
  <w:style w:type="character" w:customStyle="1" w:styleId="129">
    <w:name w:val="正文 + 三号 Char"/>
    <w:qFormat/>
    <w:uiPriority w:val="0"/>
    <w:rPr>
      <w:rFonts w:ascii="Times New Roman" w:hAnsi="Times New Roman" w:eastAsia="宋体" w:cs="Times New Roman"/>
      <w:kern w:val="2"/>
      <w:sz w:val="21"/>
      <w:lang w:val="en-US" w:eastAsia="zh-CN"/>
    </w:rPr>
  </w:style>
  <w:style w:type="paragraph" w:customStyle="1" w:styleId="130">
    <w:name w:val="Table Text"/>
    <w:link w:val="131"/>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31">
    <w:name w:val="Table Text Char Char Char Char"/>
    <w:link w:val="130"/>
    <w:qFormat/>
    <w:uiPriority w:val="0"/>
    <w:rPr>
      <w:rFonts w:ascii="Arial" w:hAnsi="Arial" w:eastAsia="宋体" w:cs="Times New Roman"/>
      <w:kern w:val="2"/>
      <w:sz w:val="18"/>
      <w:szCs w:val="22"/>
      <w:lang w:val="en-US" w:eastAsia="zh-CN" w:bidi="ar-SA"/>
    </w:rPr>
  </w:style>
  <w:style w:type="character" w:customStyle="1" w:styleId="132">
    <w:name w:val="font11"/>
    <w:qFormat/>
    <w:uiPriority w:val="0"/>
    <w:rPr>
      <w:rFonts w:ascii="宋体" w:hAnsi="宋体" w:eastAsia="宋体" w:cs="Times New Roman"/>
      <w:color w:val="000000"/>
      <w:sz w:val="36"/>
      <w:u w:val="none"/>
    </w:rPr>
  </w:style>
  <w:style w:type="character" w:customStyle="1" w:styleId="133">
    <w:name w:val="标书正文:  0.74 厘米 Char1"/>
    <w:qFormat/>
    <w:uiPriority w:val="0"/>
    <w:rPr>
      <w:rFonts w:ascii="Times New Roman" w:hAnsi="Times New Roman" w:eastAsia="宋体" w:cs="Times New Roman"/>
      <w:kern w:val="2"/>
      <w:sz w:val="24"/>
      <w:lang w:val="en-US" w:eastAsia="zh-CN"/>
    </w:rPr>
  </w:style>
  <w:style w:type="character" w:customStyle="1" w:styleId="134">
    <w:name w:val="font21"/>
    <w:qFormat/>
    <w:uiPriority w:val="0"/>
    <w:rPr>
      <w:rFonts w:hint="eastAsia" w:ascii="宋体" w:hAnsi="宋体" w:eastAsia="宋体" w:cs="宋体"/>
      <w:color w:val="FF0000"/>
      <w:sz w:val="16"/>
      <w:szCs w:val="16"/>
      <w:u w:val="none"/>
    </w:rPr>
  </w:style>
  <w:style w:type="character" w:customStyle="1" w:styleId="135">
    <w:name w:val="content-white1"/>
    <w:qFormat/>
    <w:uiPriority w:val="0"/>
    <w:rPr>
      <w:rFonts w:ascii="Times New Roman" w:hAnsi="Times New Roman" w:eastAsia="宋体" w:cs="Times New Roman"/>
      <w:color w:val="auto"/>
      <w:sz w:val="18"/>
      <w:u w:val="none"/>
    </w:rPr>
  </w:style>
  <w:style w:type="character" w:customStyle="1" w:styleId="136">
    <w:name w:val="top-det1"/>
    <w:qFormat/>
    <w:uiPriority w:val="0"/>
    <w:rPr>
      <w:rFonts w:ascii="Times New Roman" w:hAnsi="Times New Roman" w:eastAsia="宋体" w:cs="Times New Roman"/>
      <w:b/>
      <w:color w:val="000000"/>
    </w:rPr>
  </w:style>
  <w:style w:type="paragraph" w:customStyle="1" w:styleId="137">
    <w:name w:val="表头样式"/>
    <w:basedOn w:val="1"/>
    <w:qFormat/>
    <w:uiPriority w:val="0"/>
    <w:pPr>
      <w:autoSpaceDE w:val="0"/>
      <w:autoSpaceDN w:val="0"/>
      <w:adjustRightInd w:val="0"/>
      <w:spacing w:line="360" w:lineRule="auto"/>
      <w:jc w:val="left"/>
    </w:pPr>
    <w:rPr>
      <w:rFonts w:ascii="Times New Roman" w:hAnsi="Times New Roman" w:eastAsia="宋体" w:cs="Times New Roman"/>
      <w:b/>
      <w:bCs/>
      <w:kern w:val="0"/>
      <w:sz w:val="21"/>
      <w:szCs w:val="21"/>
    </w:rPr>
  </w:style>
  <w:style w:type="paragraph" w:customStyle="1" w:styleId="138">
    <w:name w:val="附录4"/>
    <w:basedOn w:val="1"/>
    <w:next w:val="1"/>
    <w:qFormat/>
    <w:uiPriority w:val="0"/>
    <w:pPr>
      <w:widowControl/>
      <w:tabs>
        <w:tab w:val="left" w:pos="1134"/>
      </w:tabs>
      <w:spacing w:line="300" w:lineRule="auto"/>
      <w:ind w:left="1361" w:hanging="1361"/>
      <w:outlineLvl w:val="3"/>
    </w:pPr>
    <w:rPr>
      <w:rFonts w:ascii="Arial" w:hAnsi="Arial" w:eastAsia="黑体" w:cs="Arial"/>
      <w:kern w:val="0"/>
    </w:rPr>
  </w:style>
  <w:style w:type="paragraph" w:customStyle="1" w:styleId="139">
    <w:name w:val="表头文本"/>
    <w:qFormat/>
    <w:uiPriority w:val="0"/>
    <w:pPr>
      <w:jc w:val="center"/>
    </w:pPr>
    <w:rPr>
      <w:rFonts w:ascii="Arial" w:hAnsi="Arial" w:eastAsia="宋体" w:cs="Arial"/>
      <w:b/>
      <w:bCs/>
      <w:sz w:val="21"/>
      <w:szCs w:val="21"/>
      <w:lang w:val="en-US" w:eastAsia="zh-CN" w:bidi="ar-SA"/>
    </w:rPr>
  </w:style>
  <w:style w:type="paragraph" w:customStyle="1" w:styleId="140">
    <w:name w:val="标题5"/>
    <w:basedOn w:val="1"/>
    <w:qFormat/>
    <w:uiPriority w:val="0"/>
    <w:pPr>
      <w:tabs>
        <w:tab w:val="left" w:pos="0"/>
      </w:tabs>
      <w:autoSpaceDE w:val="0"/>
      <w:autoSpaceDN w:val="0"/>
      <w:adjustRightInd w:val="0"/>
      <w:snapToGrid w:val="0"/>
      <w:spacing w:line="320" w:lineRule="atLeast"/>
    </w:pPr>
    <w:rPr>
      <w:rFonts w:ascii="宋体" w:hAnsi="Times New Roman" w:eastAsia="宋体" w:cs="宋体"/>
      <w:kern w:val="0"/>
      <w:sz w:val="21"/>
      <w:szCs w:val="21"/>
    </w:rPr>
  </w:style>
  <w:style w:type="paragraph" w:customStyle="1" w:styleId="141">
    <w:name w:val="样式 正文缩进正文（首行缩进两字）表正文正文非缩进特点标题4段1 + 首行缩进:  2 字符"/>
    <w:basedOn w:val="16"/>
    <w:qFormat/>
    <w:uiPriority w:val="0"/>
    <w:pPr>
      <w:ind w:firstLine="480" w:firstLineChars="200"/>
    </w:pPr>
    <w:rPr>
      <w:rFonts w:ascii="Times New Roman" w:hAnsi="Times New Roman" w:eastAsia="宋体" w:cs="Times New Roman"/>
    </w:rPr>
  </w:style>
  <w:style w:type="paragraph" w:customStyle="1" w:styleId="142">
    <w:name w:val="文档正文 Char Char Char Char Char"/>
    <w:basedOn w:val="1"/>
    <w:qFormat/>
    <w:uiPriority w:val="0"/>
    <w:pPr>
      <w:adjustRightInd w:val="0"/>
      <w:spacing w:line="440" w:lineRule="exact"/>
      <w:ind w:firstLine="420"/>
      <w:textAlignment w:val="baseline"/>
    </w:pPr>
    <w:rPr>
      <w:rFonts w:ascii="Arial Narrow" w:hAnsi="Arial Narrow" w:eastAsia="宋体" w:cs="Arial Narrow"/>
      <w:kern w:val="0"/>
      <w:sz w:val="24"/>
      <w:szCs w:val="24"/>
    </w:rPr>
  </w:style>
  <w:style w:type="paragraph" w:customStyle="1" w:styleId="143">
    <w:name w:val="List Paragraph1"/>
    <w:basedOn w:val="1"/>
    <w:qFormat/>
    <w:uiPriority w:val="0"/>
    <w:pPr>
      <w:ind w:firstLine="420" w:firstLineChars="200"/>
    </w:pPr>
    <w:rPr>
      <w:rFonts w:ascii="Times New Roman" w:hAnsi="Times New Roman" w:eastAsia="宋体" w:cs="Times New Roman"/>
    </w:rPr>
  </w:style>
  <w:style w:type="paragraph" w:customStyle="1" w:styleId="144">
    <w:name w:val="Note"/>
    <w:basedOn w:val="1"/>
    <w:qFormat/>
    <w:uiPriority w:val="0"/>
    <w:pPr>
      <w:pBdr>
        <w:top w:val="single" w:color="auto" w:sz="12" w:space="3"/>
        <w:bottom w:val="single" w:color="auto" w:sz="12" w:space="3"/>
      </w:pBdr>
      <w:spacing w:line="360" w:lineRule="auto"/>
    </w:pPr>
    <w:rPr>
      <w:rFonts w:ascii="Times New Roman" w:hAnsi="Times New Roman" w:eastAsia="宋体" w:cs="Times New Roman"/>
      <w:sz w:val="24"/>
      <w:szCs w:val="24"/>
    </w:rPr>
  </w:style>
  <w:style w:type="paragraph" w:customStyle="1" w:styleId="145">
    <w:name w:val="表号"/>
    <w:basedOn w:val="1"/>
    <w:qFormat/>
    <w:uiPriority w:val="0"/>
    <w:pPr>
      <w:tabs>
        <w:tab w:val="left" w:pos="648"/>
      </w:tabs>
      <w:autoSpaceDE w:val="0"/>
      <w:autoSpaceDN w:val="0"/>
      <w:adjustRightInd w:val="0"/>
      <w:spacing w:before="210" w:after="210"/>
      <w:ind w:left="425" w:hanging="137"/>
      <w:jc w:val="center"/>
    </w:pPr>
    <w:rPr>
      <w:rFonts w:ascii="Times New Roman" w:hAnsi="Times New Roman" w:eastAsia="宋体" w:cs="Times New Roman"/>
      <w:kern w:val="0"/>
      <w:sz w:val="21"/>
      <w:szCs w:val="21"/>
      <w:lang w:eastAsia="en-US"/>
    </w:rPr>
  </w:style>
  <w:style w:type="paragraph" w:customStyle="1" w:styleId="146">
    <w:name w:val="样式 宋体 五号 行距: 单倍行距"/>
    <w:basedOn w:val="1"/>
    <w:qFormat/>
    <w:uiPriority w:val="0"/>
    <w:pPr>
      <w:adjustRightInd w:val="0"/>
      <w:jc w:val="left"/>
    </w:pPr>
    <w:rPr>
      <w:rFonts w:ascii="宋体" w:hAnsi="宋体" w:eastAsia="宋体" w:cs="宋体"/>
      <w:kern w:val="0"/>
      <w:sz w:val="21"/>
      <w:szCs w:val="21"/>
    </w:rPr>
  </w:style>
  <w:style w:type="paragraph" w:customStyle="1" w:styleId="147">
    <w:name w:val="_Style 239"/>
    <w:basedOn w:val="1"/>
    <w:next w:val="1"/>
    <w:qFormat/>
    <w:uiPriority w:val="0"/>
    <w:pPr>
      <w:pBdr>
        <w:bottom w:val="single" w:color="auto" w:sz="6" w:space="1"/>
      </w:pBdr>
      <w:jc w:val="center"/>
    </w:pPr>
    <w:rPr>
      <w:rFonts w:ascii="Arial" w:hAnsi="Times New Roman" w:eastAsia="宋体" w:cs="Arial"/>
      <w:vanish/>
      <w:sz w:val="16"/>
      <w:szCs w:val="16"/>
    </w:rPr>
  </w:style>
  <w:style w:type="paragraph" w:customStyle="1" w:styleId="148">
    <w:name w:val="Char Char1"/>
    <w:basedOn w:val="1"/>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149">
    <w:name w:val="Char Char Char1 Char Char Char Char Char Char Char Char Char Char Char Char Char"/>
    <w:basedOn w:val="1"/>
    <w:qFormat/>
    <w:uiPriority w:val="0"/>
    <w:pPr>
      <w:widowControl/>
      <w:spacing w:after="160" w:line="240" w:lineRule="exact"/>
      <w:jc w:val="left"/>
    </w:pPr>
    <w:rPr>
      <w:rFonts w:ascii="Verdana" w:hAnsi="Verdana" w:eastAsia="宋体" w:cs="Verdana"/>
      <w:kern w:val="0"/>
      <w:sz w:val="18"/>
      <w:szCs w:val="18"/>
      <w:lang w:eastAsia="en-US"/>
    </w:rPr>
  </w:style>
  <w:style w:type="paragraph" w:customStyle="1" w:styleId="150">
    <w:name w:val="Item List"/>
    <w:qFormat/>
    <w:uiPriority w:val="0"/>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151">
    <w:name w:val="列出段落1"/>
    <w:basedOn w:val="1"/>
    <w:qFormat/>
    <w:uiPriority w:val="0"/>
    <w:pPr>
      <w:ind w:firstLine="420" w:firstLineChars="200"/>
    </w:pPr>
    <w:rPr>
      <w:rFonts w:ascii="Times New Roman" w:hAnsi="Times New Roman" w:eastAsia="宋体" w:cs="Times New Roman"/>
      <w:szCs w:val="20"/>
    </w:rPr>
  </w:style>
  <w:style w:type="paragraph" w:customStyle="1" w:styleId="152">
    <w:name w:val="_"/>
    <w:basedOn w:val="1"/>
    <w:qFormat/>
    <w:uiPriority w:val="0"/>
    <w:pPr>
      <w:adjustRightInd w:val="0"/>
      <w:spacing w:line="360" w:lineRule="auto"/>
      <w:ind w:left="480" w:firstLine="200" w:firstLineChars="200"/>
      <w:textAlignment w:val="baseline"/>
    </w:pPr>
    <w:rPr>
      <w:rFonts w:ascii="Times New Roman" w:hAnsi="Times New Roman" w:eastAsia="宋体" w:cs="Times New Roman"/>
      <w:kern w:val="0"/>
      <w:sz w:val="24"/>
      <w:szCs w:val="24"/>
    </w:rPr>
  </w:style>
  <w:style w:type="paragraph" w:customStyle="1" w:styleId="153">
    <w:name w:val="Style Heading 3h3Heading 3 - oldLevel 3 HeadH3level_3PIM 3se..."/>
    <w:basedOn w:val="5"/>
    <w:qFormat/>
    <w:uiPriority w:val="0"/>
    <w:pPr>
      <w:tabs>
        <w:tab w:val="left" w:pos="709"/>
        <w:tab w:val="left" w:pos="1620"/>
      </w:tabs>
      <w:ind w:left="1620" w:hanging="360"/>
    </w:pPr>
    <w:rPr>
      <w:rFonts w:ascii="Times New Roman" w:hAnsi="Times New Roman" w:eastAsia="宋体" w:cs="Times New Roman"/>
    </w:rPr>
  </w:style>
  <w:style w:type="paragraph" w:customStyle="1" w:styleId="154">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56">
    <w:name w:val="默认段落字体 Para Char Char Char Char Char Char Char"/>
    <w:basedOn w:val="1"/>
    <w:qFormat/>
    <w:uiPriority w:val="0"/>
    <w:rPr>
      <w:rFonts w:ascii="Tahoma" w:hAnsi="Tahoma" w:eastAsia="宋体" w:cs="Tahoma"/>
      <w:sz w:val="24"/>
      <w:szCs w:val="24"/>
    </w:rPr>
  </w:style>
  <w:style w:type="paragraph" w:customStyle="1" w:styleId="157">
    <w:name w:val="默认段落字体 Para Char Char Char Char Char Char Char Char Char1 Char Char Char Char"/>
    <w:basedOn w:val="1"/>
    <w:qFormat/>
    <w:uiPriority w:val="0"/>
    <w:rPr>
      <w:rFonts w:ascii="Tahoma" w:hAnsi="Tahoma" w:eastAsia="宋体" w:cs="Tahoma"/>
      <w:sz w:val="24"/>
      <w:szCs w:val="24"/>
    </w:rPr>
  </w:style>
  <w:style w:type="paragraph" w:customStyle="1" w:styleId="158">
    <w:name w:val="正文字缩2字"/>
    <w:basedOn w:val="1"/>
    <w:qFormat/>
    <w:uiPriority w:val="0"/>
    <w:pPr>
      <w:spacing w:before="60" w:after="60" w:line="360" w:lineRule="auto"/>
      <w:ind w:left="200" w:leftChars="200" w:firstLine="200" w:firstLineChars="200"/>
    </w:pPr>
    <w:rPr>
      <w:rFonts w:ascii="Times New Roman" w:hAnsi="Times New Roman" w:eastAsia="宋体" w:cs="Times New Roman"/>
      <w:sz w:val="24"/>
      <w:szCs w:val="24"/>
    </w:rPr>
  </w:style>
  <w:style w:type="paragraph" w:customStyle="1" w:styleId="159">
    <w:name w:val="Char1 Char Char Char"/>
    <w:basedOn w:val="1"/>
    <w:qFormat/>
    <w:uiPriority w:val="0"/>
    <w:rPr>
      <w:rFonts w:ascii="Tahoma" w:hAnsi="Tahoma" w:eastAsia="宋体" w:cs="Tahoma"/>
      <w:sz w:val="30"/>
      <w:szCs w:val="30"/>
    </w:rPr>
  </w:style>
  <w:style w:type="paragraph" w:customStyle="1" w:styleId="160">
    <w:name w:val="缺省文本"/>
    <w:basedOn w:val="1"/>
    <w:qFormat/>
    <w:uiPriority w:val="0"/>
    <w:pPr>
      <w:tabs>
        <w:tab w:val="left" w:pos="1260"/>
      </w:tabs>
      <w:autoSpaceDE w:val="0"/>
      <w:autoSpaceDN w:val="0"/>
      <w:adjustRightInd w:val="0"/>
      <w:spacing w:line="360" w:lineRule="auto"/>
      <w:jc w:val="left"/>
    </w:pPr>
    <w:rPr>
      <w:rFonts w:ascii="Times New Roman" w:hAnsi="Times New Roman" w:eastAsia="宋体" w:cs="Times New Roman"/>
      <w:kern w:val="0"/>
      <w:sz w:val="24"/>
      <w:szCs w:val="24"/>
    </w:rPr>
  </w:style>
  <w:style w:type="paragraph" w:customStyle="1" w:styleId="161">
    <w:name w:val="00"/>
    <w:basedOn w:val="1"/>
    <w:qFormat/>
    <w:uiPriority w:val="0"/>
    <w:pPr>
      <w:autoSpaceDE w:val="0"/>
      <w:autoSpaceDN w:val="0"/>
      <w:adjustRightInd w:val="0"/>
      <w:jc w:val="left"/>
    </w:pPr>
    <w:rPr>
      <w:rFonts w:ascii="黑体" w:hAnsi="Times New Roman" w:eastAsia="黑体" w:cs="黑体"/>
      <w:b/>
      <w:bCs/>
      <w:kern w:val="0"/>
      <w:sz w:val="20"/>
      <w:szCs w:val="20"/>
    </w:rPr>
  </w:style>
  <w:style w:type="paragraph" w:customStyle="1" w:styleId="162">
    <w:name w:val="_Style 240"/>
    <w:basedOn w:val="1"/>
    <w:next w:val="1"/>
    <w:qFormat/>
    <w:uiPriority w:val="0"/>
    <w:pPr>
      <w:pBdr>
        <w:top w:val="single" w:color="auto" w:sz="6" w:space="1"/>
      </w:pBdr>
      <w:jc w:val="center"/>
    </w:pPr>
    <w:rPr>
      <w:rFonts w:ascii="Arial" w:hAnsi="Times New Roman" w:eastAsia="宋体" w:cs="Arial"/>
      <w:vanish/>
      <w:sz w:val="16"/>
      <w:szCs w:val="16"/>
    </w:rPr>
  </w:style>
  <w:style w:type="paragraph" w:customStyle="1" w:styleId="163">
    <w:name w:val="CSS1级正文 Char"/>
    <w:basedOn w:val="2"/>
    <w:qFormat/>
    <w:uiPriority w:val="0"/>
    <w:pPr>
      <w:adjustRightInd w:val="0"/>
      <w:snapToGrid w:val="0"/>
      <w:spacing w:after="0" w:line="360" w:lineRule="auto"/>
      <w:ind w:firstLine="480"/>
    </w:pPr>
    <w:rPr>
      <w:rFonts w:ascii="Times New Roman" w:hAnsi="Times New Roman" w:eastAsia="宋体" w:cs="Times New Roman"/>
      <w:kern w:val="0"/>
      <w:sz w:val="24"/>
      <w:szCs w:val="24"/>
    </w:rPr>
  </w:style>
  <w:style w:type="paragraph" w:customStyle="1" w:styleId="164">
    <w:name w:val="附录2"/>
    <w:basedOn w:val="1"/>
    <w:next w:val="1"/>
    <w:qFormat/>
    <w:uiPriority w:val="0"/>
    <w:pPr>
      <w:tabs>
        <w:tab w:val="left" w:pos="420"/>
        <w:tab w:val="left" w:pos="624"/>
      </w:tabs>
      <w:ind w:left="420" w:hanging="420"/>
      <w:outlineLvl w:val="1"/>
    </w:pPr>
    <w:rPr>
      <w:rFonts w:ascii="黑体" w:hAnsi="黑体" w:eastAsia="黑体" w:cs="黑体"/>
      <w:b/>
      <w:bCs/>
      <w:sz w:val="32"/>
      <w:szCs w:val="32"/>
    </w:rPr>
  </w:style>
  <w:style w:type="paragraph" w:customStyle="1" w:styleId="165">
    <w:name w:val="Char Char Char Char Char Char1 Char"/>
    <w:basedOn w:val="1"/>
    <w:qFormat/>
    <w:uiPriority w:val="0"/>
    <w:pPr>
      <w:widowControl/>
      <w:spacing w:after="160" w:line="240" w:lineRule="exact"/>
      <w:jc w:val="left"/>
    </w:pPr>
    <w:rPr>
      <w:rFonts w:ascii="Verdana" w:hAnsi="Verdana" w:eastAsia="宋体" w:cs="Verdana"/>
      <w:kern w:val="0"/>
      <w:sz w:val="21"/>
      <w:szCs w:val="21"/>
      <w:lang w:eastAsia="en-US"/>
    </w:rPr>
  </w:style>
  <w:style w:type="paragraph" w:customStyle="1" w:styleId="166">
    <w:name w:val="È¡ÀÊ¡ÎÄ¡À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4"/>
    </w:rPr>
  </w:style>
  <w:style w:type="paragraph" w:customStyle="1" w:styleId="167">
    <w:name w:val="样式1"/>
    <w:basedOn w:val="6"/>
    <w:qFormat/>
    <w:uiPriority w:val="0"/>
    <w:pPr>
      <w:tabs>
        <w:tab w:val="left" w:pos="720"/>
      </w:tabs>
      <w:spacing w:before="500" w:after="260" w:line="560" w:lineRule="atLeast"/>
      <w:ind w:left="420" w:hanging="420"/>
    </w:pPr>
    <w:rPr>
      <w:rFonts w:ascii="Times New Roman" w:hAnsi="Times New Roman" w:eastAsia="宋体" w:cs="Times New Roman"/>
    </w:rPr>
  </w:style>
  <w:style w:type="paragraph" w:customStyle="1" w:styleId="16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169">
    <w:name w:val="AA Numbering"/>
    <w:basedOn w:val="1"/>
    <w:qFormat/>
    <w:uiPriority w:val="0"/>
    <w:pPr>
      <w:widowControl/>
      <w:tabs>
        <w:tab w:val="left" w:pos="1134"/>
        <w:tab w:val="left" w:pos="1280"/>
      </w:tabs>
      <w:adjustRightInd w:val="0"/>
      <w:snapToGrid w:val="0"/>
      <w:spacing w:line="280" w:lineRule="atLeast"/>
      <w:jc w:val="left"/>
    </w:pPr>
    <w:rPr>
      <w:rFonts w:ascii="Times New Roman" w:hAnsi="Times New Roman" w:eastAsia="PMingLiUfalt" w:cs="Times New Roman"/>
      <w:kern w:val="0"/>
      <w:sz w:val="24"/>
      <w:szCs w:val="24"/>
      <w:lang w:eastAsia="zh-TW"/>
    </w:rPr>
  </w:style>
  <w:style w:type="paragraph" w:customStyle="1" w:styleId="170">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171">
    <w:name w:val="正文1"/>
    <w:basedOn w:val="1"/>
    <w:qFormat/>
    <w:uiPriority w:val="0"/>
    <w:pPr>
      <w:spacing w:line="300" w:lineRule="auto"/>
      <w:ind w:firstLine="200" w:firstLineChars="200"/>
    </w:pPr>
    <w:rPr>
      <w:rFonts w:ascii="Times New Roman" w:hAnsi="Times New Roman" w:eastAsia="宋体" w:cs="Times New Roman"/>
      <w:sz w:val="24"/>
      <w:szCs w:val="24"/>
    </w:rPr>
  </w:style>
  <w:style w:type="paragraph" w:customStyle="1" w:styleId="172">
    <w:name w:val="Char Char1 Char"/>
    <w:basedOn w:val="1"/>
    <w:qFormat/>
    <w:uiPriority w:val="0"/>
    <w:rPr>
      <w:rFonts w:ascii="Tahoma" w:hAnsi="Tahoma" w:eastAsia="宋体" w:cs="Tahoma"/>
      <w:sz w:val="24"/>
      <w:szCs w:val="24"/>
    </w:rPr>
  </w:style>
  <w:style w:type="paragraph" w:customStyle="1" w:styleId="173">
    <w:name w:val="Heading4"/>
    <w:basedOn w:val="1"/>
    <w:next w:val="1"/>
    <w:qFormat/>
    <w:uiPriority w:val="0"/>
    <w:pPr>
      <w:spacing w:before="100" w:beforeAutospacing="1" w:after="100" w:afterAutospacing="1"/>
      <w:jc w:val="left"/>
    </w:pPr>
    <w:rPr>
      <w:rFonts w:ascii="宋体" w:hAnsi="宋体" w:eastAsia="宋体" w:cs="Times New Roman"/>
      <w:b/>
      <w:kern w:val="0"/>
      <w:sz w:val="24"/>
      <w:szCs w:val="24"/>
    </w:rPr>
  </w:style>
  <w:style w:type="paragraph" w:customStyle="1" w:styleId="174">
    <w:name w:val="NormalIndent"/>
    <w:basedOn w:val="1"/>
    <w:next w:val="173"/>
    <w:qFormat/>
    <w:uiPriority w:val="0"/>
    <w:pPr>
      <w:ind w:firstLine="420" w:firstLineChars="200"/>
    </w:pPr>
    <w:rPr>
      <w:rFonts w:ascii="Times New Roman" w:hAnsi="Times New Roman" w:eastAsia="宋体" w:cs="Times New Roman"/>
    </w:rPr>
  </w:style>
  <w:style w:type="paragraph" w:customStyle="1" w:styleId="175">
    <w:name w:val="正文（首行不缩进）"/>
    <w:basedOn w:val="1"/>
    <w:qFormat/>
    <w:uiPriority w:val="0"/>
    <w:pPr>
      <w:autoSpaceDE w:val="0"/>
      <w:autoSpaceDN w:val="0"/>
      <w:adjustRightInd w:val="0"/>
      <w:spacing w:line="360" w:lineRule="auto"/>
      <w:jc w:val="left"/>
    </w:pPr>
    <w:rPr>
      <w:rFonts w:ascii="Times New Roman" w:hAnsi="Times New Roman" w:eastAsia="宋体" w:cs="Times New Roman"/>
      <w:kern w:val="0"/>
      <w:sz w:val="21"/>
      <w:szCs w:val="21"/>
    </w:rPr>
  </w:style>
  <w:style w:type="paragraph" w:customStyle="1" w:styleId="176">
    <w:name w:val="Char2 Char Char Char Char Char Char"/>
    <w:basedOn w:val="1"/>
    <w:qFormat/>
    <w:uiPriority w:val="0"/>
    <w:rPr>
      <w:rFonts w:ascii="仿宋_GB2312" w:hAnsi="Times New Roman" w:eastAsia="宋体" w:cs="仿宋_GB2312"/>
      <w:b/>
      <w:bCs/>
      <w:sz w:val="30"/>
      <w:szCs w:val="30"/>
    </w:rPr>
  </w:style>
  <w:style w:type="paragraph" w:customStyle="1" w:styleId="177">
    <w:name w:val="段 Char"/>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78">
    <w:name w:val="段落正文"/>
    <w:basedOn w:val="1"/>
    <w:qFormat/>
    <w:uiPriority w:val="0"/>
    <w:pPr>
      <w:spacing w:beforeLines="50" w:line="360" w:lineRule="auto"/>
      <w:ind w:firstLine="200" w:firstLineChars="200"/>
    </w:pPr>
    <w:rPr>
      <w:rFonts w:ascii="Times New Roman" w:hAnsi="Times New Roman" w:eastAsia="宋体" w:cs="Times New Roman"/>
      <w:spacing w:val="2"/>
      <w:sz w:val="24"/>
      <w:szCs w:val="24"/>
    </w:rPr>
  </w:style>
  <w:style w:type="paragraph" w:customStyle="1" w:styleId="179">
    <w:name w:val="二级列表"/>
    <w:basedOn w:val="178"/>
    <w:next w:val="178"/>
    <w:qFormat/>
    <w:uiPriority w:val="0"/>
    <w:pPr>
      <w:tabs>
        <w:tab w:val="left" w:pos="2120"/>
      </w:tabs>
      <w:ind w:firstLine="0" w:firstLineChars="0"/>
    </w:pPr>
    <w:rPr>
      <w:rFonts w:ascii="Times New Roman" w:hAnsi="Times New Roman" w:eastAsia="宋体" w:cs="Times New Roman"/>
      <w:b/>
      <w:bCs/>
    </w:rPr>
  </w:style>
  <w:style w:type="paragraph" w:customStyle="1" w:styleId="180">
    <w:name w:val="文档正文"/>
    <w:basedOn w:val="1"/>
    <w:qFormat/>
    <w:uiPriority w:val="0"/>
    <w:pPr>
      <w:adjustRightInd w:val="0"/>
      <w:snapToGrid w:val="0"/>
      <w:spacing w:line="440" w:lineRule="exact"/>
      <w:ind w:firstLine="567"/>
      <w:textAlignment w:val="baseline"/>
    </w:pPr>
    <w:rPr>
      <w:rFonts w:ascii="Arial Narrow" w:hAnsi="Arial Narrow" w:eastAsia="宋体" w:cs="Arial Narrow"/>
      <w:kern w:val="0"/>
      <w:sz w:val="24"/>
      <w:szCs w:val="24"/>
    </w:rPr>
  </w:style>
  <w:style w:type="paragraph" w:customStyle="1" w:styleId="181">
    <w:name w:val="编号正文"/>
    <w:basedOn w:val="180"/>
    <w:qFormat/>
    <w:uiPriority w:val="0"/>
    <w:pPr>
      <w:snapToGrid/>
      <w:spacing w:line="360" w:lineRule="auto"/>
      <w:ind w:left="1407" w:hanging="1047"/>
      <w:jc w:val="left"/>
    </w:pPr>
    <w:rPr>
      <w:rFonts w:ascii="Times New Roman" w:hAnsi="Times New Roman" w:eastAsia="仿宋_GB2312" w:cs="Times New Roman"/>
    </w:rPr>
  </w:style>
  <w:style w:type="paragraph" w:customStyle="1" w:styleId="182">
    <w:name w:val="标准正文"/>
    <w:basedOn w:val="23"/>
    <w:qFormat/>
    <w:uiPriority w:val="0"/>
    <w:pPr>
      <w:spacing w:before="60" w:after="60" w:line="360" w:lineRule="auto"/>
      <w:ind w:left="0" w:firstLine="482"/>
    </w:pPr>
    <w:rPr>
      <w:rFonts w:ascii="Arial" w:hAnsi="Arial" w:eastAsia="宋体" w:cs="Arial"/>
      <w:sz w:val="24"/>
      <w:szCs w:val="24"/>
    </w:rPr>
  </w:style>
  <w:style w:type="paragraph" w:customStyle="1" w:styleId="18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4">
    <w:name w:val="Item Step in Tabl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185">
    <w:name w:val="Revision"/>
    <w:qFormat/>
    <w:uiPriority w:val="0"/>
    <w:rPr>
      <w:rFonts w:ascii="Times New Roman" w:hAnsi="Times New Roman" w:eastAsia="宋体" w:cs="Times New Roman"/>
      <w:kern w:val="2"/>
      <w:sz w:val="28"/>
      <w:szCs w:val="28"/>
      <w:lang w:val="en-US" w:eastAsia="zh-CN" w:bidi="ar-SA"/>
    </w:rPr>
  </w:style>
  <w:style w:type="paragraph" w:customStyle="1" w:styleId="186">
    <w:name w:val="关键词"/>
    <w:basedOn w:val="1"/>
    <w:next w:val="1"/>
    <w:qFormat/>
    <w:uiPriority w:val="0"/>
    <w:pPr>
      <w:spacing w:line="360" w:lineRule="auto"/>
    </w:pPr>
    <w:rPr>
      <w:rFonts w:ascii="Times New Roman" w:hAnsi="Times New Roman" w:eastAsia="黑体" w:cs="Times New Roman"/>
      <w:sz w:val="20"/>
      <w:szCs w:val="20"/>
    </w:rPr>
  </w:style>
  <w:style w:type="paragraph" w:customStyle="1" w:styleId="187">
    <w:name w:val="摘要"/>
    <w:basedOn w:val="1"/>
    <w:next w:val="4"/>
    <w:qFormat/>
    <w:uiPriority w:val="0"/>
    <w:pPr>
      <w:spacing w:line="360" w:lineRule="auto"/>
    </w:pPr>
    <w:rPr>
      <w:rFonts w:ascii="Times New Roman" w:hAnsi="Times New Roman" w:eastAsia="黑体" w:cs="Times New Roman"/>
      <w:sz w:val="20"/>
      <w:szCs w:val="20"/>
    </w:rPr>
  </w:style>
  <w:style w:type="paragraph" w:customStyle="1" w:styleId="188">
    <w:name w:val="af"/>
    <w:basedOn w:val="1"/>
    <w:qFormat/>
    <w:uiPriority w:val="0"/>
    <w:pPr>
      <w:widowControl/>
      <w:spacing w:line="300" w:lineRule="atLeast"/>
      <w:jc w:val="left"/>
    </w:pPr>
    <w:rPr>
      <w:rFonts w:ascii="宋体" w:hAnsi="宋体" w:eastAsia="宋体" w:cs="宋体"/>
      <w:kern w:val="0"/>
      <w:sz w:val="18"/>
      <w:szCs w:val="18"/>
    </w:rPr>
  </w:style>
  <w:style w:type="paragraph" w:customStyle="1" w:styleId="189">
    <w:name w:val="_Style 6"/>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9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91">
    <w:name w:val="Char1"/>
    <w:basedOn w:val="1"/>
    <w:qFormat/>
    <w:uiPriority w:val="0"/>
    <w:rPr>
      <w:rFonts w:ascii="Times New Roman" w:hAnsi="Times New Roman" w:eastAsia="宋体" w:cs="Times New Roman"/>
      <w:sz w:val="21"/>
      <w:szCs w:val="21"/>
    </w:rPr>
  </w:style>
  <w:style w:type="paragraph" w:customStyle="1" w:styleId="192">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eastAsia="宋体" w:cs="Arial"/>
      <w:b/>
      <w:bCs/>
      <w:sz w:val="24"/>
      <w:szCs w:val="24"/>
    </w:rPr>
  </w:style>
  <w:style w:type="paragraph" w:customStyle="1" w:styleId="193">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cs="宋体"/>
      <w:spacing w:val="6"/>
      <w:sz w:val="28"/>
      <w:szCs w:val="28"/>
      <w:u w:val="single"/>
    </w:rPr>
  </w:style>
  <w:style w:type="paragraph" w:customStyle="1" w:styleId="194">
    <w:name w:val="内容标题"/>
    <w:basedOn w:val="18"/>
    <w:qFormat/>
    <w:uiPriority w:val="0"/>
    <w:rPr>
      <w:rFonts w:ascii="Tahoma" w:hAnsi="Tahoma" w:eastAsia="宋体" w:cs="Tahoma"/>
      <w:sz w:val="24"/>
      <w:szCs w:val="24"/>
    </w:rPr>
  </w:style>
  <w:style w:type="paragraph" w:customStyle="1" w:styleId="195">
    <w:name w:val="样式 样式 首行缩进:  2 字符 + 首行缩进:  2 字符"/>
    <w:basedOn w:val="1"/>
    <w:qFormat/>
    <w:uiPriority w:val="0"/>
    <w:pPr>
      <w:spacing w:line="360" w:lineRule="auto"/>
      <w:ind w:firstLine="480" w:firstLineChars="200"/>
    </w:pPr>
    <w:rPr>
      <w:rFonts w:ascii="Times New Roman" w:hAnsi="Times New Roman" w:eastAsia="宋体" w:cs="Times New Roman"/>
      <w:sz w:val="24"/>
      <w:szCs w:val="24"/>
    </w:rPr>
  </w:style>
  <w:style w:type="paragraph" w:customStyle="1" w:styleId="19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eastAsia="宋体" w:cs="Times New Roman"/>
      <w:b/>
      <w:bCs/>
      <w:i/>
      <w:iCs/>
      <w:sz w:val="24"/>
      <w:szCs w:val="24"/>
    </w:rPr>
  </w:style>
  <w:style w:type="paragraph" w:customStyle="1" w:styleId="197">
    <w:name w:val="简单回函地址"/>
    <w:basedOn w:val="1"/>
    <w:qFormat/>
    <w:uiPriority w:val="0"/>
    <w:pPr>
      <w:adjustRightInd w:val="0"/>
      <w:snapToGrid w:val="0"/>
      <w:spacing w:line="360" w:lineRule="auto"/>
    </w:pPr>
    <w:rPr>
      <w:rFonts w:ascii="Times New Roman" w:hAnsi="Times New Roman" w:eastAsia="宋体" w:cs="Times New Roman"/>
      <w:sz w:val="24"/>
      <w:szCs w:val="24"/>
    </w:rPr>
  </w:style>
  <w:style w:type="paragraph" w:customStyle="1" w:styleId="198">
    <w:name w:val="样式2"/>
    <w:basedOn w:val="6"/>
    <w:qFormat/>
    <w:uiPriority w:val="0"/>
    <w:pPr>
      <w:tabs>
        <w:tab w:val="left" w:pos="720"/>
      </w:tabs>
      <w:spacing w:before="560" w:line="400" w:lineRule="exact"/>
      <w:ind w:left="420" w:hanging="420"/>
      <w:jc w:val="center"/>
      <w:outlineLvl w:val="0"/>
    </w:pPr>
    <w:rPr>
      <w:rFonts w:ascii="Times New Roman" w:hAnsi="Times New Roman" w:eastAsia="宋体" w:cs="Times New Roman"/>
      <w:b w:val="0"/>
      <w:sz w:val="44"/>
      <w:szCs w:val="44"/>
    </w:rPr>
  </w:style>
  <w:style w:type="paragraph" w:customStyle="1" w:styleId="199">
    <w:name w:val="List Paragraph"/>
    <w:basedOn w:val="1"/>
    <w:qFormat/>
    <w:uiPriority w:val="0"/>
    <w:pPr>
      <w:ind w:firstLine="420" w:firstLineChars="200"/>
    </w:pPr>
    <w:rPr>
      <w:rFonts w:ascii="Times New Roman" w:hAnsi="Times New Roman" w:eastAsia="宋体" w:cs="Times New Roman"/>
    </w:rPr>
  </w:style>
  <w:style w:type="paragraph" w:customStyle="1" w:styleId="200">
    <w:name w:val="修订2"/>
    <w:qFormat/>
    <w:uiPriority w:val="0"/>
    <w:rPr>
      <w:rFonts w:ascii="Times New Roman" w:hAnsi="Times New Roman" w:eastAsia="宋体" w:cs="Times New Roman"/>
      <w:kern w:val="2"/>
      <w:sz w:val="28"/>
      <w:szCs w:val="28"/>
      <w:lang w:val="en-US" w:eastAsia="zh-CN" w:bidi="ar-SA"/>
    </w:rPr>
  </w:style>
  <w:style w:type="paragraph" w:customStyle="1" w:styleId="201">
    <w:name w:val="标题3——2"/>
    <w:basedOn w:val="5"/>
    <w:next w:val="56"/>
    <w:qFormat/>
    <w:uiPriority w:val="0"/>
    <w:pPr>
      <w:tabs>
        <w:tab w:val="left" w:pos="1280"/>
        <w:tab w:val="right" w:leader="dot" w:pos="8777"/>
      </w:tabs>
      <w:spacing w:beforeLines="100" w:after="0" w:line="240" w:lineRule="auto"/>
      <w:ind w:left="851" w:hanging="851"/>
      <w:outlineLvl w:val="9"/>
    </w:pPr>
    <w:rPr>
      <w:rFonts w:ascii="黑体" w:hAnsi="宋体" w:eastAsia="黑体" w:cs="黑体"/>
      <w:sz w:val="30"/>
      <w:szCs w:val="30"/>
    </w:rPr>
  </w:style>
  <w:style w:type="paragraph" w:customStyle="1" w:styleId="202">
    <w:name w:val="表格文本"/>
    <w:qFormat/>
    <w:uiPriority w:val="0"/>
    <w:pPr>
      <w:tabs>
        <w:tab w:val="decimal" w:pos="0"/>
      </w:tabs>
    </w:pPr>
    <w:rPr>
      <w:rFonts w:ascii="Arial" w:hAnsi="Arial" w:eastAsia="宋体" w:cs="Arial"/>
      <w:sz w:val="21"/>
      <w:szCs w:val="21"/>
      <w:lang w:val="en-US" w:eastAsia="zh-CN" w:bidi="ar-SA"/>
    </w:rPr>
  </w:style>
  <w:style w:type="paragraph" w:customStyle="1" w:styleId="203">
    <w:name w:val="样式 样式 正文首行缩进 2 + 左  0 字符 + 首行缩进:  2.57 字符"/>
    <w:basedOn w:val="1"/>
    <w:next w:val="1"/>
    <w:qFormat/>
    <w:uiPriority w:val="0"/>
    <w:pPr>
      <w:adjustRightInd w:val="0"/>
      <w:snapToGrid w:val="0"/>
      <w:spacing w:after="120"/>
      <w:ind w:firstLine="540" w:firstLineChars="257"/>
    </w:pPr>
    <w:rPr>
      <w:rFonts w:ascii="Times New Roman" w:hAnsi="Times New Roman" w:eastAsia="宋体" w:cs="Times New Roman"/>
      <w:sz w:val="21"/>
      <w:szCs w:val="21"/>
    </w:rPr>
  </w:style>
  <w:style w:type="paragraph" w:customStyle="1" w:styleId="204">
    <w:name w:val="Title - Date"/>
    <w:basedOn w:val="54"/>
    <w:next w:val="1"/>
    <w:qFormat/>
    <w:uiPriority w:val="0"/>
    <w:pPr>
      <w:spacing w:before="240" w:after="720"/>
    </w:pPr>
    <w:rPr>
      <w:rFonts w:ascii="Times New Roman" w:hAnsi="Times New Roman" w:eastAsia="宋体" w:cs="Times New Roman"/>
      <w:sz w:val="28"/>
      <w:szCs w:val="28"/>
    </w:rPr>
  </w:style>
  <w:style w:type="paragraph" w:customStyle="1" w:styleId="205">
    <w:name w:val="Char Char Char Char Char Char Char"/>
    <w:basedOn w:val="18"/>
    <w:qFormat/>
    <w:uiPriority w:val="0"/>
    <w:rPr>
      <w:rFonts w:ascii="宋体" w:hAnsi="Tahoma" w:eastAsia="宋体" w:cs="宋体"/>
    </w:rPr>
  </w:style>
  <w:style w:type="paragraph" w:customStyle="1" w:styleId="206">
    <w:name w:val="样式 首行缩进:  0.74 厘米"/>
    <w:basedOn w:val="1"/>
    <w:qFormat/>
    <w:uiPriority w:val="0"/>
    <w:pPr>
      <w:spacing w:line="360" w:lineRule="auto"/>
      <w:ind w:firstLine="420"/>
    </w:pPr>
    <w:rPr>
      <w:rFonts w:ascii="Times New Roman" w:hAnsi="Times New Roman" w:eastAsia="宋体" w:cs="Times New Roman"/>
      <w:sz w:val="24"/>
      <w:szCs w:val="24"/>
    </w:rPr>
  </w:style>
  <w:style w:type="paragraph" w:customStyle="1" w:styleId="207">
    <w:name w:val="正文 + 三号"/>
    <w:basedOn w:val="1"/>
    <w:qFormat/>
    <w:uiPriority w:val="0"/>
    <w:rPr>
      <w:rFonts w:ascii="Times New Roman" w:hAnsi="Times New Roman" w:eastAsia="宋体" w:cs="Times New Roman"/>
      <w:sz w:val="21"/>
      <w:szCs w:val="21"/>
    </w:rPr>
  </w:style>
  <w:style w:type="paragraph" w:customStyle="1" w:styleId="208">
    <w:name w:val="Char Char Char Char Char"/>
    <w:basedOn w:val="1"/>
    <w:qFormat/>
    <w:uiPriority w:val="0"/>
    <w:pPr>
      <w:tabs>
        <w:tab w:val="left" w:pos="425"/>
      </w:tabs>
      <w:ind w:left="1620" w:hanging="360"/>
    </w:pPr>
    <w:rPr>
      <w:rFonts w:ascii="Tahoma" w:hAnsi="Tahoma" w:eastAsia="宋体" w:cs="Tahoma"/>
      <w:sz w:val="24"/>
      <w:szCs w:val="24"/>
    </w:rPr>
  </w:style>
  <w:style w:type="paragraph" w:customStyle="1" w:styleId="209">
    <w:name w:val="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10">
    <w:name w:val="Char Char Char Char"/>
    <w:basedOn w:val="1"/>
    <w:qFormat/>
    <w:uiPriority w:val="0"/>
    <w:pPr>
      <w:pageBreakBefore/>
      <w:widowControl/>
      <w:spacing w:after="160" w:line="240" w:lineRule="exact"/>
      <w:jc w:val="left"/>
    </w:pPr>
    <w:rPr>
      <w:rFonts w:ascii="Verdana" w:hAnsi="Verdana" w:eastAsia="宋体" w:cs="Verdana"/>
      <w:kern w:val="0"/>
      <w:sz w:val="20"/>
      <w:szCs w:val="20"/>
      <w:lang w:eastAsia="en-US"/>
    </w:rPr>
  </w:style>
  <w:style w:type="paragraph" w:customStyle="1" w:styleId="211">
    <w:name w:val="样式 标题 1 + 居中 段前: 6 磅 段后: 6 磅 行距: 1.5 倍行距"/>
    <w:basedOn w:val="3"/>
    <w:qFormat/>
    <w:uiPriority w:val="0"/>
    <w:pPr>
      <w:keepLines/>
      <w:adjustRightInd w:val="0"/>
      <w:spacing w:before="120" w:after="120" w:line="360" w:lineRule="auto"/>
      <w:jc w:val="center"/>
    </w:pPr>
    <w:rPr>
      <w:rFonts w:ascii="Times New Roman" w:hAnsi="Times New Roman" w:eastAsia="宋体" w:cs="Times New Roman"/>
      <w:sz w:val="32"/>
      <w:szCs w:val="32"/>
    </w:rPr>
  </w:style>
  <w:style w:type="paragraph" w:customStyle="1" w:styleId="212">
    <w:name w:val="样式 宋体 五号 两端对齐 行距: 单倍行距"/>
    <w:basedOn w:val="1"/>
    <w:qFormat/>
    <w:uiPriority w:val="0"/>
    <w:pPr>
      <w:adjustRightInd w:val="0"/>
      <w:textAlignment w:val="baseline"/>
    </w:pPr>
    <w:rPr>
      <w:rFonts w:ascii="宋体" w:hAnsi="宋体" w:eastAsia="宋体" w:cs="宋体"/>
      <w:kern w:val="0"/>
      <w:sz w:val="21"/>
      <w:szCs w:val="21"/>
    </w:rPr>
  </w:style>
  <w:style w:type="paragraph" w:customStyle="1" w:styleId="213">
    <w:name w:val="Char2"/>
    <w:basedOn w:val="1"/>
    <w:qFormat/>
    <w:uiPriority w:val="0"/>
    <w:pPr>
      <w:spacing w:line="240" w:lineRule="atLeast"/>
      <w:ind w:left="420" w:firstLine="420"/>
    </w:pPr>
    <w:rPr>
      <w:rFonts w:ascii="Times New Roman" w:hAnsi="Times New Roman" w:eastAsia="宋体" w:cs="Times New Roman"/>
      <w:kern w:val="0"/>
      <w:sz w:val="21"/>
      <w:szCs w:val="21"/>
    </w:rPr>
  </w:style>
  <w:style w:type="paragraph" w:customStyle="1" w:styleId="214">
    <w:name w:val="章标题"/>
    <w:next w:val="1"/>
    <w:qFormat/>
    <w:uiPriority w:val="0"/>
    <w:pPr>
      <w:spacing w:beforeLines="50" w:afterLines="50"/>
      <w:jc w:val="both"/>
      <w:outlineLvl w:val="1"/>
    </w:pPr>
    <w:rPr>
      <w:rFonts w:ascii="黑体" w:hAnsi="Times New Roman" w:eastAsia="黑体" w:cs="黑体"/>
      <w:sz w:val="24"/>
      <w:szCs w:val="24"/>
      <w:lang w:val="en-US" w:eastAsia="zh-CN" w:bidi="ar-SA"/>
    </w:rPr>
  </w:style>
  <w:style w:type="paragraph" w:customStyle="1" w:styleId="215">
    <w:name w:val="Table Contents"/>
    <w:basedOn w:val="2"/>
    <w:qFormat/>
    <w:uiPriority w:val="0"/>
    <w:pPr>
      <w:suppressAutoHyphens/>
      <w:spacing w:after="0"/>
      <w:jc w:val="left"/>
    </w:pPr>
    <w:rPr>
      <w:rFonts w:ascii="Times New Roman" w:hAnsi="Times New Roman" w:eastAsia="宋体" w:cs="Times New Roman"/>
      <w:kern w:val="0"/>
      <w:sz w:val="24"/>
      <w:szCs w:val="24"/>
    </w:rPr>
  </w:style>
  <w:style w:type="paragraph" w:customStyle="1" w:styleId="216">
    <w:name w:val="文本框样式1"/>
    <w:basedOn w:val="1"/>
    <w:qFormat/>
    <w:uiPriority w:val="0"/>
    <w:pPr>
      <w:adjustRightInd w:val="0"/>
      <w:snapToGrid w:val="0"/>
      <w:spacing w:before="60" w:line="180" w:lineRule="exact"/>
      <w:jc w:val="center"/>
    </w:pPr>
    <w:rPr>
      <w:rFonts w:ascii="Times New Roman" w:hAnsi="Times New Roman" w:eastAsia="宋体" w:cs="Times New Roman"/>
      <w:sz w:val="21"/>
      <w:szCs w:val="21"/>
    </w:rPr>
  </w:style>
  <w:style w:type="paragraph" w:customStyle="1" w:styleId="217">
    <w:name w:val="1.正文"/>
    <w:basedOn w:val="1"/>
    <w:qFormat/>
    <w:uiPriority w:val="0"/>
    <w:pPr>
      <w:spacing w:line="360" w:lineRule="auto"/>
      <w:ind w:left="540" w:leftChars="225" w:firstLine="540" w:firstLineChars="225"/>
    </w:pPr>
    <w:rPr>
      <w:rFonts w:ascii="Times New Roman" w:hAnsi="Times New Roman" w:eastAsia="宋体" w:cs="Times New Roman"/>
      <w:sz w:val="24"/>
      <w:szCs w:val="24"/>
    </w:rPr>
  </w:style>
  <w:style w:type="paragraph" w:customStyle="1" w:styleId="218">
    <w:name w:val="正文4"/>
    <w:basedOn w:val="1"/>
    <w:qFormat/>
    <w:uiPriority w:val="0"/>
    <w:pPr>
      <w:tabs>
        <w:tab w:val="left" w:pos="1275"/>
      </w:tabs>
      <w:spacing w:before="60" w:after="60" w:line="360" w:lineRule="auto"/>
      <w:ind w:left="820" w:leftChars="400" w:hanging="705"/>
    </w:pPr>
    <w:rPr>
      <w:rFonts w:ascii="Times New Roman" w:hAnsi="Times New Roman" w:eastAsia="宋体" w:cs="Times New Roman"/>
      <w:sz w:val="24"/>
      <w:szCs w:val="24"/>
    </w:rPr>
  </w:style>
  <w:style w:type="paragraph" w:customStyle="1" w:styleId="219">
    <w:name w:val="附录1"/>
    <w:basedOn w:val="1"/>
    <w:next w:val="1"/>
    <w:qFormat/>
    <w:uiPriority w:val="0"/>
    <w:pPr>
      <w:tabs>
        <w:tab w:val="left" w:pos="1304"/>
      </w:tabs>
      <w:ind w:left="425" w:hanging="425"/>
      <w:outlineLvl w:val="0"/>
    </w:pPr>
    <w:rPr>
      <w:rFonts w:ascii="黑体" w:hAnsi="黑体" w:eastAsia="黑体" w:cs="黑体"/>
      <w:b/>
      <w:bCs/>
      <w:sz w:val="44"/>
      <w:szCs w:val="44"/>
    </w:rPr>
  </w:style>
  <w:style w:type="paragraph" w:customStyle="1" w:styleId="220">
    <w:name w:val="小标题 1"/>
    <w:basedOn w:val="1"/>
    <w:qFormat/>
    <w:uiPriority w:val="0"/>
    <w:pPr>
      <w:autoSpaceDE w:val="0"/>
      <w:autoSpaceDN w:val="0"/>
      <w:adjustRightInd w:val="0"/>
      <w:spacing w:line="360" w:lineRule="atLeast"/>
    </w:pPr>
    <w:rPr>
      <w:rFonts w:ascii="文鼎粗黑" w:hAnsi="Times New Roman" w:eastAsia="文鼎粗黑" w:cs="文鼎粗黑"/>
      <w:kern w:val="0"/>
      <w:sz w:val="22"/>
      <w:szCs w:val="22"/>
    </w:rPr>
  </w:style>
  <w:style w:type="paragraph" w:customStyle="1" w:styleId="221">
    <w:name w:val="Char"/>
    <w:basedOn w:val="1"/>
    <w:qFormat/>
    <w:uiPriority w:val="0"/>
    <w:pPr>
      <w:spacing w:line="240" w:lineRule="atLeast"/>
      <w:ind w:left="420" w:firstLine="420"/>
    </w:pPr>
    <w:rPr>
      <w:rFonts w:ascii="Times New Roman" w:hAnsi="Times New Roman" w:eastAsia="宋体" w:cs="Times New Roman"/>
      <w:kern w:val="0"/>
      <w:sz w:val="21"/>
      <w:szCs w:val="21"/>
    </w:rPr>
  </w:style>
  <w:style w:type="paragraph" w:customStyle="1" w:styleId="222">
    <w:name w:val="图例"/>
    <w:basedOn w:val="1"/>
    <w:qFormat/>
    <w:uiPriority w:val="0"/>
    <w:pPr>
      <w:spacing w:before="120" w:after="120" w:line="360" w:lineRule="auto"/>
      <w:jc w:val="center"/>
    </w:pPr>
    <w:rPr>
      <w:rFonts w:ascii="Times New Roman" w:hAnsi="Times New Roman" w:eastAsia="仿宋_GB2312" w:cs="Times New Roman"/>
      <w:b/>
      <w:bCs/>
      <w:sz w:val="24"/>
      <w:szCs w:val="24"/>
    </w:rPr>
  </w:style>
  <w:style w:type="paragraph" w:customStyle="1" w:styleId="223">
    <w:name w:val="标题无"/>
    <w:basedOn w:val="1"/>
    <w:qFormat/>
    <w:uiPriority w:val="0"/>
    <w:pPr>
      <w:spacing w:line="360" w:lineRule="auto"/>
    </w:pPr>
    <w:rPr>
      <w:rFonts w:ascii="Times New Roman" w:hAnsi="Times New Roman" w:eastAsia="宋体" w:cs="Times New Roman"/>
      <w:sz w:val="24"/>
      <w:szCs w:val="24"/>
    </w:rPr>
  </w:style>
  <w:style w:type="paragraph" w:customStyle="1" w:styleId="224">
    <w:name w:val="文本1"/>
    <w:basedOn w:val="1"/>
    <w:qFormat/>
    <w:uiPriority w:val="0"/>
    <w:pPr>
      <w:adjustRightInd w:val="0"/>
      <w:spacing w:line="312" w:lineRule="atLeast"/>
      <w:jc w:val="center"/>
      <w:textAlignment w:val="baseline"/>
    </w:pPr>
    <w:rPr>
      <w:rFonts w:ascii="Times New Roman" w:hAnsi="Times New Roman" w:eastAsia="宋体" w:cs="Times New Roman"/>
      <w:kern w:val="0"/>
      <w:sz w:val="18"/>
      <w:szCs w:val="18"/>
    </w:rPr>
  </w:style>
  <w:style w:type="paragraph" w:customStyle="1" w:styleId="225">
    <w:name w:val="Char Char14 Char Char"/>
    <w:basedOn w:val="1"/>
    <w:qFormat/>
    <w:uiPriority w:val="0"/>
    <w:rPr>
      <w:rFonts w:ascii="Times New Roman" w:hAnsi="Times New Roman" w:eastAsia="宋体" w:cs="Times New Roman"/>
      <w:sz w:val="21"/>
      <w:szCs w:val="21"/>
    </w:rPr>
  </w:style>
  <w:style w:type="paragraph" w:customStyle="1" w:styleId="226">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227">
    <w:name w:val="Char Char Char"/>
    <w:basedOn w:val="1"/>
    <w:qFormat/>
    <w:uiPriority w:val="0"/>
    <w:rPr>
      <w:rFonts w:ascii="Tahoma" w:hAnsi="Tahoma" w:eastAsia="宋体" w:cs="Tahoma"/>
      <w:sz w:val="24"/>
      <w:szCs w:val="24"/>
    </w:rPr>
  </w:style>
  <w:style w:type="paragraph" w:customStyle="1" w:styleId="228">
    <w:name w:val="样式3"/>
    <w:basedOn w:val="3"/>
    <w:next w:val="3"/>
    <w:qFormat/>
    <w:uiPriority w:val="0"/>
    <w:pPr>
      <w:keepLines/>
      <w:adjustRightInd w:val="0"/>
      <w:spacing w:before="340" w:after="330" w:line="576" w:lineRule="auto"/>
    </w:pPr>
    <w:rPr>
      <w:rFonts w:ascii="Times New Roman" w:hAnsi="Times New Roman" w:eastAsia="黑体" w:cs="Times New Roman"/>
    </w:rPr>
  </w:style>
  <w:style w:type="paragraph" w:customStyle="1" w:styleId="229">
    <w:name w:val="style1"/>
    <w:basedOn w:val="1"/>
    <w:qFormat/>
    <w:uiPriority w:val="0"/>
    <w:pPr>
      <w:widowControl/>
      <w:spacing w:before="100" w:beforeAutospacing="1" w:after="100" w:afterAutospacing="1"/>
      <w:jc w:val="left"/>
    </w:pPr>
    <w:rPr>
      <w:rFonts w:ascii="宋体" w:hAnsi="宋体" w:eastAsia="宋体" w:cs="宋体"/>
      <w:kern w:val="0"/>
      <w:sz w:val="21"/>
      <w:szCs w:val="21"/>
    </w:rPr>
  </w:style>
  <w:style w:type="paragraph" w:customStyle="1" w:styleId="230">
    <w:name w:val="样式 标题 6第五层条 + 三号 段前: 0.5 行"/>
    <w:basedOn w:val="8"/>
    <w:qFormat/>
    <w:uiPriority w:val="0"/>
    <w:pPr>
      <w:widowControl/>
      <w:adjustRightInd/>
      <w:snapToGrid/>
      <w:spacing w:beforeLines="50"/>
      <w:jc w:val="left"/>
    </w:pPr>
    <w:rPr>
      <w:rFonts w:ascii="Times New Roman" w:hAnsi="Times New Roman" w:eastAsia="宋体" w:cs="Times New Roman"/>
      <w:kern w:val="24"/>
      <w:sz w:val="28"/>
      <w:szCs w:val="28"/>
    </w:rPr>
  </w:style>
  <w:style w:type="paragraph" w:customStyle="1" w:styleId="231">
    <w:name w:val="可研正文"/>
    <w:basedOn w:val="2"/>
    <w:qFormat/>
    <w:uiPriority w:val="0"/>
    <w:pPr>
      <w:adjustRightInd w:val="0"/>
      <w:snapToGrid w:val="0"/>
      <w:spacing w:after="0" w:line="440" w:lineRule="exact"/>
      <w:ind w:firstLine="567"/>
    </w:pPr>
    <w:rPr>
      <w:rFonts w:ascii="仿宋_GB2312" w:hAnsi="Times New Roman" w:eastAsia="仿宋_GB2312" w:cs="仿宋_GB2312"/>
      <w:kern w:val="0"/>
      <w:sz w:val="20"/>
      <w:szCs w:val="20"/>
    </w:rPr>
  </w:style>
  <w:style w:type="paragraph" w:customStyle="1" w:styleId="232">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233">
    <w:name w:val="表文字"/>
    <w:qFormat/>
    <w:uiPriority w:val="0"/>
    <w:rPr>
      <w:rFonts w:ascii="宋体" w:hAnsi="Times New Roman" w:eastAsia="宋体" w:cs="宋体"/>
      <w:kern w:val="2"/>
      <w:lang w:val="en-US" w:eastAsia="zh-CN" w:bidi="ar-SA"/>
    </w:rPr>
  </w:style>
  <w:style w:type="paragraph" w:customStyle="1" w:styleId="234">
    <w:name w:val="样式 行距: 1.5 倍行距1"/>
    <w:basedOn w:val="1"/>
    <w:qFormat/>
    <w:uiPriority w:val="0"/>
    <w:pPr>
      <w:snapToGrid w:val="0"/>
    </w:pPr>
    <w:rPr>
      <w:rFonts w:ascii="Times New Roman" w:hAnsi="Times New Roman" w:eastAsia="宋体" w:cs="Times New Roman"/>
      <w:sz w:val="21"/>
      <w:szCs w:val="21"/>
    </w:rPr>
  </w:style>
  <w:style w:type="paragraph" w:customStyle="1" w:styleId="235">
    <w:name w:val="列表项目"/>
    <w:basedOn w:val="1"/>
    <w:qFormat/>
    <w:uiPriority w:val="0"/>
    <w:pPr>
      <w:tabs>
        <w:tab w:val="left" w:pos="420"/>
      </w:tabs>
      <w:spacing w:line="288" w:lineRule="auto"/>
      <w:ind w:left="840" w:leftChars="200" w:hanging="420" w:hangingChars="200"/>
    </w:pPr>
    <w:rPr>
      <w:rFonts w:ascii="Times New Roman" w:hAnsi="Times New Roman" w:eastAsia="宋体" w:cs="Times New Roman"/>
      <w:sz w:val="21"/>
      <w:szCs w:val="21"/>
    </w:rPr>
  </w:style>
  <w:style w:type="paragraph" w:customStyle="1" w:styleId="236">
    <w:name w:val="修订1"/>
    <w:qFormat/>
    <w:uiPriority w:val="0"/>
    <w:rPr>
      <w:rFonts w:ascii="Times New Roman" w:hAnsi="Times New Roman" w:eastAsia="宋体" w:cs="Times New Roman"/>
      <w:kern w:val="2"/>
      <w:sz w:val="21"/>
      <w:szCs w:val="21"/>
      <w:lang w:val="en-US" w:eastAsia="zh-CN" w:bidi="ar-SA"/>
    </w:rPr>
  </w:style>
  <w:style w:type="paragraph" w:customStyle="1" w:styleId="237">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cs="Times New Roman"/>
      <w:sz w:val="36"/>
      <w:szCs w:val="36"/>
    </w:rPr>
  </w:style>
  <w:style w:type="paragraph" w:customStyle="1" w:styleId="238">
    <w:name w:val="文档正文 Char Char Char Char"/>
    <w:basedOn w:val="1"/>
    <w:qFormat/>
    <w:uiPriority w:val="0"/>
    <w:pPr>
      <w:adjustRightInd w:val="0"/>
      <w:spacing w:line="440" w:lineRule="exact"/>
      <w:ind w:firstLine="420"/>
      <w:textAlignment w:val="baseline"/>
    </w:pPr>
    <w:rPr>
      <w:rFonts w:ascii="Arial Narrow" w:hAnsi="Arial Narrow" w:eastAsia="宋体" w:cs="Arial Narrow"/>
      <w:kern w:val="0"/>
      <w:sz w:val="24"/>
      <w:szCs w:val="24"/>
    </w:rPr>
  </w:style>
  <w:style w:type="paragraph" w:customStyle="1" w:styleId="239">
    <w:name w:val="表格内文字"/>
    <w:basedOn w:val="31"/>
    <w:qFormat/>
    <w:uiPriority w:val="0"/>
    <w:pPr>
      <w:adjustRightInd w:val="0"/>
    </w:pPr>
    <w:rPr>
      <w:rFonts w:ascii="Times New Roman" w:hAnsi="Times New Roman" w:eastAsia="宋体" w:cs="Times New Roman"/>
      <w:color w:val="000000"/>
      <w:lang w:val="en-GB"/>
    </w:rPr>
  </w:style>
  <w:style w:type="paragraph" w:customStyle="1" w:styleId="240">
    <w:name w:val="IN Step"/>
    <w:basedOn w:val="1"/>
    <w:qFormat/>
    <w:uiPriority w:val="0"/>
    <w:pPr>
      <w:keepLines/>
      <w:widowControl/>
      <w:tabs>
        <w:tab w:val="left" w:pos="1134"/>
      </w:tabs>
      <w:spacing w:before="80" w:after="80" w:line="300" w:lineRule="auto"/>
      <w:ind w:left="1134" w:hanging="907"/>
      <w:outlineLvl w:val="8"/>
    </w:pPr>
    <w:rPr>
      <w:rFonts w:ascii="Arial" w:hAnsi="Arial" w:eastAsia="宋体" w:cs="Arial"/>
      <w:kern w:val="0"/>
      <w:sz w:val="21"/>
      <w:szCs w:val="21"/>
    </w:rPr>
  </w:style>
  <w:style w:type="paragraph" w:customStyle="1" w:styleId="241">
    <w:name w:val="IN Feature"/>
    <w:next w:val="240"/>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242">
    <w:name w:val="没有缩进（为图形使用）"/>
    <w:basedOn w:val="1"/>
    <w:qFormat/>
    <w:uiPriority w:val="0"/>
    <w:pPr>
      <w:spacing w:before="120" w:after="120" w:line="360" w:lineRule="auto"/>
    </w:pPr>
    <w:rPr>
      <w:rFonts w:ascii="Times New Roman" w:hAnsi="Times New Roman" w:eastAsia="宋体" w:cs="Times New Roman"/>
      <w:sz w:val="24"/>
      <w:szCs w:val="24"/>
    </w:rPr>
  </w:style>
  <w:style w:type="paragraph" w:customStyle="1" w:styleId="243">
    <w:name w:val="Title - Revision"/>
    <w:basedOn w:val="54"/>
    <w:qFormat/>
    <w:uiPriority w:val="0"/>
    <w:pPr>
      <w:spacing w:before="720"/>
    </w:pPr>
    <w:rPr>
      <w:rFonts w:ascii="Times New Roman" w:hAnsi="Times New Roman" w:eastAsia="宋体" w:cs="Times New Roman"/>
    </w:rPr>
  </w:style>
  <w:style w:type="paragraph" w:customStyle="1" w:styleId="244">
    <w:name w:val="样式4"/>
    <w:basedOn w:val="6"/>
    <w:qFormat/>
    <w:uiPriority w:val="0"/>
    <w:pPr>
      <w:adjustRightInd w:val="0"/>
      <w:snapToGrid w:val="0"/>
    </w:pPr>
    <w:rPr>
      <w:rFonts w:ascii="Times New Roman" w:hAnsi="Times New Roman" w:eastAsia="宋体" w:cs="Times New Roman"/>
    </w:rPr>
  </w:style>
  <w:style w:type="paragraph" w:customStyle="1" w:styleId="245">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246">
    <w:name w:val="正文文本缩进 21"/>
    <w:basedOn w:val="1"/>
    <w:qFormat/>
    <w:uiPriority w:val="0"/>
    <w:pPr>
      <w:adjustRightInd w:val="0"/>
      <w:spacing w:before="120"/>
      <w:ind w:firstLine="420"/>
      <w:textAlignment w:val="baseline"/>
    </w:pPr>
    <w:rPr>
      <w:rFonts w:ascii="Times New Roman" w:hAnsi="Times New Roman" w:eastAsia="宋体" w:cs="Times New Roman"/>
      <w:sz w:val="24"/>
      <w:szCs w:val="24"/>
    </w:rPr>
  </w:style>
  <w:style w:type="paragraph" w:customStyle="1" w:styleId="24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8">
    <w:name w:val="一级条标题"/>
    <w:basedOn w:val="214"/>
    <w:next w:val="247"/>
    <w:qFormat/>
    <w:uiPriority w:val="0"/>
    <w:pPr>
      <w:spacing w:beforeLines="0" w:afterLines="0"/>
      <w:ind w:left="525"/>
      <w:outlineLvl w:val="2"/>
    </w:pPr>
    <w:rPr>
      <w:rFonts w:ascii="Times New Roman" w:hAnsi="Times New Roman" w:eastAsia="宋体" w:cs="Times New Roman"/>
      <w:sz w:val="21"/>
      <w:szCs w:val="21"/>
    </w:rPr>
  </w:style>
  <w:style w:type="paragraph" w:customStyle="1" w:styleId="249">
    <w:name w:val="二级条标题"/>
    <w:basedOn w:val="248"/>
    <w:next w:val="247"/>
    <w:qFormat/>
    <w:uiPriority w:val="0"/>
    <w:pPr>
      <w:ind w:left="840"/>
      <w:outlineLvl w:val="3"/>
    </w:pPr>
    <w:rPr>
      <w:rFonts w:ascii="Times New Roman" w:hAnsi="Times New Roman" w:eastAsia="宋体" w:cs="Times New Roman"/>
    </w:rPr>
  </w:style>
  <w:style w:type="paragraph" w:customStyle="1" w:styleId="25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kern w:val="0"/>
      <w:sz w:val="24"/>
      <w:szCs w:val="24"/>
    </w:rPr>
  </w:style>
  <w:style w:type="paragraph" w:customStyle="1" w:styleId="251">
    <w:name w:val="正文文本 21"/>
    <w:basedOn w:val="1"/>
    <w:qFormat/>
    <w:uiPriority w:val="0"/>
    <w:pPr>
      <w:adjustRightInd w:val="0"/>
      <w:spacing w:before="120" w:line="360" w:lineRule="auto"/>
      <w:ind w:firstLine="480"/>
      <w:textAlignment w:val="baseline"/>
    </w:pPr>
    <w:rPr>
      <w:rFonts w:ascii="Times New Roman" w:hAnsi="Times New Roman" w:eastAsia="宋体" w:cs="Times New Roman"/>
      <w:sz w:val="24"/>
      <w:szCs w:val="24"/>
    </w:rPr>
  </w:style>
  <w:style w:type="paragraph" w:customStyle="1" w:styleId="252">
    <w:name w:val="Char1 Char Char Char1"/>
    <w:basedOn w:val="1"/>
    <w:qFormat/>
    <w:uiPriority w:val="0"/>
    <w:rPr>
      <w:rFonts w:ascii="Tahoma" w:hAnsi="Tahoma" w:eastAsia="宋体" w:cs="Tahoma"/>
      <w:sz w:val="24"/>
      <w:szCs w:val="24"/>
    </w:rPr>
  </w:style>
  <w:style w:type="paragraph" w:customStyle="1" w:styleId="253">
    <w:name w:val="文章正文"/>
    <w:basedOn w:val="1"/>
    <w:qFormat/>
    <w:uiPriority w:val="0"/>
    <w:pPr>
      <w:ind w:firstLine="560" w:firstLineChars="200"/>
    </w:pPr>
    <w:rPr>
      <w:rFonts w:ascii="仿宋_GB2312" w:hAnsi="宋体" w:eastAsia="仿宋_GB2312" w:cs="仿宋_GB2312"/>
      <w:color w:val="000000"/>
    </w:rPr>
  </w:style>
  <w:style w:type="paragraph" w:customStyle="1" w:styleId="254">
    <w:name w:val="附录3"/>
    <w:basedOn w:val="1"/>
    <w:next w:val="1"/>
    <w:qFormat/>
    <w:uiPriority w:val="0"/>
    <w:pPr>
      <w:tabs>
        <w:tab w:val="left" w:pos="851"/>
      </w:tabs>
      <w:ind w:left="425" w:hanging="425"/>
      <w:outlineLvl w:val="2"/>
    </w:pPr>
    <w:rPr>
      <w:rFonts w:ascii="Times New Roman" w:hAnsi="Times New Roman" w:eastAsia="黑体" w:cs="Times New Roman"/>
      <w:b/>
      <w:bCs/>
      <w:sz w:val="32"/>
      <w:szCs w:val="32"/>
    </w:rPr>
  </w:style>
  <w:style w:type="paragraph" w:customStyle="1" w:styleId="255">
    <w:name w:val="Char Char Char Char Char Char Char1"/>
    <w:basedOn w:val="1"/>
    <w:qFormat/>
    <w:uiPriority w:val="0"/>
    <w:rPr>
      <w:rFonts w:ascii="Tahoma" w:hAnsi="Tahoma" w:eastAsia="宋体" w:cs="Tahoma"/>
      <w:sz w:val="24"/>
      <w:szCs w:val="24"/>
    </w:rPr>
  </w:style>
  <w:style w:type="paragraph" w:customStyle="1" w:styleId="256">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257">
    <w:name w:val="项目"/>
    <w:basedOn w:val="1"/>
    <w:qFormat/>
    <w:uiPriority w:val="0"/>
    <w:pPr>
      <w:tabs>
        <w:tab w:val="left" w:pos="1280"/>
      </w:tabs>
      <w:spacing w:before="120" w:after="120" w:line="360" w:lineRule="auto"/>
      <w:ind w:left="-7" w:firstLine="567"/>
      <w:jc w:val="left"/>
      <w:textAlignment w:val="baseline"/>
    </w:pPr>
    <w:rPr>
      <w:rFonts w:ascii="宋体" w:hAnsi="Times New Roman" w:eastAsia="宋体" w:cs="宋体"/>
      <w:kern w:val="0"/>
      <w:sz w:val="24"/>
      <w:szCs w:val="24"/>
    </w:rPr>
  </w:style>
  <w:style w:type="paragraph" w:customStyle="1" w:styleId="258">
    <w:name w:val="司法正文"/>
    <w:qFormat/>
    <w:uiPriority w:val="0"/>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259">
    <w:name w:val="Table Text Char1"/>
    <w:qFormat/>
    <w:uiPriority w:val="0"/>
    <w:pPr>
      <w:snapToGrid w:val="0"/>
      <w:spacing w:before="80" w:after="80"/>
    </w:pPr>
    <w:rPr>
      <w:rFonts w:ascii="Arial" w:hAnsi="Arial" w:eastAsia="宋体" w:cs="Arial"/>
      <w:kern w:val="2"/>
      <w:sz w:val="18"/>
      <w:szCs w:val="18"/>
      <w:lang w:val="en-US" w:eastAsia="zh-CN" w:bidi="ar-SA"/>
    </w:rPr>
  </w:style>
  <w:style w:type="paragraph" w:customStyle="1" w:styleId="260">
    <w:name w:val="首行缩进"/>
    <w:basedOn w:val="1"/>
    <w:qFormat/>
    <w:uiPriority w:val="0"/>
    <w:pPr>
      <w:tabs>
        <w:tab w:val="left" w:pos="540"/>
      </w:tabs>
      <w:spacing w:line="360" w:lineRule="auto"/>
      <w:ind w:left="540"/>
    </w:pPr>
    <w:rPr>
      <w:rFonts w:ascii="Times New Roman" w:hAnsi="Times New Roman" w:eastAsia="仿宋_GB2312" w:cs="Times New Roman"/>
    </w:rPr>
  </w:style>
  <w:style w:type="paragraph" w:customStyle="1" w:styleId="261">
    <w:name w:val="样式1xz"/>
    <w:basedOn w:val="1"/>
    <w:qFormat/>
    <w:uiPriority w:val="0"/>
    <w:pPr>
      <w:tabs>
        <w:tab w:val="left" w:pos="1050"/>
        <w:tab w:val="right" w:leader="dot" w:pos="8296"/>
      </w:tabs>
    </w:pPr>
    <w:rPr>
      <w:rFonts w:ascii="Times New Roman" w:hAnsi="Times New Roman" w:eastAsia="宋体" w:cs="Times New Roman"/>
      <w:caps/>
      <w:spacing w:val="20"/>
      <w:sz w:val="24"/>
      <w:szCs w:val="24"/>
    </w:rPr>
  </w:style>
  <w:style w:type="paragraph" w:customStyle="1" w:styleId="26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hAnsi="Times New Roman" w:eastAsia="宋体" w:cs="宋体"/>
      <w:kern w:val="0"/>
      <w:sz w:val="18"/>
      <w:szCs w:val="18"/>
    </w:rPr>
  </w:style>
  <w:style w:type="paragraph" w:customStyle="1" w:styleId="26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hAnsi="Times New Roman" w:eastAsia="宋体" w:cs="宋体"/>
      <w:kern w:val="0"/>
      <w:sz w:val="20"/>
      <w:szCs w:val="20"/>
    </w:rPr>
  </w:style>
  <w:style w:type="paragraph" w:customStyle="1" w:styleId="264">
    <w:name w:val="Char Char1 Char Char Char Char Char Char Char Char Char Char Char Char Char Char"/>
    <w:basedOn w:val="1"/>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265">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4"/>
    </w:rPr>
  </w:style>
  <w:style w:type="paragraph" w:customStyle="1" w:styleId="266">
    <w:name w:val="标书正文:  0.74 厘米"/>
    <w:basedOn w:val="1"/>
    <w:qFormat/>
    <w:uiPriority w:val="0"/>
    <w:pPr>
      <w:snapToGrid w:val="0"/>
      <w:spacing w:line="360" w:lineRule="auto"/>
      <w:ind w:firstLine="420"/>
    </w:pPr>
    <w:rPr>
      <w:rFonts w:ascii="Times New Roman" w:hAnsi="Times New Roman" w:eastAsia="宋体" w:cs="Times New Roman"/>
      <w:sz w:val="24"/>
      <w:szCs w:val="24"/>
    </w:rPr>
  </w:style>
  <w:style w:type="paragraph" w:customStyle="1" w:styleId="267">
    <w:name w:val="content"/>
    <w:basedOn w:val="1"/>
    <w:qFormat/>
    <w:uiPriority w:val="0"/>
    <w:pPr>
      <w:widowControl/>
      <w:spacing w:before="100" w:beforeAutospacing="1" w:after="100" w:afterAutospacing="1" w:line="280" w:lineRule="atLeast"/>
      <w:ind w:firstLine="375"/>
      <w:jc w:val="left"/>
    </w:pPr>
    <w:rPr>
      <w:rFonts w:ascii="宋体" w:hAnsi="宋体" w:eastAsia="宋体" w:cs="宋体"/>
      <w:color w:val="000000"/>
      <w:kern w:val="0"/>
      <w:sz w:val="18"/>
      <w:szCs w:val="18"/>
    </w:rPr>
  </w:style>
  <w:style w:type="paragraph" w:customStyle="1" w:styleId="268">
    <w:name w:val="样式 仿宋_GB2312 首行缩进:  2 字符"/>
    <w:basedOn w:val="1"/>
    <w:qFormat/>
    <w:uiPriority w:val="0"/>
    <w:pPr>
      <w:spacing w:line="600" w:lineRule="exact"/>
      <w:ind w:firstLine="420" w:firstLineChars="150"/>
      <w:jc w:val="left"/>
    </w:pPr>
    <w:rPr>
      <w:rFonts w:ascii="仿宋_GB2312" w:hAnsi="Arial" w:eastAsia="仿宋_GB2312" w:cs="仿宋_GB2312"/>
      <w:color w:val="000000"/>
      <w:kern w:val="0"/>
      <w:lang w:val="zh-CN"/>
    </w:rPr>
  </w:style>
  <w:style w:type="paragraph" w:customStyle="1" w:styleId="269">
    <w:name w:val="首行缩进 1"/>
    <w:basedOn w:val="1"/>
    <w:qFormat/>
    <w:uiPriority w:val="0"/>
    <w:pPr>
      <w:spacing w:after="120" w:line="360" w:lineRule="auto"/>
      <w:ind w:firstLine="200" w:firstLineChars="200"/>
    </w:pPr>
    <w:rPr>
      <w:rFonts w:ascii="Times New Roman" w:hAnsi="Times New Roman" w:eastAsia="宋体" w:cs="Times New Roman"/>
      <w:sz w:val="24"/>
      <w:szCs w:val="24"/>
    </w:rPr>
  </w:style>
  <w:style w:type="paragraph" w:customStyle="1" w:styleId="27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eastAsia="宋体" w:cs="宋体"/>
      <w:color w:val="000000"/>
      <w:kern w:val="0"/>
      <w:sz w:val="24"/>
      <w:szCs w:val="24"/>
    </w:rPr>
  </w:style>
  <w:style w:type="paragraph" w:customStyle="1" w:styleId="271">
    <w:name w:val="普通正文"/>
    <w:basedOn w:val="1"/>
    <w:qFormat/>
    <w:uiPriority w:val="0"/>
    <w:pPr>
      <w:adjustRightInd w:val="0"/>
      <w:spacing w:before="120" w:after="120" w:line="360" w:lineRule="auto"/>
      <w:ind w:firstLine="480"/>
      <w:jc w:val="left"/>
      <w:textAlignment w:val="baseline"/>
    </w:pPr>
    <w:rPr>
      <w:rFonts w:ascii="Arial" w:hAnsi="Arial" w:eastAsia="宋体" w:cs="Arial"/>
      <w:kern w:val="0"/>
      <w:sz w:val="24"/>
      <w:szCs w:val="24"/>
    </w:rPr>
  </w:style>
  <w:style w:type="paragraph" w:customStyle="1" w:styleId="272">
    <w:name w:val="图片文字"/>
    <w:basedOn w:val="1"/>
    <w:qFormat/>
    <w:uiPriority w:val="0"/>
    <w:pPr>
      <w:spacing w:line="240" w:lineRule="atLeast"/>
      <w:jc w:val="center"/>
    </w:pPr>
    <w:rPr>
      <w:rFonts w:ascii="Times New Roman" w:hAnsi="Times New Roman" w:eastAsia="宋体" w:cs="Times New Roman"/>
      <w:sz w:val="21"/>
      <w:szCs w:val="21"/>
    </w:rPr>
  </w:style>
  <w:style w:type="paragraph" w:customStyle="1" w:styleId="273">
    <w:name w:val="Table Text Char Char"/>
    <w:qFormat/>
    <w:uiPriority w:val="0"/>
    <w:pPr>
      <w:snapToGrid w:val="0"/>
      <w:spacing w:before="80" w:after="80"/>
    </w:pPr>
    <w:rPr>
      <w:rFonts w:ascii="Arial" w:hAnsi="Arial" w:eastAsia="宋体" w:cs="Arial"/>
      <w:kern w:val="2"/>
      <w:sz w:val="18"/>
      <w:szCs w:val="18"/>
      <w:lang w:val="en-US" w:eastAsia="zh-CN" w:bidi="ar-SA"/>
    </w:rPr>
  </w:style>
  <w:style w:type="paragraph" w:customStyle="1" w:styleId="274">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hAnsi="Times New Roman" w:eastAsia="楷体_GB2312" w:cs="昆仑楷体"/>
      <w:kern w:val="0"/>
      <w:sz w:val="21"/>
      <w:szCs w:val="21"/>
    </w:rPr>
  </w:style>
  <w:style w:type="paragraph" w:customStyle="1" w:styleId="275">
    <w:name w:val="正文表格"/>
    <w:basedOn w:val="1"/>
    <w:qFormat/>
    <w:uiPriority w:val="0"/>
    <w:pPr>
      <w:adjustRightInd w:val="0"/>
      <w:spacing w:before="40" w:after="40"/>
    </w:pPr>
    <w:rPr>
      <w:rFonts w:ascii="Times New Roman" w:hAnsi="Times New Roman" w:eastAsia="宋体" w:cs="Times New Roman"/>
      <w:sz w:val="24"/>
      <w:szCs w:val="24"/>
    </w:rPr>
  </w:style>
  <w:style w:type="paragraph" w:customStyle="1" w:styleId="276">
    <w:name w:val="Body Text First Indent 21"/>
    <w:basedOn w:val="277"/>
    <w:unhideWhenUsed/>
    <w:qFormat/>
    <w:uiPriority w:val="0"/>
    <w:pPr>
      <w:autoSpaceDE w:val="0"/>
      <w:autoSpaceDN w:val="0"/>
      <w:adjustRightInd w:val="0"/>
      <w:ind w:left="200" w:firstLine="420"/>
    </w:pPr>
    <w:rPr>
      <w:rFonts w:hint="eastAsia" w:ascii="宋体" w:cs="宋体"/>
      <w:sz w:val="24"/>
      <w:szCs w:val="21"/>
    </w:rPr>
  </w:style>
  <w:style w:type="paragraph" w:customStyle="1" w:styleId="277">
    <w:name w:val="Body Text Indent1"/>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13054</Words>
  <Characters>13544</Characters>
  <Lines>86</Lines>
  <Paragraphs>24</Paragraphs>
  <TotalTime>143</TotalTime>
  <ScaleCrop>false</ScaleCrop>
  <LinksUpToDate>false</LinksUpToDate>
  <CharactersWithSpaces>14114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2022-04-22T00:09:00Z</dcterms:created>
  <dc:creator>微软用户</dc:creator>
  <cp:lastModifiedBy>uos</cp:lastModifiedBy>
  <cp:lastPrinted>2025-09-12T15:00:39Z</cp:lastPrinted>
  <dcterms:modified xsi:type="dcterms:W3CDTF">2025-09-12T15:12:08Z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56FAB9C6CF0E459BB1BBA07DA044B0EC_13</vt:lpwstr>
  </property>
  <property fmtid="{D5CDD505-2E9C-101B-9397-08002B2CF9AE}" pid="4" name="commondata">
    <vt:lpwstr>eyJoZGlkIjoiMTZjMDQwM2NmN2U3MGE4OTVjNjhmZWM4MDg1MTJlNGYifQ==</vt:lpwstr>
  </property>
  <property fmtid="{D5CDD505-2E9C-101B-9397-08002B2CF9AE}" pid="5" name="KSOTemplateDocerSaveRecord">
    <vt:lpwstr>eyJoZGlkIjoiMTZjMDQwM2NmN2U3MGE4OTVjNjhmZWM4MDg1MTJlNGYiLCJ1c2VySWQiOiI5MDI1NDY2NTIifQ==</vt:lpwstr>
  </property>
</Properties>
</file>