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仿宋" w:hAnsi="仿宋" w:eastAsia="仿宋" w:cs="仿宋"/>
          <w:sz w:val="24"/>
          <w:szCs w:val="24"/>
          <w:highlight w:val="none"/>
        </w:rPr>
      </w:pPr>
    </w:p>
    <w:p>
      <w:pPr>
        <w:spacing w:line="380" w:lineRule="exact"/>
        <w:jc w:val="center"/>
        <w:rPr>
          <w:rFonts w:hint="eastAsia" w:ascii="仿宋" w:hAnsi="仿宋" w:eastAsia="仿宋" w:cs="仿宋"/>
          <w:sz w:val="24"/>
          <w:szCs w:val="24"/>
          <w:highlight w:val="none"/>
        </w:rPr>
      </w:pPr>
    </w:p>
    <w:p>
      <w:pPr>
        <w:spacing w:line="380" w:lineRule="exact"/>
        <w:jc w:val="center"/>
        <w:rPr>
          <w:rFonts w:hint="eastAsia" w:ascii="仿宋" w:hAnsi="仿宋" w:eastAsia="仿宋" w:cs="仿宋"/>
          <w:sz w:val="24"/>
          <w:szCs w:val="24"/>
          <w:highlight w:val="none"/>
        </w:rPr>
      </w:pPr>
    </w:p>
    <w:p>
      <w:pPr>
        <w:spacing w:line="380" w:lineRule="exact"/>
        <w:jc w:val="center"/>
        <w:rPr>
          <w:rFonts w:hint="eastAsia" w:ascii="仿宋" w:hAnsi="仿宋" w:eastAsia="仿宋" w:cs="仿宋"/>
          <w:sz w:val="24"/>
          <w:szCs w:val="24"/>
          <w:highlight w:val="none"/>
        </w:rPr>
      </w:pPr>
    </w:p>
    <w:p>
      <w:pPr>
        <w:spacing w:line="380" w:lineRule="exact"/>
        <w:jc w:val="center"/>
        <w:rPr>
          <w:rFonts w:hint="eastAsia" w:ascii="仿宋" w:hAnsi="仿宋" w:eastAsia="仿宋" w:cs="仿宋"/>
          <w:sz w:val="24"/>
          <w:szCs w:val="24"/>
          <w:highlight w:val="none"/>
        </w:rPr>
      </w:pPr>
    </w:p>
    <w:p>
      <w:pPr>
        <w:spacing w:line="380" w:lineRule="exact"/>
        <w:jc w:val="center"/>
        <w:rPr>
          <w:rFonts w:hint="eastAsia" w:ascii="仿宋" w:hAnsi="仿宋" w:eastAsia="仿宋" w:cs="仿宋"/>
          <w:b/>
          <w:bCs/>
          <w:sz w:val="360"/>
          <w:szCs w:val="360"/>
          <w:highlight w:val="none"/>
        </w:rPr>
      </w:pPr>
    </w:p>
    <w:p>
      <w:pPr>
        <w:pStyle w:val="156"/>
        <w:jc w:val="center"/>
        <w:rPr>
          <w:rFonts w:hint="eastAsia" w:ascii="仿宋" w:hAnsi="仿宋" w:eastAsia="仿宋" w:cs="仿宋"/>
          <w:b/>
          <w:bCs/>
          <w:sz w:val="160"/>
          <w:szCs w:val="160"/>
          <w:highlight w:val="none"/>
        </w:rPr>
      </w:pPr>
      <w:r>
        <w:rPr>
          <w:rFonts w:hint="eastAsia" w:ascii="仿宋" w:hAnsi="仿宋" w:eastAsia="仿宋" w:cs="仿宋"/>
          <w:b/>
          <w:bCs/>
          <w:sz w:val="160"/>
          <w:szCs w:val="160"/>
          <w:highlight w:val="none"/>
        </w:rPr>
        <w:t>询价通知书</w:t>
      </w:r>
    </w:p>
    <w:p>
      <w:pPr>
        <w:pStyle w:val="156"/>
        <w:rPr>
          <w:rFonts w:hint="eastAsia" w:ascii="仿宋" w:hAnsi="仿宋" w:eastAsia="仿宋" w:cs="仿宋"/>
          <w:sz w:val="36"/>
          <w:szCs w:val="36"/>
          <w:highlight w:val="none"/>
        </w:rPr>
      </w:pPr>
    </w:p>
    <w:p>
      <w:pPr>
        <w:pStyle w:val="156"/>
        <w:rPr>
          <w:rFonts w:hint="eastAsia" w:ascii="仿宋" w:hAnsi="仿宋" w:eastAsia="仿宋" w:cs="仿宋"/>
          <w:sz w:val="36"/>
          <w:szCs w:val="36"/>
          <w:highlight w:val="none"/>
        </w:rPr>
      </w:pPr>
    </w:p>
    <w:p>
      <w:pPr>
        <w:pStyle w:val="156"/>
        <w:rPr>
          <w:rFonts w:hint="eastAsia" w:ascii="仿宋" w:hAnsi="仿宋" w:eastAsia="仿宋" w:cs="仿宋"/>
          <w:sz w:val="36"/>
          <w:szCs w:val="36"/>
          <w:highlight w:val="none"/>
        </w:rPr>
      </w:pPr>
    </w:p>
    <w:p>
      <w:pPr>
        <w:pStyle w:val="156"/>
        <w:ind w:firstLine="1497" w:firstLineChars="416"/>
        <w:rPr>
          <w:rFonts w:hint="eastAsia" w:ascii="仿宋" w:hAnsi="仿宋" w:eastAsia="仿宋" w:cs="仿宋"/>
          <w:sz w:val="36"/>
          <w:szCs w:val="36"/>
          <w:highlight w:val="none"/>
          <w:lang w:val="en-US" w:eastAsia="zh-CN"/>
        </w:rPr>
      </w:pPr>
      <w:r>
        <w:rPr>
          <w:rFonts w:hint="eastAsia" w:ascii="仿宋" w:hAnsi="仿宋" w:eastAsia="仿宋" w:cs="仿宋"/>
          <w:sz w:val="36"/>
          <w:szCs w:val="36"/>
          <w:highlight w:val="none"/>
        </w:rPr>
        <w:t>招标项目编号：</w:t>
      </w:r>
      <w:r>
        <w:rPr>
          <w:rFonts w:hint="eastAsia" w:ascii="仿宋" w:hAnsi="仿宋" w:eastAsia="仿宋" w:cs="仿宋"/>
          <w:sz w:val="36"/>
          <w:szCs w:val="36"/>
          <w:highlight w:val="none"/>
          <w:lang w:val="en-US" w:eastAsia="zh-CN"/>
        </w:rPr>
        <w:t>JCZB23031</w:t>
      </w:r>
    </w:p>
    <w:p>
      <w:pPr>
        <w:pStyle w:val="156"/>
        <w:ind w:left="1383" w:leftChars="494" w:firstLine="0"/>
        <w:rPr>
          <w:rFonts w:hint="eastAsia" w:ascii="仿宋" w:hAnsi="仿宋" w:eastAsia="仿宋" w:cs="仿宋"/>
          <w:sz w:val="36"/>
          <w:szCs w:val="36"/>
          <w:highlight w:val="none"/>
        </w:rPr>
      </w:pPr>
      <w:r>
        <w:rPr>
          <w:rFonts w:hint="eastAsia" w:ascii="仿宋" w:hAnsi="仿宋" w:eastAsia="仿宋" w:cs="仿宋"/>
          <w:sz w:val="36"/>
          <w:szCs w:val="36"/>
          <w:highlight w:val="none"/>
        </w:rPr>
        <w:t>项目名称：</w:t>
      </w:r>
      <w:r>
        <w:rPr>
          <w:rFonts w:hint="eastAsia" w:ascii="仿宋" w:hAnsi="仿宋" w:eastAsia="仿宋" w:cs="仿宋"/>
          <w:sz w:val="36"/>
          <w:szCs w:val="30"/>
          <w:highlight w:val="none"/>
          <w:lang w:eastAsia="zh-CN"/>
        </w:rPr>
        <w:t>基础软件询价采购</w:t>
      </w:r>
    </w:p>
    <w:p>
      <w:pPr>
        <w:pStyle w:val="156"/>
        <w:jc w:val="center"/>
        <w:rPr>
          <w:rFonts w:hint="eastAsia" w:ascii="仿宋" w:hAnsi="仿宋" w:eastAsia="仿宋" w:cs="仿宋"/>
          <w:bCs/>
          <w:sz w:val="36"/>
          <w:szCs w:val="36"/>
          <w:highlight w:val="none"/>
        </w:rPr>
      </w:pPr>
    </w:p>
    <w:p>
      <w:pPr>
        <w:pStyle w:val="156"/>
        <w:jc w:val="center"/>
        <w:rPr>
          <w:rFonts w:hint="eastAsia" w:ascii="仿宋" w:hAnsi="仿宋" w:eastAsia="仿宋" w:cs="仿宋"/>
          <w:sz w:val="36"/>
          <w:szCs w:val="36"/>
          <w:highlight w:val="none"/>
        </w:rPr>
      </w:pPr>
    </w:p>
    <w:p>
      <w:pPr>
        <w:pStyle w:val="156"/>
        <w:jc w:val="center"/>
        <w:rPr>
          <w:rFonts w:hint="eastAsia" w:ascii="仿宋" w:hAnsi="仿宋" w:eastAsia="仿宋" w:cs="仿宋"/>
          <w:sz w:val="36"/>
          <w:szCs w:val="36"/>
          <w:highlight w:val="none"/>
        </w:rPr>
      </w:pPr>
      <w:r>
        <w:rPr>
          <w:rFonts w:hint="eastAsia" w:ascii="仿宋" w:hAnsi="仿宋" w:eastAsia="仿宋" w:cs="仿宋"/>
          <w:sz w:val="36"/>
          <w:szCs w:val="36"/>
          <w:highlight w:val="none"/>
        </w:rPr>
        <w:t>采购人：重庆市生态环境大数据应用中心</w:t>
      </w:r>
    </w:p>
    <w:p>
      <w:pPr>
        <w:pStyle w:val="156"/>
        <w:jc w:val="center"/>
        <w:rPr>
          <w:rFonts w:hint="eastAsia" w:ascii="仿宋" w:hAnsi="仿宋" w:eastAsia="仿宋" w:cs="仿宋"/>
          <w:sz w:val="36"/>
          <w:szCs w:val="36"/>
          <w:highlight w:val="none"/>
          <w:lang w:val="en-US" w:eastAsia="zh-CN"/>
        </w:rPr>
      </w:pPr>
      <w:r>
        <w:rPr>
          <w:rFonts w:hint="eastAsia" w:ascii="仿宋" w:hAnsi="仿宋" w:eastAsia="仿宋" w:cs="仿宋"/>
          <w:sz w:val="36"/>
          <w:szCs w:val="36"/>
          <w:highlight w:val="none"/>
        </w:rPr>
        <w:t>采购代理机构：</w:t>
      </w:r>
      <w:r>
        <w:rPr>
          <w:rFonts w:hint="eastAsia" w:ascii="仿宋" w:hAnsi="仿宋" w:eastAsia="仿宋" w:cs="仿宋"/>
          <w:sz w:val="36"/>
          <w:szCs w:val="36"/>
          <w:highlight w:val="none"/>
          <w:lang w:val="en-US" w:eastAsia="zh-CN"/>
        </w:rPr>
        <w:t>重庆市聚创招标代理有限公司</w:t>
      </w:r>
    </w:p>
    <w:p>
      <w:pPr>
        <w:pStyle w:val="156"/>
        <w:jc w:val="center"/>
        <w:rPr>
          <w:rFonts w:hint="eastAsia" w:ascii="仿宋" w:hAnsi="仿宋" w:eastAsia="仿宋" w:cs="仿宋"/>
          <w:sz w:val="36"/>
          <w:szCs w:val="36"/>
          <w:highlight w:val="none"/>
        </w:rPr>
      </w:pPr>
      <w:r>
        <w:rPr>
          <w:rFonts w:hint="eastAsia" w:ascii="仿宋" w:hAnsi="仿宋" w:eastAsia="仿宋" w:cs="仿宋"/>
          <w:sz w:val="36"/>
          <w:szCs w:val="36"/>
          <w:highlight w:val="none"/>
        </w:rPr>
        <w:t>二〇二二年</w:t>
      </w:r>
      <w:r>
        <w:rPr>
          <w:rFonts w:hint="eastAsia" w:ascii="仿宋" w:hAnsi="仿宋" w:eastAsia="仿宋" w:cs="仿宋"/>
          <w:sz w:val="36"/>
          <w:szCs w:val="36"/>
          <w:highlight w:val="none"/>
          <w:lang w:eastAsia="zh-CN"/>
        </w:rPr>
        <w:t>十二</w:t>
      </w:r>
      <w:r>
        <w:rPr>
          <w:rFonts w:hint="eastAsia" w:ascii="仿宋" w:hAnsi="仿宋" w:eastAsia="仿宋" w:cs="仿宋"/>
          <w:sz w:val="36"/>
          <w:szCs w:val="36"/>
          <w:highlight w:val="none"/>
        </w:rPr>
        <w:t>月</w:t>
      </w:r>
    </w:p>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br w:type="page"/>
      </w:r>
    </w:p>
    <w:p>
      <w:pPr>
        <w:pStyle w:val="156"/>
        <w:jc w:val="center"/>
        <w:rPr>
          <w:rFonts w:hint="eastAsia" w:ascii="仿宋" w:hAnsi="仿宋" w:eastAsia="仿宋" w:cs="仿宋"/>
          <w:sz w:val="36"/>
          <w:szCs w:val="36"/>
          <w:highlight w:val="none"/>
        </w:rPr>
      </w:pPr>
      <w:r>
        <w:rPr>
          <w:rFonts w:hint="eastAsia" w:ascii="仿宋" w:hAnsi="仿宋" w:eastAsia="仿宋" w:cs="仿宋"/>
          <w:sz w:val="36"/>
          <w:szCs w:val="36"/>
          <w:highlight w:val="none"/>
        </w:rPr>
        <w:t>目录</w:t>
      </w:r>
    </w:p>
    <w:p>
      <w:pPr>
        <w:pStyle w:val="48"/>
        <w:tabs>
          <w:tab w:val="right" w:leader="dot" w:pos="9412"/>
        </w:tabs>
      </w:pPr>
      <w:bookmarkStart w:id="0" w:name="_Toc487204770"/>
      <w:bookmarkStart w:id="1" w:name="_Toc12789052"/>
      <w:bookmarkStart w:id="2" w:name="_Toc11641050"/>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TOC \o "1-3" \h \z </w:instrText>
      </w:r>
      <w:r>
        <w:rPr>
          <w:rFonts w:hint="eastAsia" w:ascii="仿宋" w:hAnsi="仿宋" w:eastAsia="仿宋" w:cs="仿宋"/>
          <w:sz w:val="21"/>
          <w:szCs w:val="21"/>
          <w:highlight w:val="none"/>
        </w:rPr>
        <w:fldChar w:fldCharType="separate"/>
      </w: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_Toc5523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rPr>
        <w:t>第一篇询价邀请书</w:t>
      </w:r>
      <w:r>
        <w:tab/>
      </w:r>
      <w:r>
        <w:fldChar w:fldCharType="begin"/>
      </w:r>
      <w:r>
        <w:instrText xml:space="preserve"> PAGEREF _Toc5523 \h </w:instrText>
      </w:r>
      <w:r>
        <w:fldChar w:fldCharType="separate"/>
      </w:r>
      <w:r>
        <w:t>- 4 -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_Toc1746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一、询价内容</w:t>
      </w:r>
      <w:r>
        <w:tab/>
      </w:r>
      <w:r>
        <w:fldChar w:fldCharType="begin"/>
      </w:r>
      <w:r>
        <w:instrText xml:space="preserve"> PAGEREF _Toc1746 \h </w:instrText>
      </w:r>
      <w:r>
        <w:fldChar w:fldCharType="separate"/>
      </w:r>
      <w:r>
        <w:t>- 4 -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_Toc14070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二、资金来源</w:t>
      </w:r>
      <w:r>
        <w:tab/>
      </w:r>
      <w:r>
        <w:fldChar w:fldCharType="begin"/>
      </w:r>
      <w:r>
        <w:instrText xml:space="preserve"> PAGEREF _Toc14070 \h </w:instrText>
      </w:r>
      <w:r>
        <w:fldChar w:fldCharType="separate"/>
      </w:r>
      <w:r>
        <w:t>- 4 -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_Toc30995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三、资格要求</w:t>
      </w:r>
      <w:r>
        <w:tab/>
      </w:r>
      <w:r>
        <w:fldChar w:fldCharType="begin"/>
      </w:r>
      <w:r>
        <w:instrText xml:space="preserve"> PAGEREF _Toc30995 \h </w:instrText>
      </w:r>
      <w:r>
        <w:fldChar w:fldCharType="separate"/>
      </w:r>
      <w:r>
        <w:t>- 4 -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_Toc24716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四、询价有关说明</w:t>
      </w:r>
      <w:r>
        <w:tab/>
      </w:r>
      <w:r>
        <w:fldChar w:fldCharType="begin"/>
      </w:r>
      <w:r>
        <w:instrText xml:space="preserve"> PAGEREF _Toc24716 \h </w:instrText>
      </w:r>
      <w:r>
        <w:fldChar w:fldCharType="separate"/>
      </w:r>
      <w:r>
        <w:t>- 4 -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_Toc28768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五、保证金</w:t>
      </w:r>
      <w:r>
        <w:tab/>
      </w:r>
      <w:r>
        <w:fldChar w:fldCharType="begin"/>
      </w:r>
      <w:r>
        <w:instrText xml:space="preserve"> PAGEREF _Toc28768 \h </w:instrText>
      </w:r>
      <w:r>
        <w:fldChar w:fldCharType="separate"/>
      </w:r>
      <w:r>
        <w:t>- 5 -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_Toc16150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六、询价有关规定</w:t>
      </w:r>
      <w:r>
        <w:tab/>
      </w:r>
      <w:r>
        <w:fldChar w:fldCharType="begin"/>
      </w:r>
      <w:r>
        <w:instrText xml:space="preserve"> PAGEREF _Toc16150 \h </w:instrText>
      </w:r>
      <w:r>
        <w:fldChar w:fldCharType="separate"/>
      </w:r>
      <w:r>
        <w:t>- 6 -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_Toc9616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七、联系方式</w:t>
      </w:r>
      <w:r>
        <w:tab/>
      </w:r>
      <w:r>
        <w:fldChar w:fldCharType="begin"/>
      </w:r>
      <w:r>
        <w:instrText xml:space="preserve"> PAGEREF _Toc9616 \h </w:instrText>
      </w:r>
      <w:r>
        <w:fldChar w:fldCharType="separate"/>
      </w:r>
      <w:r>
        <w:t>- 6 -</w:t>
      </w:r>
      <w:r>
        <w:fldChar w:fldCharType="end"/>
      </w:r>
      <w:r>
        <w:rPr>
          <w:rFonts w:hint="eastAsia" w:ascii="仿宋" w:hAnsi="仿宋" w:eastAsia="仿宋" w:cs="仿宋"/>
          <w:szCs w:val="21"/>
          <w:highlight w:val="none"/>
        </w:rPr>
        <w:fldChar w:fldCharType="end"/>
      </w:r>
    </w:p>
    <w:p>
      <w:pPr>
        <w:pStyle w:val="48"/>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_Toc21184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rPr>
        <w:t>第二篇供应商须知</w:t>
      </w:r>
      <w:r>
        <w:tab/>
      </w:r>
      <w:r>
        <w:fldChar w:fldCharType="begin"/>
      </w:r>
      <w:r>
        <w:instrText xml:space="preserve"> PAGEREF _Toc21184 \h </w:instrText>
      </w:r>
      <w:r>
        <w:fldChar w:fldCharType="separate"/>
      </w:r>
      <w:r>
        <w:t>- 7 -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_Toc24581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一、询价费用</w:t>
      </w:r>
      <w:r>
        <w:tab/>
      </w:r>
      <w:r>
        <w:fldChar w:fldCharType="begin"/>
      </w:r>
      <w:r>
        <w:instrText xml:space="preserve"> PAGEREF _Toc24581 \h </w:instrText>
      </w:r>
      <w:r>
        <w:fldChar w:fldCharType="separate"/>
      </w:r>
      <w:r>
        <w:t>- 7 -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_Toc5540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二、询价通知书</w:t>
      </w:r>
      <w:r>
        <w:tab/>
      </w:r>
      <w:r>
        <w:fldChar w:fldCharType="begin"/>
      </w:r>
      <w:r>
        <w:instrText xml:space="preserve"> PAGEREF _Toc5540 \h </w:instrText>
      </w:r>
      <w:r>
        <w:fldChar w:fldCharType="separate"/>
      </w:r>
      <w:r>
        <w:t>- 7 -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_Toc18609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三、询价要求</w:t>
      </w:r>
      <w:r>
        <w:tab/>
      </w:r>
      <w:r>
        <w:fldChar w:fldCharType="begin"/>
      </w:r>
      <w:r>
        <w:instrText xml:space="preserve"> PAGEREF _Toc18609 \h </w:instrText>
      </w:r>
      <w:r>
        <w:fldChar w:fldCharType="separate"/>
      </w:r>
      <w:r>
        <w:t>- 7 -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_Toc12097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四、询价程序及成交标准</w:t>
      </w:r>
      <w:r>
        <w:tab/>
      </w:r>
      <w:r>
        <w:fldChar w:fldCharType="begin"/>
      </w:r>
      <w:r>
        <w:instrText xml:space="preserve"> PAGEREF _Toc12097 \h </w:instrText>
      </w:r>
      <w:r>
        <w:fldChar w:fldCharType="separate"/>
      </w:r>
      <w:r>
        <w:t>- 9 -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_Toc18971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五、评审依据</w:t>
      </w:r>
      <w:r>
        <w:tab/>
      </w:r>
      <w:r>
        <w:fldChar w:fldCharType="begin"/>
      </w:r>
      <w:r>
        <w:instrText xml:space="preserve"> PAGEREF _Toc18971 \h </w:instrText>
      </w:r>
      <w:r>
        <w:fldChar w:fldCharType="separate"/>
      </w:r>
      <w:r>
        <w:t>- 12 -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_Toc25826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六、成交通知</w:t>
      </w:r>
      <w:r>
        <w:tab/>
      </w:r>
      <w:r>
        <w:fldChar w:fldCharType="begin"/>
      </w:r>
      <w:r>
        <w:instrText xml:space="preserve"> PAGEREF _Toc25826 \h </w:instrText>
      </w:r>
      <w:r>
        <w:fldChar w:fldCharType="separate"/>
      </w:r>
      <w:r>
        <w:t>- 12 -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_Toc3516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七、关于质疑和投诉</w:t>
      </w:r>
      <w:r>
        <w:tab/>
      </w:r>
      <w:r>
        <w:fldChar w:fldCharType="begin"/>
      </w:r>
      <w:r>
        <w:instrText xml:space="preserve"> PAGEREF _Toc3516 \h </w:instrText>
      </w:r>
      <w:r>
        <w:fldChar w:fldCharType="separate"/>
      </w:r>
      <w:r>
        <w:t>- 12 -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_Toc13835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八、签订合同</w:t>
      </w:r>
      <w:r>
        <w:tab/>
      </w:r>
      <w:r>
        <w:fldChar w:fldCharType="begin"/>
      </w:r>
      <w:r>
        <w:instrText xml:space="preserve"> PAGEREF _Toc13835 \h </w:instrText>
      </w:r>
      <w:r>
        <w:fldChar w:fldCharType="separate"/>
      </w:r>
      <w:r>
        <w:t>- 13 -</w:t>
      </w:r>
      <w:r>
        <w:fldChar w:fldCharType="end"/>
      </w:r>
      <w:r>
        <w:rPr>
          <w:rFonts w:hint="eastAsia" w:ascii="仿宋" w:hAnsi="仿宋" w:eastAsia="仿宋" w:cs="仿宋"/>
          <w:szCs w:val="21"/>
          <w:highlight w:val="none"/>
        </w:rPr>
        <w:fldChar w:fldCharType="end"/>
      </w:r>
    </w:p>
    <w:p>
      <w:pPr>
        <w:pStyle w:val="48"/>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_Toc26936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rPr>
        <w:t>第三篇询价项目技术需求</w:t>
      </w:r>
      <w:r>
        <w:tab/>
      </w:r>
      <w:r>
        <w:fldChar w:fldCharType="begin"/>
      </w:r>
      <w:r>
        <w:instrText xml:space="preserve"> PAGEREF _Toc26936 \h </w:instrText>
      </w:r>
      <w:r>
        <w:fldChar w:fldCharType="separate"/>
      </w:r>
      <w:r>
        <w:t>- 14 -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_Toc19802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一、项目</w:t>
      </w:r>
      <w:r>
        <w:rPr>
          <w:rFonts w:hint="eastAsia" w:ascii="仿宋" w:hAnsi="仿宋" w:eastAsia="仿宋" w:cs="仿宋"/>
          <w:szCs w:val="24"/>
          <w:highlight w:val="none"/>
          <w:lang w:eastAsia="zh-CN"/>
        </w:rPr>
        <w:t>技术</w:t>
      </w:r>
      <w:r>
        <w:rPr>
          <w:rFonts w:hint="eastAsia" w:ascii="仿宋" w:hAnsi="仿宋" w:eastAsia="仿宋" w:cs="仿宋"/>
          <w:szCs w:val="24"/>
          <w:highlight w:val="none"/>
        </w:rPr>
        <w:t>要求</w:t>
      </w:r>
      <w:r>
        <w:tab/>
      </w:r>
      <w:r>
        <w:fldChar w:fldCharType="begin"/>
      </w:r>
      <w:r>
        <w:instrText xml:space="preserve"> PAGEREF _Toc19802 \h </w:instrText>
      </w:r>
      <w:r>
        <w:fldChar w:fldCharType="separate"/>
      </w:r>
      <w:r>
        <w:t>- 14 -</w:t>
      </w:r>
      <w:r>
        <w:fldChar w:fldCharType="end"/>
      </w:r>
      <w:r>
        <w:rPr>
          <w:rFonts w:hint="eastAsia" w:ascii="仿宋" w:hAnsi="仿宋" w:eastAsia="仿宋" w:cs="仿宋"/>
          <w:szCs w:val="21"/>
          <w:highlight w:val="none"/>
        </w:rPr>
        <w:fldChar w:fldCharType="end"/>
      </w:r>
    </w:p>
    <w:p>
      <w:pPr>
        <w:pStyle w:val="48"/>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_Toc25129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rPr>
        <w:t>第四篇询价项目商务需求</w:t>
      </w:r>
      <w:r>
        <w:tab/>
      </w:r>
      <w:r>
        <w:fldChar w:fldCharType="begin"/>
      </w:r>
      <w:r>
        <w:instrText xml:space="preserve"> PAGEREF _Toc25129 \h </w:instrText>
      </w:r>
      <w:r>
        <w:fldChar w:fldCharType="separate"/>
      </w:r>
      <w:r>
        <w:t>- 19 -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_Toc29067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一、交付时间、地点及验收方式</w:t>
      </w:r>
      <w:r>
        <w:tab/>
      </w:r>
      <w:r>
        <w:fldChar w:fldCharType="begin"/>
      </w:r>
      <w:r>
        <w:instrText xml:space="preserve"> PAGEREF _Toc29067 \h </w:instrText>
      </w:r>
      <w:r>
        <w:fldChar w:fldCharType="separate"/>
      </w:r>
      <w:r>
        <w:t>- 19 -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_Toc26023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二、报价要求</w:t>
      </w:r>
      <w:r>
        <w:tab/>
      </w:r>
      <w:r>
        <w:fldChar w:fldCharType="begin"/>
      </w:r>
      <w:r>
        <w:instrText xml:space="preserve"> PAGEREF _Toc26023 \h </w:instrText>
      </w:r>
      <w:r>
        <w:fldChar w:fldCharType="separate"/>
      </w:r>
      <w:r>
        <w:t>- 19 -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_Toc16253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三、付款方式</w:t>
      </w:r>
      <w:r>
        <w:tab/>
      </w:r>
      <w:r>
        <w:fldChar w:fldCharType="begin"/>
      </w:r>
      <w:r>
        <w:instrText xml:space="preserve"> PAGEREF _Toc16253 \h </w:instrText>
      </w:r>
      <w:r>
        <w:fldChar w:fldCharType="separate"/>
      </w:r>
      <w:r>
        <w:t>- 19 -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_Toc30897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四、知识产权</w:t>
      </w:r>
      <w:r>
        <w:tab/>
      </w:r>
      <w:r>
        <w:fldChar w:fldCharType="begin"/>
      </w:r>
      <w:r>
        <w:instrText xml:space="preserve"> PAGEREF _Toc30897 \h </w:instrText>
      </w:r>
      <w:r>
        <w:fldChar w:fldCharType="separate"/>
      </w:r>
      <w:r>
        <w:t>- 19 -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_Toc32098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五、其他</w:t>
      </w:r>
      <w:r>
        <w:tab/>
      </w:r>
      <w:r>
        <w:fldChar w:fldCharType="begin"/>
      </w:r>
      <w:r>
        <w:instrText xml:space="preserve"> PAGEREF _Toc32098 \h </w:instrText>
      </w:r>
      <w:r>
        <w:fldChar w:fldCharType="separate"/>
      </w:r>
      <w:r>
        <w:t>- 19 -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_Toc4376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六、违约责任按</w:t>
      </w:r>
      <w:r>
        <w:tab/>
      </w:r>
      <w:r>
        <w:fldChar w:fldCharType="begin"/>
      </w:r>
      <w:r>
        <w:instrText xml:space="preserve"> PAGEREF _Toc4376 \h </w:instrText>
      </w:r>
      <w:r>
        <w:fldChar w:fldCharType="separate"/>
      </w:r>
      <w:r>
        <w:t>- 19 -</w:t>
      </w:r>
      <w:r>
        <w:fldChar w:fldCharType="end"/>
      </w:r>
      <w:r>
        <w:rPr>
          <w:rFonts w:hint="eastAsia" w:ascii="仿宋" w:hAnsi="仿宋" w:eastAsia="仿宋" w:cs="仿宋"/>
          <w:szCs w:val="21"/>
          <w:highlight w:val="none"/>
        </w:rPr>
        <w:fldChar w:fldCharType="end"/>
      </w:r>
    </w:p>
    <w:p>
      <w:pPr>
        <w:pStyle w:val="48"/>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_Toc6282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rPr>
        <w:t>第五篇合同主要条款和格式合同（样本）</w:t>
      </w:r>
      <w:r>
        <w:tab/>
      </w:r>
      <w:r>
        <w:fldChar w:fldCharType="begin"/>
      </w:r>
      <w:r>
        <w:instrText xml:space="preserve"> PAGEREF _Toc6282 \h </w:instrText>
      </w:r>
      <w:r>
        <w:fldChar w:fldCharType="separate"/>
      </w:r>
      <w:r>
        <w:t>- 20 -</w:t>
      </w:r>
      <w:r>
        <w:fldChar w:fldCharType="end"/>
      </w:r>
      <w:r>
        <w:rPr>
          <w:rFonts w:hint="eastAsia" w:ascii="仿宋" w:hAnsi="仿宋" w:eastAsia="仿宋" w:cs="仿宋"/>
          <w:szCs w:val="21"/>
          <w:highlight w:val="none"/>
        </w:rPr>
        <w:fldChar w:fldCharType="end"/>
      </w:r>
    </w:p>
    <w:p>
      <w:pPr>
        <w:pStyle w:val="48"/>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_Toc679 </w:instrText>
      </w:r>
      <w:r>
        <w:rPr>
          <w:rFonts w:hint="eastAsia" w:ascii="仿宋" w:hAnsi="仿宋" w:eastAsia="仿宋" w:cs="仿宋"/>
          <w:szCs w:val="21"/>
          <w:highlight w:val="none"/>
        </w:rPr>
        <w:fldChar w:fldCharType="separate"/>
      </w:r>
      <w:r>
        <w:rPr>
          <w:rFonts w:hint="eastAsia" w:ascii="仿宋" w:hAnsi="仿宋" w:eastAsia="仿宋" w:cs="仿宋"/>
          <w:szCs w:val="32"/>
          <w:highlight w:val="none"/>
          <w:lang w:val="en-US" w:eastAsia="zh-CN"/>
        </w:rPr>
        <w:t>第六篇响应文件格式要求</w:t>
      </w:r>
      <w:r>
        <w:tab/>
      </w:r>
      <w:r>
        <w:fldChar w:fldCharType="begin"/>
      </w:r>
      <w:r>
        <w:instrText xml:space="preserve"> PAGEREF _Toc679 \h </w:instrText>
      </w:r>
      <w:r>
        <w:fldChar w:fldCharType="separate"/>
      </w:r>
      <w:r>
        <w:t>- 23 -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_Toc10854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一、经济部分</w:t>
      </w:r>
      <w:r>
        <w:tab/>
      </w:r>
      <w:r>
        <w:fldChar w:fldCharType="begin"/>
      </w:r>
      <w:r>
        <w:instrText xml:space="preserve"> PAGEREF _Toc10854 \h </w:instrText>
      </w:r>
      <w:r>
        <w:fldChar w:fldCharType="separate"/>
      </w:r>
      <w:r>
        <w:t>- 24 -</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_Toc2710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二、技术部分</w:t>
      </w:r>
      <w:r>
        <w:tab/>
      </w:r>
      <w:r>
        <w:fldChar w:fldCharType="begin"/>
      </w:r>
      <w:r>
        <w:instrText xml:space="preserve"> PAGEREF _Toc2710 \h </w:instrText>
      </w:r>
      <w:r>
        <w:fldChar w:fldCharType="separate"/>
      </w:r>
      <w:r>
        <w:t>26</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_Toc1713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三、商务部分</w:t>
      </w:r>
      <w:r>
        <w:tab/>
      </w:r>
      <w:r>
        <w:fldChar w:fldCharType="begin"/>
      </w:r>
      <w:r>
        <w:instrText xml:space="preserve"> PAGEREF _Toc1713 \h </w:instrText>
      </w:r>
      <w:r>
        <w:fldChar w:fldCharType="separate"/>
      </w:r>
      <w:r>
        <w:t>28</w:t>
      </w:r>
      <w:r>
        <w:fldChar w:fldCharType="end"/>
      </w:r>
      <w:r>
        <w:rPr>
          <w:rFonts w:hint="eastAsia" w:ascii="仿宋" w:hAnsi="仿宋" w:eastAsia="仿宋" w:cs="仿宋"/>
          <w:szCs w:val="21"/>
          <w:highlight w:val="none"/>
        </w:rPr>
        <w:fldChar w:fldCharType="end"/>
      </w:r>
    </w:p>
    <w:p>
      <w:pPr>
        <w:pStyle w:val="31"/>
        <w:tabs>
          <w:tab w:val="right" w:leader="dot" w:pos="9412"/>
        </w:tabs>
      </w:pPr>
      <w:r>
        <w:rPr>
          <w:rFonts w:hint="eastAsia" w:ascii="仿宋" w:hAnsi="仿宋" w:eastAsia="仿宋" w:cs="仿宋"/>
          <w:szCs w:val="21"/>
          <w:highlight w:val="none"/>
        </w:rPr>
        <w:fldChar w:fldCharType="begin"/>
      </w:r>
      <w:r>
        <w:rPr>
          <w:rFonts w:hint="eastAsia" w:ascii="仿宋" w:hAnsi="仿宋" w:eastAsia="仿宋" w:cs="仿宋"/>
          <w:szCs w:val="21"/>
          <w:highlight w:val="none"/>
        </w:rPr>
        <w:instrText xml:space="preserve"> HYPERLINK \l _Toc5003 </w:instrText>
      </w:r>
      <w:r>
        <w:rPr>
          <w:rFonts w:hint="eastAsia" w:ascii="仿宋" w:hAnsi="仿宋" w:eastAsia="仿宋" w:cs="仿宋"/>
          <w:szCs w:val="21"/>
          <w:highlight w:val="none"/>
        </w:rPr>
        <w:fldChar w:fldCharType="separate"/>
      </w:r>
      <w:r>
        <w:rPr>
          <w:rFonts w:hint="eastAsia" w:ascii="仿宋" w:hAnsi="仿宋" w:eastAsia="仿宋" w:cs="仿宋"/>
          <w:szCs w:val="24"/>
          <w:highlight w:val="none"/>
        </w:rPr>
        <w:t>四、资格条件及其他</w:t>
      </w:r>
      <w:r>
        <w:tab/>
      </w:r>
      <w:r>
        <w:fldChar w:fldCharType="begin"/>
      </w:r>
      <w:r>
        <w:instrText xml:space="preserve"> PAGEREF _Toc5003 \h </w:instrText>
      </w:r>
      <w:r>
        <w:fldChar w:fldCharType="separate"/>
      </w:r>
      <w:r>
        <w:t>30</w:t>
      </w:r>
      <w:r>
        <w:fldChar w:fldCharType="end"/>
      </w:r>
      <w:r>
        <w:rPr>
          <w:rFonts w:hint="eastAsia" w:ascii="仿宋" w:hAnsi="仿宋" w:eastAsia="仿宋" w:cs="仿宋"/>
          <w:szCs w:val="21"/>
          <w:highlight w:val="none"/>
        </w:rPr>
        <w:fldChar w:fldCharType="end"/>
      </w:r>
    </w:p>
    <w:p>
      <w:pPr>
        <w:pStyle w:val="48"/>
        <w:tabs>
          <w:tab w:val="right" w:leader="dot" w:pos="9402"/>
        </w:tabs>
        <w:spacing w:line="480" w:lineRule="exact"/>
        <w:ind w:left="0" w:leftChars="0"/>
        <w:rPr>
          <w:rFonts w:hint="eastAsia" w:ascii="仿宋" w:hAnsi="仿宋" w:eastAsia="仿宋" w:cs="仿宋"/>
          <w:szCs w:val="21"/>
          <w:highlight w:val="none"/>
        </w:rPr>
      </w:pPr>
      <w:r>
        <w:rPr>
          <w:rFonts w:hint="eastAsia" w:ascii="仿宋" w:hAnsi="仿宋" w:eastAsia="仿宋" w:cs="仿宋"/>
          <w:szCs w:val="21"/>
          <w:highlight w:val="none"/>
        </w:rPr>
        <w:fldChar w:fldCharType="end"/>
      </w:r>
      <w:bookmarkStart w:id="3" w:name="_Toc9956"/>
      <w:bookmarkStart w:id="4" w:name="_Toc31206"/>
      <w:bookmarkStart w:id="5" w:name="_Toc521318162"/>
    </w:p>
    <w:p>
      <w:pPr>
        <w:jc w:val="center"/>
        <w:rPr>
          <w:rFonts w:hint="eastAsia" w:ascii="仿宋" w:hAnsi="仿宋" w:eastAsia="仿宋" w:cs="仿宋"/>
          <w:szCs w:val="21"/>
          <w:highlight w:val="none"/>
        </w:rPr>
      </w:pPr>
      <w:r>
        <w:rPr>
          <w:rFonts w:hint="eastAsia" w:ascii="仿宋" w:hAnsi="仿宋" w:eastAsia="仿宋" w:cs="仿宋"/>
          <w:szCs w:val="21"/>
          <w:highlight w:val="none"/>
        </w:rPr>
        <w:br w:type="page"/>
      </w:r>
    </w:p>
    <w:p>
      <w:pPr>
        <w:jc w:val="center"/>
        <w:rPr>
          <w:rFonts w:hint="eastAsia" w:ascii="仿宋" w:hAnsi="仿宋" w:eastAsia="仿宋" w:cs="仿宋"/>
          <w:szCs w:val="21"/>
          <w:highlight w:val="none"/>
        </w:rPr>
      </w:pPr>
    </w:p>
    <w:p>
      <w:pPr>
        <w:jc w:val="center"/>
        <w:rPr>
          <w:rFonts w:hint="eastAsia" w:ascii="仿宋" w:hAnsi="仿宋" w:eastAsia="仿宋" w:cs="仿宋"/>
          <w:szCs w:val="21"/>
          <w:highlight w:val="none"/>
        </w:rPr>
      </w:pPr>
    </w:p>
    <w:p>
      <w:pPr>
        <w:jc w:val="center"/>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重庆市聚创招标代理有限公司</w:t>
      </w:r>
    </w:p>
    <w:p>
      <w:pPr>
        <w:jc w:val="center"/>
        <w:rPr>
          <w:rFonts w:hint="eastAsia" w:ascii="仿宋" w:hAnsi="仿宋" w:eastAsia="仿宋" w:cs="仿宋"/>
          <w:b/>
          <w:bCs/>
          <w:sz w:val="44"/>
          <w:szCs w:val="44"/>
          <w:highlight w:val="none"/>
        </w:rPr>
      </w:pPr>
      <w:r>
        <w:rPr>
          <w:rFonts w:hint="eastAsia" w:ascii="仿宋" w:hAnsi="仿宋" w:eastAsia="仿宋" w:cs="仿宋"/>
          <w:b/>
          <w:bCs/>
          <w:sz w:val="44"/>
          <w:szCs w:val="44"/>
          <w:highlight w:val="none"/>
        </w:rPr>
        <w:t>采购文件发售登记表</w:t>
      </w:r>
    </w:p>
    <w:p>
      <w:pPr>
        <w:jc w:val="left"/>
        <w:rPr>
          <w:rFonts w:hint="eastAsia" w:ascii="仿宋" w:hAnsi="仿宋" w:eastAsia="仿宋" w:cs="仿宋"/>
          <w:b/>
          <w:bCs/>
          <w:spacing w:val="40"/>
          <w:highlight w:val="none"/>
        </w:rPr>
      </w:pPr>
    </w:p>
    <w:tbl>
      <w:tblPr>
        <w:tblStyle w:val="65"/>
        <w:tblW w:w="8526"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2281"/>
        <w:gridCol w:w="1426"/>
        <w:gridCol w:w="29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项目号</w:t>
            </w:r>
          </w:p>
        </w:tc>
        <w:tc>
          <w:tcPr>
            <w:tcW w:w="2281" w:type="dxa"/>
            <w:vAlign w:val="center"/>
          </w:tcPr>
          <w:p>
            <w:pPr>
              <w:jc w:val="left"/>
              <w:rPr>
                <w:rFonts w:hint="eastAsia" w:ascii="仿宋" w:hAnsi="仿宋" w:eastAsia="仿宋" w:cs="仿宋"/>
                <w:szCs w:val="28"/>
                <w:highlight w:val="none"/>
              </w:rPr>
            </w:pPr>
          </w:p>
        </w:tc>
        <w:tc>
          <w:tcPr>
            <w:tcW w:w="1426"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招标</w:t>
            </w:r>
          </w:p>
          <w:p>
            <w:pPr>
              <w:jc w:val="center"/>
              <w:rPr>
                <w:rFonts w:hint="eastAsia" w:ascii="仿宋" w:hAnsi="仿宋" w:eastAsia="仿宋" w:cs="仿宋"/>
                <w:szCs w:val="28"/>
                <w:highlight w:val="none"/>
              </w:rPr>
            </w:pPr>
            <w:r>
              <w:rPr>
                <w:rFonts w:hint="eastAsia" w:ascii="仿宋" w:hAnsi="仿宋" w:eastAsia="仿宋" w:cs="仿宋"/>
                <w:szCs w:val="28"/>
                <w:highlight w:val="none"/>
              </w:rPr>
              <w:t>项目编号</w:t>
            </w:r>
          </w:p>
        </w:tc>
        <w:tc>
          <w:tcPr>
            <w:tcW w:w="2996" w:type="dxa"/>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项目名称</w:t>
            </w: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供应商名称</w:t>
            </w:r>
          </w:p>
        </w:tc>
        <w:tc>
          <w:tcPr>
            <w:tcW w:w="6703" w:type="dxa"/>
            <w:gridSpan w:val="3"/>
            <w:vAlign w:val="bottom"/>
          </w:tcPr>
          <w:p>
            <w:pPr>
              <w:jc w:val="right"/>
              <w:rPr>
                <w:rFonts w:hint="eastAsia" w:ascii="仿宋" w:hAnsi="仿宋" w:eastAsia="仿宋" w:cs="仿宋"/>
                <w:szCs w:val="28"/>
                <w:highlight w:val="none"/>
              </w:rPr>
            </w:pPr>
            <w:r>
              <w:rPr>
                <w:rFonts w:hint="eastAsia" w:ascii="仿宋" w:hAnsi="仿宋" w:eastAsia="仿宋" w:cs="仿宋"/>
                <w:szCs w:val="28"/>
                <w:highlight w:val="none"/>
              </w:rPr>
              <w:t>（供应商公章）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联系人</w:t>
            </w:r>
          </w:p>
        </w:tc>
        <w:tc>
          <w:tcPr>
            <w:tcW w:w="2281" w:type="dxa"/>
            <w:vAlign w:val="center"/>
          </w:tcPr>
          <w:p>
            <w:pPr>
              <w:jc w:val="left"/>
              <w:rPr>
                <w:rFonts w:hint="eastAsia" w:ascii="仿宋" w:hAnsi="仿宋" w:eastAsia="仿宋" w:cs="仿宋"/>
                <w:szCs w:val="28"/>
                <w:highlight w:val="none"/>
              </w:rPr>
            </w:pPr>
          </w:p>
        </w:tc>
        <w:tc>
          <w:tcPr>
            <w:tcW w:w="1426"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手机</w:t>
            </w:r>
          </w:p>
        </w:tc>
        <w:tc>
          <w:tcPr>
            <w:tcW w:w="2996" w:type="dxa"/>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办公电话</w:t>
            </w:r>
          </w:p>
        </w:tc>
        <w:tc>
          <w:tcPr>
            <w:tcW w:w="2281" w:type="dxa"/>
            <w:vAlign w:val="center"/>
          </w:tcPr>
          <w:p>
            <w:pPr>
              <w:jc w:val="left"/>
              <w:rPr>
                <w:rFonts w:hint="eastAsia" w:ascii="仿宋" w:hAnsi="仿宋" w:eastAsia="仿宋" w:cs="仿宋"/>
                <w:szCs w:val="28"/>
                <w:highlight w:val="none"/>
              </w:rPr>
            </w:pPr>
          </w:p>
        </w:tc>
        <w:tc>
          <w:tcPr>
            <w:tcW w:w="1426"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传真</w:t>
            </w:r>
          </w:p>
        </w:tc>
        <w:tc>
          <w:tcPr>
            <w:tcW w:w="2996" w:type="dxa"/>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E-mail</w:t>
            </w: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单位地址</w:t>
            </w: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23" w:type="dxa"/>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分包号</w:t>
            </w:r>
          </w:p>
        </w:tc>
        <w:tc>
          <w:tcPr>
            <w:tcW w:w="6703" w:type="dxa"/>
            <w:gridSpan w:val="3"/>
            <w:vAlign w:val="center"/>
          </w:tcPr>
          <w:p>
            <w:pPr>
              <w:jc w:val="center"/>
              <w:rPr>
                <w:rFonts w:hint="eastAsia" w:ascii="仿宋" w:hAnsi="仿宋" w:eastAsia="仿宋" w:cs="仿宋"/>
                <w:szCs w:val="28"/>
                <w:highlight w:val="none"/>
              </w:rPr>
            </w:pPr>
            <w:r>
              <w:rPr>
                <w:rFonts w:hint="eastAsia" w:ascii="仿宋" w:hAnsi="仿宋" w:eastAsia="仿宋" w:cs="仿宋"/>
                <w:szCs w:val="28"/>
                <w:highlight w:val="none"/>
              </w:rPr>
              <w:t>分包名称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823" w:type="dxa"/>
            <w:vAlign w:val="center"/>
          </w:tcPr>
          <w:p>
            <w:pPr>
              <w:jc w:val="left"/>
              <w:rPr>
                <w:rFonts w:hint="eastAsia" w:ascii="仿宋" w:hAnsi="仿宋" w:eastAsia="仿宋" w:cs="仿宋"/>
                <w:szCs w:val="28"/>
                <w:highlight w:val="none"/>
              </w:rPr>
            </w:pPr>
          </w:p>
        </w:tc>
        <w:tc>
          <w:tcPr>
            <w:tcW w:w="6703" w:type="dxa"/>
            <w:gridSpan w:val="3"/>
            <w:vAlign w:val="center"/>
          </w:tcPr>
          <w:p>
            <w:pPr>
              <w:jc w:val="left"/>
              <w:rPr>
                <w:rFonts w:hint="eastAsia" w:ascii="仿宋" w:hAnsi="仿宋" w:eastAsia="仿宋" w:cs="仿宋"/>
                <w:szCs w:val="2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8526" w:type="dxa"/>
            <w:gridSpan w:val="4"/>
            <w:vAlign w:val="center"/>
          </w:tcPr>
          <w:p>
            <w:pPr>
              <w:jc w:val="left"/>
              <w:rPr>
                <w:rFonts w:hint="eastAsia" w:ascii="仿宋" w:hAnsi="仿宋" w:eastAsia="仿宋" w:cs="仿宋"/>
                <w:szCs w:val="28"/>
                <w:highlight w:val="none"/>
              </w:rPr>
            </w:pPr>
            <w:r>
              <w:rPr>
                <w:rFonts w:hint="eastAsia" w:ascii="仿宋" w:hAnsi="仿宋" w:eastAsia="仿宋" w:cs="仿宋"/>
                <w:szCs w:val="28"/>
                <w:highlight w:val="none"/>
              </w:rPr>
              <w:t>购分包号为</w:t>
            </w:r>
            <w:r>
              <w:rPr>
                <w:rFonts w:hint="eastAsia" w:ascii="仿宋" w:hAnsi="仿宋" w:eastAsia="仿宋" w:cs="仿宋"/>
                <w:szCs w:val="28"/>
                <w:highlight w:val="none"/>
                <w:u w:val="single"/>
              </w:rPr>
              <w:t xml:space="preserve">                   </w:t>
            </w:r>
            <w:r>
              <w:rPr>
                <w:rFonts w:hint="eastAsia" w:ascii="仿宋" w:hAnsi="仿宋" w:eastAsia="仿宋" w:cs="仿宋"/>
                <w:szCs w:val="28"/>
                <w:highlight w:val="none"/>
              </w:rPr>
              <w:t>的标书，共计</w:t>
            </w:r>
            <w:r>
              <w:rPr>
                <w:rFonts w:hint="eastAsia" w:ascii="仿宋" w:hAnsi="仿宋" w:eastAsia="仿宋" w:cs="仿宋"/>
                <w:szCs w:val="28"/>
                <w:highlight w:val="none"/>
                <w:u w:val="single"/>
              </w:rPr>
              <w:t xml:space="preserve">            </w:t>
            </w:r>
            <w:r>
              <w:rPr>
                <w:rFonts w:hint="eastAsia" w:ascii="仿宋" w:hAnsi="仿宋" w:eastAsia="仿宋" w:cs="仿宋"/>
                <w:szCs w:val="28"/>
                <w:highlight w:val="none"/>
              </w:rPr>
              <w:t>元</w:t>
            </w:r>
          </w:p>
        </w:tc>
      </w:tr>
    </w:tbl>
    <w:p>
      <w:pPr>
        <w:rPr>
          <w:rFonts w:hint="eastAsia" w:ascii="仿宋" w:hAnsi="仿宋" w:eastAsia="仿宋" w:cs="仿宋"/>
          <w:sz w:val="24"/>
          <w:highlight w:val="none"/>
        </w:rPr>
      </w:pPr>
    </w:p>
    <w:p>
      <w:pPr>
        <w:ind w:firstLine="360" w:firstLineChars="150"/>
        <w:rPr>
          <w:rFonts w:hint="eastAsia" w:ascii="仿宋" w:hAnsi="仿宋" w:eastAsia="仿宋" w:cs="仿宋"/>
          <w:sz w:val="24"/>
          <w:highlight w:val="none"/>
        </w:rPr>
      </w:pPr>
      <w:r>
        <w:rPr>
          <w:rFonts w:hint="eastAsia" w:ascii="仿宋" w:hAnsi="仿宋" w:eastAsia="仿宋" w:cs="仿宋"/>
          <w:sz w:val="24"/>
          <w:highlight w:val="none"/>
        </w:rPr>
        <w:t xml:space="preserve">           购买人：              日期：</w:t>
      </w:r>
    </w:p>
    <w:p>
      <w:pPr>
        <w:rPr>
          <w:rFonts w:hint="eastAsia" w:ascii="仿宋" w:hAnsi="仿宋" w:eastAsia="仿宋" w:cs="仿宋"/>
          <w:color w:val="000000"/>
          <w:sz w:val="44"/>
          <w:szCs w:val="28"/>
          <w:highlight w:val="none"/>
        </w:rPr>
      </w:pPr>
      <w:r>
        <w:rPr>
          <w:rFonts w:hint="eastAsia" w:ascii="仿宋" w:hAnsi="仿宋" w:eastAsia="仿宋" w:cs="仿宋"/>
          <w:color w:val="000000"/>
          <w:sz w:val="44"/>
          <w:szCs w:val="28"/>
          <w:highlight w:val="none"/>
        </w:rPr>
        <w:br w:type="page"/>
      </w:r>
    </w:p>
    <w:p>
      <w:pPr>
        <w:widowControl/>
        <w:jc w:val="left"/>
        <w:rPr>
          <w:rFonts w:hint="eastAsia" w:ascii="仿宋" w:hAnsi="仿宋" w:eastAsia="仿宋" w:cs="仿宋"/>
          <w:szCs w:val="21"/>
          <w:highlight w:val="none"/>
        </w:rPr>
      </w:pPr>
    </w:p>
    <w:p>
      <w:pPr>
        <w:pStyle w:val="48"/>
        <w:tabs>
          <w:tab w:val="right" w:leader="dot" w:pos="9402"/>
        </w:tabs>
        <w:spacing w:line="480" w:lineRule="exact"/>
        <w:ind w:left="0" w:leftChars="0"/>
        <w:rPr>
          <w:rFonts w:hint="eastAsia" w:ascii="仿宋" w:hAnsi="仿宋" w:eastAsia="仿宋" w:cs="仿宋"/>
          <w:szCs w:val="21"/>
          <w:highlight w:val="none"/>
        </w:rPr>
      </w:pPr>
    </w:p>
    <w:p>
      <w:pPr>
        <w:pStyle w:val="4"/>
        <w:spacing w:line="380" w:lineRule="exact"/>
        <w:jc w:val="center"/>
        <w:rPr>
          <w:rFonts w:hint="eastAsia" w:ascii="仿宋" w:hAnsi="仿宋" w:eastAsia="仿宋" w:cs="仿宋"/>
          <w:szCs w:val="32"/>
          <w:highlight w:val="none"/>
        </w:rPr>
      </w:pPr>
      <w:bookmarkStart w:id="6" w:name="_Toc5523"/>
      <w:r>
        <w:rPr>
          <w:rFonts w:hint="eastAsia" w:ascii="仿宋" w:hAnsi="仿宋" w:eastAsia="仿宋" w:cs="仿宋"/>
          <w:szCs w:val="32"/>
          <w:highlight w:val="none"/>
        </w:rPr>
        <w:t>第一篇询价邀请书</w:t>
      </w:r>
      <w:bookmarkEnd w:id="0"/>
      <w:bookmarkEnd w:id="1"/>
      <w:bookmarkEnd w:id="2"/>
      <w:bookmarkEnd w:id="3"/>
      <w:bookmarkEnd w:id="4"/>
      <w:bookmarkEnd w:id="5"/>
      <w:bookmarkEnd w:id="6"/>
    </w:p>
    <w:p>
      <w:pPr>
        <w:spacing w:line="380" w:lineRule="exact"/>
        <w:ind w:firstLine="600" w:firstLineChars="250"/>
        <w:jc w:val="left"/>
        <w:rPr>
          <w:rFonts w:hint="eastAsia" w:ascii="仿宋" w:hAnsi="仿宋" w:eastAsia="仿宋" w:cs="仿宋"/>
          <w:sz w:val="24"/>
          <w:szCs w:val="24"/>
          <w:highlight w:val="none"/>
        </w:rPr>
      </w:pPr>
      <w:r>
        <w:rPr>
          <w:rFonts w:hint="eastAsia" w:ascii="仿宋" w:hAnsi="仿宋" w:eastAsia="仿宋" w:cs="仿宋"/>
          <w:sz w:val="24"/>
          <w:szCs w:val="24"/>
          <w:highlight w:val="none"/>
          <w:u w:val="single"/>
          <w:lang w:val="en-US" w:eastAsia="zh-CN"/>
        </w:rPr>
        <w:t>重庆市聚创招标代理有限公司</w:t>
      </w:r>
      <w:r>
        <w:rPr>
          <w:rFonts w:hint="eastAsia" w:ascii="仿宋" w:hAnsi="仿宋" w:eastAsia="仿宋" w:cs="仿宋"/>
          <w:sz w:val="24"/>
          <w:szCs w:val="24"/>
          <w:highlight w:val="none"/>
        </w:rPr>
        <w:t>（以下简称“代理机构”）受</w:t>
      </w:r>
      <w:r>
        <w:rPr>
          <w:rFonts w:hint="eastAsia" w:ascii="仿宋" w:hAnsi="仿宋" w:eastAsia="仿宋" w:cs="仿宋"/>
          <w:sz w:val="24"/>
          <w:szCs w:val="24"/>
          <w:highlight w:val="none"/>
          <w:u w:val="single"/>
        </w:rPr>
        <w:t>重庆市生态环境大数据应用中心</w:t>
      </w:r>
      <w:r>
        <w:rPr>
          <w:rFonts w:hint="eastAsia" w:ascii="仿宋" w:hAnsi="仿宋" w:eastAsia="仿宋" w:cs="仿宋"/>
          <w:sz w:val="24"/>
          <w:szCs w:val="24"/>
          <w:highlight w:val="none"/>
        </w:rPr>
        <w:t>（以下简称“采购人”）委托，对</w:t>
      </w:r>
      <w:r>
        <w:rPr>
          <w:rFonts w:hint="eastAsia" w:ascii="仿宋" w:hAnsi="仿宋" w:eastAsia="仿宋" w:cs="仿宋"/>
          <w:sz w:val="24"/>
          <w:szCs w:val="24"/>
          <w:highlight w:val="none"/>
          <w:u w:val="single"/>
          <w:lang w:eastAsia="zh-CN"/>
        </w:rPr>
        <w:t>基础软件询价采购</w:t>
      </w:r>
      <w:r>
        <w:rPr>
          <w:rFonts w:hint="eastAsia" w:ascii="仿宋" w:hAnsi="仿宋" w:eastAsia="仿宋" w:cs="仿宋"/>
          <w:sz w:val="24"/>
          <w:szCs w:val="24"/>
          <w:highlight w:val="none"/>
        </w:rPr>
        <w:t>进行询价。欢迎有资格的供应商前来参加询价。</w:t>
      </w:r>
    </w:p>
    <w:p>
      <w:pPr>
        <w:pStyle w:val="5"/>
        <w:spacing w:before="0" w:after="0" w:line="380" w:lineRule="exact"/>
        <w:rPr>
          <w:rFonts w:hint="eastAsia" w:ascii="仿宋" w:hAnsi="仿宋" w:eastAsia="仿宋" w:cs="仿宋"/>
          <w:sz w:val="24"/>
          <w:szCs w:val="24"/>
          <w:highlight w:val="none"/>
        </w:rPr>
      </w:pPr>
      <w:bookmarkStart w:id="7" w:name="_Toc9167"/>
      <w:bookmarkStart w:id="8" w:name="_Toc20343"/>
      <w:bookmarkStart w:id="9" w:name="_Toc487204771"/>
      <w:bookmarkStart w:id="10" w:name="_Toc317775175"/>
      <w:bookmarkStart w:id="11" w:name="_Toc521318163"/>
      <w:bookmarkStart w:id="12" w:name="_Toc1746"/>
      <w:bookmarkStart w:id="13" w:name="_Toc313893526"/>
      <w:r>
        <w:rPr>
          <w:rFonts w:hint="eastAsia" w:ascii="仿宋" w:hAnsi="仿宋" w:eastAsia="仿宋" w:cs="仿宋"/>
          <w:sz w:val="24"/>
          <w:szCs w:val="24"/>
          <w:highlight w:val="none"/>
        </w:rPr>
        <w:t>一、询价内容</w:t>
      </w:r>
      <w:bookmarkEnd w:id="7"/>
      <w:bookmarkEnd w:id="8"/>
      <w:bookmarkEnd w:id="9"/>
      <w:bookmarkEnd w:id="10"/>
      <w:bookmarkEnd w:id="11"/>
      <w:bookmarkEnd w:id="12"/>
      <w:bookmarkEnd w:id="13"/>
    </w:p>
    <w:tbl>
      <w:tblPr>
        <w:tblStyle w:val="65"/>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266"/>
        <w:gridCol w:w="1702"/>
        <w:gridCol w:w="1198"/>
        <w:gridCol w:w="1395"/>
        <w:gridCol w:w="136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79"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序号</w:t>
            </w:r>
          </w:p>
        </w:tc>
        <w:tc>
          <w:tcPr>
            <w:tcW w:w="1266"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项目名称</w:t>
            </w:r>
          </w:p>
        </w:tc>
        <w:tc>
          <w:tcPr>
            <w:tcW w:w="1702"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采购人</w:t>
            </w:r>
          </w:p>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（用户单位）</w:t>
            </w:r>
          </w:p>
        </w:tc>
        <w:tc>
          <w:tcPr>
            <w:tcW w:w="1198"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lang w:eastAsia="zh-CN"/>
              </w:rPr>
            </w:pPr>
            <w:r>
              <w:rPr>
                <w:rFonts w:hint="eastAsia" w:ascii="仿宋" w:hAnsi="仿宋" w:eastAsia="仿宋" w:cs="仿宋"/>
                <w:b/>
                <w:bCs/>
                <w:kern w:val="0"/>
                <w:sz w:val="24"/>
                <w:szCs w:val="24"/>
                <w:highlight w:val="none"/>
                <w:lang w:eastAsia="zh-CN"/>
              </w:rPr>
              <w:t>数量</w:t>
            </w:r>
          </w:p>
        </w:tc>
        <w:tc>
          <w:tcPr>
            <w:tcW w:w="1395"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采购限价</w:t>
            </w:r>
          </w:p>
          <w:p>
            <w:pPr>
              <w:widowControl/>
              <w:jc w:val="center"/>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rPr>
              <w:t>（</w:t>
            </w:r>
            <w:r>
              <w:rPr>
                <w:rFonts w:hint="eastAsia" w:ascii="仿宋" w:hAnsi="仿宋" w:eastAsia="仿宋" w:cs="仿宋"/>
                <w:b/>
                <w:bCs/>
                <w:kern w:val="0"/>
                <w:sz w:val="24"/>
                <w:szCs w:val="24"/>
                <w:highlight w:val="none"/>
                <w:lang w:eastAsia="zh-CN"/>
              </w:rPr>
              <w:t>万</w:t>
            </w:r>
            <w:r>
              <w:rPr>
                <w:rFonts w:hint="eastAsia" w:ascii="仿宋" w:hAnsi="仿宋" w:eastAsia="仿宋" w:cs="仿宋"/>
                <w:b/>
                <w:bCs/>
                <w:kern w:val="0"/>
                <w:sz w:val="24"/>
                <w:szCs w:val="24"/>
                <w:highlight w:val="none"/>
              </w:rPr>
              <w:t>元）</w:t>
            </w:r>
          </w:p>
        </w:tc>
        <w:tc>
          <w:tcPr>
            <w:tcW w:w="1367"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 w:val="24"/>
                <w:szCs w:val="24"/>
                <w:highlight w:val="none"/>
              </w:rPr>
            </w:pPr>
            <w:r>
              <w:rPr>
                <w:rFonts w:hint="eastAsia" w:ascii="仿宋" w:hAnsi="仿宋" w:eastAsia="仿宋" w:cs="仿宋"/>
                <w:b/>
                <w:bCs/>
                <w:kern w:val="0"/>
                <w:sz w:val="24"/>
                <w:szCs w:val="24"/>
                <w:highlight w:val="none"/>
              </w:rPr>
              <w:t>地址</w:t>
            </w:r>
          </w:p>
        </w:tc>
        <w:tc>
          <w:tcPr>
            <w:tcW w:w="121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79"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bCs/>
                <w:kern w:val="0"/>
                <w:sz w:val="24"/>
                <w:szCs w:val="24"/>
                <w:highlight w:val="none"/>
              </w:rPr>
            </w:pPr>
            <w:r>
              <w:rPr>
                <w:rFonts w:hint="eastAsia" w:ascii="仿宋" w:hAnsi="仿宋" w:eastAsia="仿宋" w:cs="仿宋"/>
                <w:bCs/>
                <w:kern w:val="0"/>
                <w:sz w:val="24"/>
                <w:szCs w:val="24"/>
                <w:highlight w:val="none"/>
              </w:rPr>
              <w:t>1</w:t>
            </w:r>
          </w:p>
        </w:tc>
        <w:tc>
          <w:tcPr>
            <w:tcW w:w="1266"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lang w:eastAsia="zh-CN"/>
              </w:rPr>
              <w:t>基础软件询价采购</w:t>
            </w:r>
          </w:p>
        </w:tc>
        <w:tc>
          <w:tcPr>
            <w:tcW w:w="1702"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重庆市生态环境大数据应用中心</w:t>
            </w:r>
          </w:p>
        </w:tc>
        <w:tc>
          <w:tcPr>
            <w:tcW w:w="1198"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1批</w:t>
            </w:r>
          </w:p>
        </w:tc>
        <w:tc>
          <w:tcPr>
            <w:tcW w:w="1395"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 w:val="24"/>
                <w:szCs w:val="24"/>
                <w:highlight w:val="none"/>
                <w:lang w:val="en-US" w:eastAsia="zh-CN"/>
              </w:rPr>
            </w:pPr>
            <w:r>
              <w:rPr>
                <w:rFonts w:hint="eastAsia" w:ascii="仿宋" w:hAnsi="仿宋" w:eastAsia="仿宋" w:cs="仿宋"/>
                <w:kern w:val="0"/>
                <w:sz w:val="24"/>
                <w:szCs w:val="24"/>
                <w:highlight w:val="none"/>
                <w:lang w:val="en-US" w:eastAsia="zh-CN"/>
              </w:rPr>
              <w:t>45.77</w:t>
            </w:r>
          </w:p>
        </w:tc>
        <w:tc>
          <w:tcPr>
            <w:tcW w:w="1367"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 w:val="24"/>
                <w:szCs w:val="24"/>
                <w:highlight w:val="none"/>
              </w:rPr>
            </w:pPr>
            <w:r>
              <w:rPr>
                <w:rFonts w:hint="eastAsia" w:ascii="仿宋" w:hAnsi="仿宋" w:eastAsia="仿宋" w:cs="仿宋"/>
                <w:kern w:val="0"/>
                <w:sz w:val="24"/>
                <w:szCs w:val="24"/>
                <w:highlight w:val="none"/>
              </w:rPr>
              <w:t>重庆市渝北区礼环南路102号</w:t>
            </w:r>
          </w:p>
        </w:tc>
        <w:tc>
          <w:tcPr>
            <w:tcW w:w="121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0.9</w:t>
            </w:r>
          </w:p>
        </w:tc>
      </w:tr>
    </w:tbl>
    <w:p>
      <w:pPr>
        <w:pStyle w:val="5"/>
        <w:spacing w:before="0" w:after="0" w:line="380" w:lineRule="exact"/>
        <w:rPr>
          <w:rFonts w:hint="eastAsia" w:ascii="仿宋" w:hAnsi="仿宋" w:eastAsia="仿宋" w:cs="仿宋"/>
          <w:sz w:val="24"/>
          <w:szCs w:val="24"/>
          <w:highlight w:val="none"/>
        </w:rPr>
      </w:pPr>
      <w:bookmarkStart w:id="14" w:name="_Toc14070"/>
      <w:bookmarkStart w:id="15" w:name="_Toc521318164"/>
      <w:bookmarkStart w:id="16" w:name="_Toc487204772"/>
      <w:bookmarkStart w:id="17" w:name="_Toc11592"/>
      <w:bookmarkStart w:id="18" w:name="_Toc4372"/>
      <w:bookmarkStart w:id="19" w:name="_Toc373860293"/>
      <w:bookmarkStart w:id="20" w:name="_Toc317775178"/>
      <w:r>
        <w:rPr>
          <w:rFonts w:hint="eastAsia" w:ascii="仿宋" w:hAnsi="仿宋" w:eastAsia="仿宋" w:cs="仿宋"/>
          <w:sz w:val="24"/>
          <w:szCs w:val="24"/>
          <w:highlight w:val="none"/>
        </w:rPr>
        <w:t>二、资金来源</w:t>
      </w:r>
      <w:bookmarkEnd w:id="14"/>
      <w:bookmarkEnd w:id="15"/>
      <w:bookmarkEnd w:id="16"/>
      <w:bookmarkEnd w:id="17"/>
      <w:bookmarkEnd w:id="18"/>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财政资金。</w:t>
      </w:r>
    </w:p>
    <w:p>
      <w:pPr>
        <w:pStyle w:val="5"/>
        <w:spacing w:before="0" w:after="0" w:line="380" w:lineRule="exact"/>
        <w:rPr>
          <w:rFonts w:hint="eastAsia" w:ascii="仿宋" w:hAnsi="仿宋" w:eastAsia="仿宋" w:cs="仿宋"/>
          <w:sz w:val="24"/>
          <w:szCs w:val="24"/>
          <w:highlight w:val="none"/>
        </w:rPr>
      </w:pPr>
      <w:bookmarkStart w:id="21" w:name="_Toc487204773"/>
      <w:bookmarkStart w:id="22" w:name="_Toc30995"/>
      <w:bookmarkStart w:id="23" w:name="_Toc20415"/>
      <w:bookmarkStart w:id="24" w:name="_Toc28123"/>
      <w:bookmarkStart w:id="25" w:name="_Toc342913390"/>
      <w:bookmarkStart w:id="26" w:name="_Toc521318165"/>
      <w:r>
        <w:rPr>
          <w:rFonts w:hint="eastAsia" w:ascii="仿宋" w:hAnsi="仿宋" w:eastAsia="仿宋" w:cs="仿宋"/>
          <w:sz w:val="24"/>
          <w:szCs w:val="24"/>
          <w:highlight w:val="none"/>
        </w:rPr>
        <w:t>三、资格要求</w:t>
      </w:r>
      <w:bookmarkEnd w:id="21"/>
      <w:bookmarkEnd w:id="22"/>
      <w:bookmarkEnd w:id="23"/>
      <w:bookmarkEnd w:id="24"/>
      <w:bookmarkEnd w:id="25"/>
      <w:bookmarkEnd w:id="26"/>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询价供应商是指向采购人提供货物、工程或者服务的法人、其他组织或者自然人。以下简称供应商。</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一、基本资格条件</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合格的供应商应符合下列条件：</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1.具有独立承担民事责任的能力；</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2.具有良好的商业信誉和健全的财务会计制度；</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3.具有履行合同所必需的设备和专业技术能力；</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4.有依法缴纳税收和社会保障资金的良好记录；</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5.加政府采购活动前三年内，在经营活动中没有重大违法记录。</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6.法律、行政法规规定的其他条件。</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二、特定资格条件</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无</w:t>
      </w:r>
    </w:p>
    <w:p>
      <w:pPr>
        <w:pStyle w:val="5"/>
        <w:spacing w:before="0" w:after="0" w:line="380" w:lineRule="exact"/>
        <w:rPr>
          <w:rFonts w:hint="eastAsia" w:ascii="仿宋" w:hAnsi="仿宋" w:eastAsia="仿宋" w:cs="仿宋"/>
          <w:sz w:val="24"/>
          <w:szCs w:val="24"/>
          <w:highlight w:val="none"/>
        </w:rPr>
      </w:pPr>
      <w:bookmarkStart w:id="27" w:name="_Toc15388"/>
      <w:bookmarkStart w:id="28" w:name="_Toc487204774"/>
      <w:bookmarkStart w:id="29" w:name="_Toc27115"/>
      <w:bookmarkStart w:id="30" w:name="_Toc521318166"/>
      <w:bookmarkStart w:id="31" w:name="_Toc24716"/>
      <w:r>
        <w:rPr>
          <w:rFonts w:hint="eastAsia" w:ascii="仿宋" w:hAnsi="仿宋" w:eastAsia="仿宋" w:cs="仿宋"/>
          <w:sz w:val="24"/>
          <w:szCs w:val="24"/>
          <w:highlight w:val="none"/>
        </w:rPr>
        <w:t>四、询价有关说明</w:t>
      </w:r>
      <w:bookmarkEnd w:id="19"/>
      <w:bookmarkEnd w:id="27"/>
      <w:bookmarkEnd w:id="28"/>
      <w:bookmarkEnd w:id="29"/>
      <w:bookmarkEnd w:id="30"/>
      <w:bookmarkEnd w:id="31"/>
    </w:p>
    <w:p>
      <w:pPr>
        <w:snapToGrid w:val="0"/>
        <w:spacing w:line="400" w:lineRule="exact"/>
        <w:ind w:firstLine="480" w:firstLineChars="200"/>
        <w:rPr>
          <w:rFonts w:hint="eastAsia" w:ascii="仿宋" w:hAnsi="仿宋" w:eastAsia="仿宋" w:cs="仿宋"/>
          <w:sz w:val="24"/>
          <w:szCs w:val="24"/>
          <w:highlight w:val="none"/>
        </w:rPr>
      </w:pPr>
      <w:bookmarkStart w:id="32" w:name="_Toc373860294"/>
      <w:r>
        <w:rPr>
          <w:rFonts w:hint="eastAsia" w:ascii="仿宋" w:hAnsi="仿宋" w:eastAsia="仿宋" w:cs="仿宋"/>
          <w:sz w:val="24"/>
          <w:szCs w:val="24"/>
          <w:highlight w:val="none"/>
        </w:rPr>
        <w:t>（一）凡有意参加询价的供应商，请在</w:t>
      </w:r>
      <w:r>
        <w:rPr>
          <w:rFonts w:hint="eastAsia" w:ascii="仿宋" w:hAnsi="仿宋" w:eastAsia="仿宋" w:cs="仿宋"/>
          <w:sz w:val="24"/>
          <w:szCs w:val="24"/>
          <w:highlight w:val="none"/>
          <w:lang w:val="en-US" w:eastAsia="zh-CN"/>
        </w:rPr>
        <w:t>重庆市生态环境局官网（</w:t>
      </w:r>
      <w:r>
        <w:rPr>
          <w:rFonts w:hint="eastAsia" w:ascii="仿宋" w:hAnsi="仿宋" w:eastAsia="仿宋" w:cs="仿宋"/>
          <w:sz w:val="24"/>
          <w:szCs w:val="24"/>
          <w:highlight w:val="none"/>
        </w:rPr>
        <w:t>http://sthjj.cq.gov.cn/</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上下载或到</w:t>
      </w:r>
      <w:r>
        <w:rPr>
          <w:rFonts w:hint="eastAsia" w:ascii="仿宋" w:hAnsi="仿宋" w:eastAsia="仿宋" w:cs="仿宋"/>
          <w:sz w:val="24"/>
          <w:szCs w:val="24"/>
          <w:highlight w:val="none"/>
          <w:lang w:val="en-US" w:eastAsia="zh-CN"/>
        </w:rPr>
        <w:t>代理机构</w:t>
      </w:r>
      <w:r>
        <w:rPr>
          <w:rFonts w:hint="eastAsia" w:ascii="仿宋" w:hAnsi="仿宋" w:eastAsia="仿宋" w:cs="仿宋"/>
          <w:sz w:val="24"/>
          <w:szCs w:val="24"/>
          <w:highlight w:val="none"/>
        </w:rPr>
        <w:t>领取本项询价文件以及图纸、补遗等询价前公布的所有项目资料，无论供应商下载或领取与否，均视为已知晓所有询价实质性要求内容。</w:t>
      </w:r>
    </w:p>
    <w:p>
      <w:pPr>
        <w:spacing w:line="400" w:lineRule="exact"/>
        <w:ind w:firstLine="480" w:firstLineChars="200"/>
        <w:rPr>
          <w:rFonts w:hint="eastAsia" w:ascii="仿宋" w:hAnsi="仿宋" w:eastAsia="仿宋" w:cs="仿宋"/>
          <w:sz w:val="24"/>
          <w:szCs w:val="24"/>
          <w:highlight w:val="none"/>
        </w:rPr>
      </w:pPr>
      <w:bookmarkStart w:id="33" w:name="_Toc27806"/>
      <w:bookmarkStart w:id="34" w:name="_Toc487204775"/>
      <w:bookmarkStart w:id="35" w:name="_Toc521318167"/>
      <w:bookmarkStart w:id="36" w:name="_Toc14029"/>
      <w:r>
        <w:rPr>
          <w:rFonts w:hint="eastAsia" w:ascii="仿宋" w:hAnsi="仿宋" w:eastAsia="仿宋" w:cs="仿宋"/>
          <w:sz w:val="24"/>
          <w:szCs w:val="24"/>
          <w:highlight w:val="none"/>
        </w:rPr>
        <w:t>（二）报名及询价文件发售</w:t>
      </w:r>
    </w:p>
    <w:p>
      <w:pPr>
        <w:snapToGrid w:val="0"/>
        <w:spacing w:line="4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1.报名及询价文件发售期：2022年</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日-2022年</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日</w:t>
      </w:r>
      <w:r>
        <w:rPr>
          <w:rFonts w:hint="eastAsia" w:ascii="仿宋" w:hAnsi="仿宋" w:eastAsia="仿宋" w:cs="仿宋"/>
          <w:sz w:val="24"/>
          <w:szCs w:val="24"/>
          <w:highlight w:val="none"/>
          <w:lang w:val="en-US" w:eastAsia="zh-CN"/>
        </w:rPr>
        <w:t>12:00</w:t>
      </w:r>
    </w:p>
    <w:p>
      <w:pPr>
        <w:snapToGrid w:val="0"/>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2.询价文件售价：人民币</w:t>
      </w:r>
      <w:r>
        <w:rPr>
          <w:rFonts w:hint="eastAsia" w:ascii="仿宋" w:hAnsi="仿宋" w:eastAsia="仿宋" w:cs="仿宋"/>
          <w:sz w:val="24"/>
          <w:szCs w:val="24"/>
          <w:highlight w:val="none"/>
          <w:lang w:val="en-US" w:eastAsia="zh-CN"/>
        </w:rPr>
        <w:t>300</w:t>
      </w:r>
      <w:r>
        <w:rPr>
          <w:rFonts w:hint="eastAsia" w:ascii="仿宋" w:hAnsi="仿宋" w:eastAsia="仿宋" w:cs="仿宋"/>
          <w:sz w:val="24"/>
          <w:szCs w:val="24"/>
          <w:highlight w:val="none"/>
        </w:rPr>
        <w:t>元/份（售后不退），询价文件购买费由各供应商在询价当日递交响应文件时一并缴纳。</w:t>
      </w:r>
    </w:p>
    <w:p>
      <w:pPr>
        <w:snapToGrid w:val="0"/>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3.报名方式：在报名及询价文件发售期内，供应商将《采购文件发售登记表》（加盖</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公章）扫描后发送至</w:t>
      </w:r>
      <w:r>
        <w:rPr>
          <w:rFonts w:hint="eastAsia" w:ascii="仿宋" w:hAnsi="仿宋" w:eastAsia="仿宋" w:cs="仿宋"/>
          <w:sz w:val="24"/>
          <w:szCs w:val="24"/>
          <w:highlight w:val="none"/>
          <w:lang w:val="en-US" w:eastAsia="zh-CN"/>
        </w:rPr>
        <w:t>13805926459</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139</w:t>
      </w:r>
      <w:r>
        <w:rPr>
          <w:rFonts w:hint="eastAsia" w:ascii="仿宋" w:hAnsi="仿宋" w:eastAsia="仿宋" w:cs="仿宋"/>
          <w:sz w:val="24"/>
          <w:szCs w:val="24"/>
          <w:highlight w:val="none"/>
        </w:rPr>
        <w:t>.com。</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4.各供应商须在报名及询价文件发售期内按要求发送《采购文件发售登记表》进行报名，且于响应文件递交截止时间前缴纳了询价文件购买费用才具备询价资格，其响应文件才被接收。</w:t>
      </w:r>
    </w:p>
    <w:p>
      <w:pPr>
        <w:spacing w:line="4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（三）响应文件递交地址：</w:t>
      </w:r>
      <w:r>
        <w:rPr>
          <w:rFonts w:hint="eastAsia" w:ascii="仿宋" w:hAnsi="仿宋" w:eastAsia="仿宋" w:cs="仿宋"/>
          <w:sz w:val="24"/>
          <w:szCs w:val="24"/>
          <w:highlight w:val="none"/>
          <w:lang w:val="en-US" w:eastAsia="zh-CN"/>
        </w:rPr>
        <w:t>重庆市南岸区四公里万凯新都会B栋10-5</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（四）响应文件递交开始时间：2022年</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日北京时间</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00</w:t>
      </w:r>
      <w:r>
        <w:rPr>
          <w:rFonts w:hint="eastAsia" w:ascii="仿宋" w:hAnsi="仿宋" w:eastAsia="仿宋" w:cs="仿宋"/>
          <w:sz w:val="24"/>
          <w:szCs w:val="24"/>
          <w:highlight w:val="none"/>
        </w:rPr>
        <w:t>分</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（五）响应文件递交截止时间：2022年</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日北京时间</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（六）询价开始时间：2022年</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月</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日北京时间</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时</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rPr>
        <w:t>分</w:t>
      </w:r>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（七）询价地址：同响应文件递交地址</w:t>
      </w:r>
    </w:p>
    <w:p>
      <w:pPr>
        <w:pStyle w:val="5"/>
        <w:spacing w:before="0" w:after="0" w:line="380" w:lineRule="exact"/>
        <w:rPr>
          <w:rFonts w:hint="eastAsia" w:ascii="仿宋" w:hAnsi="仿宋" w:eastAsia="仿宋" w:cs="仿宋"/>
          <w:sz w:val="24"/>
          <w:szCs w:val="24"/>
          <w:highlight w:val="none"/>
        </w:rPr>
      </w:pPr>
      <w:bookmarkStart w:id="37" w:name="_Toc28768"/>
      <w:r>
        <w:rPr>
          <w:rFonts w:hint="eastAsia" w:ascii="仿宋" w:hAnsi="仿宋" w:eastAsia="仿宋" w:cs="仿宋"/>
          <w:sz w:val="24"/>
          <w:szCs w:val="24"/>
          <w:highlight w:val="none"/>
        </w:rPr>
        <w:t>五、保证金</w:t>
      </w:r>
      <w:bookmarkEnd w:id="32"/>
      <w:bookmarkEnd w:id="33"/>
      <w:bookmarkEnd w:id="34"/>
      <w:bookmarkEnd w:id="35"/>
      <w:bookmarkEnd w:id="36"/>
      <w:bookmarkEnd w:id="37"/>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（一）保证金递交</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须按本项目规定的</w:t>
      </w:r>
      <w:r>
        <w:rPr>
          <w:rFonts w:hint="eastAsia" w:ascii="仿宋" w:hAnsi="仿宋" w:eastAsia="仿宋" w:cs="仿宋"/>
          <w:sz w:val="24"/>
          <w:szCs w:val="24"/>
          <w:highlight w:val="none"/>
          <w:lang w:eastAsia="zh-CN"/>
        </w:rPr>
        <w:t>询价保证金</w:t>
      </w:r>
      <w:r>
        <w:rPr>
          <w:rFonts w:hint="eastAsia" w:ascii="仿宋" w:hAnsi="仿宋" w:eastAsia="仿宋" w:cs="仿宋"/>
          <w:sz w:val="24"/>
          <w:szCs w:val="24"/>
          <w:highlight w:val="none"/>
        </w:rPr>
        <w:t>金额进行缴纳（保证金金额详见本篇，一、询价邀请书内容），由</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将</w:t>
      </w:r>
      <w:r>
        <w:rPr>
          <w:rFonts w:hint="eastAsia" w:ascii="仿宋" w:hAnsi="仿宋" w:eastAsia="仿宋" w:cs="仿宋"/>
          <w:sz w:val="24"/>
          <w:szCs w:val="24"/>
          <w:highlight w:val="none"/>
          <w:lang w:eastAsia="zh-CN"/>
        </w:rPr>
        <w:t>询价保证金</w:t>
      </w:r>
      <w:r>
        <w:rPr>
          <w:rFonts w:hint="eastAsia" w:ascii="仿宋" w:hAnsi="仿宋" w:eastAsia="仿宋" w:cs="仿宋"/>
          <w:sz w:val="24"/>
          <w:szCs w:val="24"/>
          <w:highlight w:val="none"/>
        </w:rPr>
        <w:t>汇至以下账户，保证金的到账截止时间为响应文件递交截止时间当天上午</w:t>
      </w: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:00。</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询价保证金</w:t>
      </w:r>
      <w:r>
        <w:rPr>
          <w:rFonts w:hint="eastAsia" w:ascii="仿宋" w:hAnsi="仿宋" w:eastAsia="仿宋" w:cs="仿宋"/>
          <w:sz w:val="24"/>
          <w:szCs w:val="24"/>
          <w:highlight w:val="none"/>
        </w:rPr>
        <w:t>账户：</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户名：</w:t>
      </w:r>
      <w:r>
        <w:rPr>
          <w:rFonts w:hint="eastAsia" w:ascii="仿宋" w:hAnsi="仿宋" w:eastAsia="仿宋" w:cs="仿宋"/>
          <w:sz w:val="24"/>
          <w:szCs w:val="24"/>
          <w:highlight w:val="none"/>
        </w:rPr>
        <w:t>重庆市聚创招标代理有限公司</w:t>
      </w:r>
    </w:p>
    <w:p>
      <w:pPr>
        <w:snapToGrid w:val="0"/>
        <w:spacing w:line="4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开户行：</w:t>
      </w:r>
      <w:r>
        <w:rPr>
          <w:rFonts w:hint="eastAsia" w:ascii="仿宋" w:hAnsi="仿宋" w:eastAsia="仿宋" w:cs="仿宋"/>
          <w:sz w:val="24"/>
          <w:szCs w:val="24"/>
          <w:highlight w:val="none"/>
        </w:rPr>
        <w:t>中国建设银行股份有限公司重庆南坪支行</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帐号：5005</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0107</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3600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0000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2102</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1.各</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在银行转账（电汇）时，须充分考虑银行转账（电汇）的时间差风险，如同城转账、异地转账或汇款、跨行转账或电汇的时间要求。</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2.各</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在递交</w:t>
      </w:r>
      <w:r>
        <w:rPr>
          <w:rFonts w:hint="eastAsia" w:ascii="仿宋" w:hAnsi="仿宋" w:eastAsia="仿宋" w:cs="仿宋"/>
          <w:sz w:val="24"/>
          <w:szCs w:val="24"/>
          <w:highlight w:val="none"/>
          <w:lang w:val="en-US" w:eastAsia="zh-CN"/>
        </w:rPr>
        <w:t>询价</w:t>
      </w:r>
      <w:r>
        <w:rPr>
          <w:rFonts w:hint="eastAsia" w:ascii="仿宋" w:hAnsi="仿宋" w:eastAsia="仿宋" w:cs="仿宋"/>
          <w:sz w:val="24"/>
          <w:szCs w:val="24"/>
          <w:highlight w:val="none"/>
        </w:rPr>
        <w:t>保证金时，到款账户为上述指定的</w:t>
      </w:r>
      <w:r>
        <w:rPr>
          <w:rFonts w:hint="eastAsia" w:ascii="仿宋" w:hAnsi="仿宋" w:eastAsia="仿宋" w:cs="仿宋"/>
          <w:sz w:val="24"/>
          <w:szCs w:val="24"/>
          <w:highlight w:val="none"/>
          <w:lang w:val="en-US" w:eastAsia="zh-CN"/>
        </w:rPr>
        <w:t>询价</w:t>
      </w:r>
      <w:r>
        <w:rPr>
          <w:rFonts w:hint="eastAsia" w:ascii="仿宋" w:hAnsi="仿宋" w:eastAsia="仿宋" w:cs="仿宋"/>
          <w:sz w:val="24"/>
          <w:szCs w:val="24"/>
          <w:highlight w:val="none"/>
        </w:rPr>
        <w:t>保证金专用账户。</w:t>
      </w:r>
    </w:p>
    <w:p>
      <w:pPr>
        <w:snapToGrid w:val="0"/>
        <w:spacing w:line="440" w:lineRule="exact"/>
        <w:ind w:firstLine="480" w:firstLineChars="200"/>
        <w:rPr>
          <w:rFonts w:hint="eastAsia" w:ascii="仿宋" w:hAnsi="仿宋" w:eastAsia="仿宋" w:cs="仿宋"/>
          <w:sz w:val="24"/>
          <w:szCs w:val="24"/>
          <w:highlight w:val="none"/>
        </w:rPr>
      </w:pPr>
      <w:bookmarkStart w:id="38" w:name="_Hlk9600882"/>
      <w:r>
        <w:rPr>
          <w:rFonts w:hint="eastAsia" w:ascii="仿宋" w:hAnsi="仿宋" w:eastAsia="仿宋" w:cs="仿宋"/>
          <w:sz w:val="24"/>
          <w:szCs w:val="24"/>
          <w:highlight w:val="none"/>
        </w:rPr>
        <w:t>3.汇款的供应商请在付款凭证备注栏中注明项目编号</w:t>
      </w:r>
      <w:bookmarkEnd w:id="38"/>
      <w:r>
        <w:rPr>
          <w:rFonts w:hint="eastAsia" w:ascii="仿宋" w:hAnsi="仿宋" w:eastAsia="仿宋" w:cs="仿宋"/>
          <w:sz w:val="24"/>
          <w:szCs w:val="24"/>
          <w:highlight w:val="none"/>
        </w:rPr>
        <w:t>；</w:t>
      </w:r>
    </w:p>
    <w:p>
      <w:pPr>
        <w:snapToGrid w:val="0"/>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（二）保证金退还方式</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1.未成交供应商的保证金，在成交通知书发放后，由采购代理机构在五个工作日内按来款渠道直接退还。</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2.成交供应商的保证金，在成交供应商与采购人签订合同后，由采购代理机构在五个工作日内按资金来款渠道直接退还。</w:t>
      </w:r>
    </w:p>
    <w:p>
      <w:pPr>
        <w:snapToGrid w:val="0"/>
        <w:spacing w:line="4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询价保证金</w:t>
      </w:r>
      <w:r>
        <w:rPr>
          <w:rFonts w:hint="eastAsia" w:ascii="仿宋" w:hAnsi="仿宋" w:eastAsia="仿宋" w:cs="仿宋"/>
          <w:sz w:val="24"/>
          <w:szCs w:val="24"/>
          <w:highlight w:val="none"/>
        </w:rPr>
        <w:t>退还联系人：</w:t>
      </w:r>
      <w:r>
        <w:rPr>
          <w:rFonts w:hint="eastAsia" w:ascii="仿宋" w:hAnsi="仿宋" w:eastAsia="仿宋" w:cs="仿宋"/>
          <w:sz w:val="24"/>
          <w:szCs w:val="24"/>
          <w:highlight w:val="none"/>
          <w:lang w:val="en-US" w:eastAsia="zh-CN"/>
        </w:rPr>
        <w:t>孙老师</w:t>
      </w:r>
      <w:r>
        <w:rPr>
          <w:rFonts w:hint="eastAsia" w:ascii="仿宋" w:hAnsi="仿宋" w:eastAsia="仿宋" w:cs="仿宋"/>
          <w:sz w:val="24"/>
          <w:szCs w:val="24"/>
          <w:highlight w:val="none"/>
        </w:rPr>
        <w:t>。联系电话：</w:t>
      </w:r>
      <w:r>
        <w:rPr>
          <w:rFonts w:hint="eastAsia" w:ascii="仿宋" w:hAnsi="仿宋" w:eastAsia="仿宋" w:cs="仿宋"/>
          <w:sz w:val="24"/>
          <w:szCs w:val="24"/>
          <w:highlight w:val="none"/>
          <w:lang w:val="en-US" w:eastAsia="zh-CN"/>
        </w:rPr>
        <w:t>18580886459</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（三）报价供应商有下列情形之一的，</w:t>
      </w:r>
      <w:r>
        <w:rPr>
          <w:rFonts w:hint="eastAsia" w:ascii="仿宋" w:hAnsi="仿宋" w:eastAsia="仿宋" w:cs="仿宋"/>
          <w:sz w:val="24"/>
          <w:szCs w:val="24"/>
          <w:highlight w:val="none"/>
          <w:lang w:val="en-US" w:eastAsia="zh-CN"/>
        </w:rPr>
        <w:t>询价</w:t>
      </w:r>
      <w:r>
        <w:rPr>
          <w:rFonts w:hint="eastAsia" w:ascii="仿宋" w:hAnsi="仿宋" w:eastAsia="仿宋" w:cs="仿宋"/>
          <w:sz w:val="24"/>
          <w:szCs w:val="24"/>
          <w:highlight w:val="none"/>
        </w:rPr>
        <w:t>保证金不予退还：</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1.报价供应商在投标截止时间后，修改或撤回报价文件的；</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2.报价供应商取得成交资格后，放弃成交资格或不按采购文件要求签订合同的；</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3.有围标、串标等违法违规行为的；</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4.提供虚假资料或弄虚作假参与投标的；</w:t>
      </w:r>
    </w:p>
    <w:p>
      <w:pPr>
        <w:pStyle w:val="5"/>
        <w:spacing w:before="0" w:after="0" w:line="380" w:lineRule="exact"/>
        <w:rPr>
          <w:rFonts w:hint="eastAsia" w:ascii="仿宋" w:hAnsi="仿宋" w:eastAsia="仿宋" w:cs="仿宋"/>
          <w:sz w:val="24"/>
          <w:szCs w:val="24"/>
          <w:highlight w:val="none"/>
        </w:rPr>
      </w:pPr>
      <w:bookmarkStart w:id="39" w:name="_Toc26553"/>
      <w:bookmarkStart w:id="40" w:name="_Toc487204776"/>
      <w:bookmarkStart w:id="41" w:name="_Toc25642"/>
      <w:bookmarkStart w:id="42" w:name="_Toc16150"/>
      <w:bookmarkStart w:id="43" w:name="_Toc521318168"/>
      <w:r>
        <w:rPr>
          <w:rFonts w:hint="eastAsia" w:ascii="仿宋" w:hAnsi="仿宋" w:eastAsia="仿宋" w:cs="仿宋"/>
          <w:sz w:val="24"/>
          <w:szCs w:val="24"/>
          <w:highlight w:val="none"/>
        </w:rPr>
        <w:t>六、</w:t>
      </w:r>
      <w:bookmarkEnd w:id="20"/>
      <w:r>
        <w:rPr>
          <w:rFonts w:hint="eastAsia" w:ascii="仿宋" w:hAnsi="仿宋" w:eastAsia="仿宋" w:cs="仿宋"/>
          <w:sz w:val="24"/>
          <w:szCs w:val="24"/>
          <w:highlight w:val="none"/>
        </w:rPr>
        <w:t>询价有关规定</w:t>
      </w:r>
      <w:bookmarkEnd w:id="39"/>
      <w:bookmarkEnd w:id="40"/>
      <w:bookmarkEnd w:id="41"/>
      <w:bookmarkEnd w:id="42"/>
      <w:bookmarkEnd w:id="43"/>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（一）单位负责人为同一人或者存在直接控股、管理关系的不同供应商，不得参加同一合同项下的政府采购活动，否则均为无效响应。</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（二）本项目的补遗文件（如果有）一律在</w:t>
      </w:r>
      <w:r>
        <w:rPr>
          <w:rFonts w:hint="eastAsia" w:ascii="仿宋" w:hAnsi="仿宋" w:eastAsia="仿宋" w:cs="仿宋"/>
          <w:sz w:val="24"/>
          <w:szCs w:val="24"/>
          <w:highlight w:val="none"/>
          <w:lang w:val="en-US" w:eastAsia="zh-CN"/>
        </w:rPr>
        <w:t>重庆市生态环境局官网（</w:t>
      </w:r>
      <w:r>
        <w:rPr>
          <w:rFonts w:hint="eastAsia" w:ascii="仿宋" w:hAnsi="仿宋" w:eastAsia="仿宋" w:cs="仿宋"/>
          <w:sz w:val="24"/>
          <w:szCs w:val="24"/>
          <w:highlight w:val="none"/>
        </w:rPr>
        <w:t>http://sthjj.cq.gov.cn/</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上发布，请各供应商注意下载或到领取；无论供应商下载或领取与否，均视同供应商已知晓本项目补遗文件（如果有）的内容。</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（三）超过响应文件截止时间递交的响应文件，恕不接收。</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（四）询价费用：无论询价结果如何，供应商参与本项目询价的所有费用均应由供应商自行承担。</w:t>
      </w:r>
    </w:p>
    <w:p>
      <w:pPr>
        <w:pStyle w:val="5"/>
        <w:spacing w:before="0" w:after="0" w:line="380" w:lineRule="exact"/>
        <w:rPr>
          <w:rFonts w:hint="eastAsia" w:ascii="仿宋" w:hAnsi="仿宋" w:eastAsia="仿宋" w:cs="仿宋"/>
          <w:sz w:val="24"/>
          <w:szCs w:val="24"/>
          <w:highlight w:val="none"/>
        </w:rPr>
      </w:pPr>
      <w:bookmarkStart w:id="44" w:name="_Toc521318169"/>
      <w:bookmarkStart w:id="45" w:name="_Toc30003"/>
      <w:bookmarkStart w:id="46" w:name="_Toc9616"/>
      <w:bookmarkStart w:id="47" w:name="_Toc487204777"/>
      <w:bookmarkStart w:id="48" w:name="_Toc11638"/>
      <w:r>
        <w:rPr>
          <w:rFonts w:hint="eastAsia" w:ascii="仿宋" w:hAnsi="仿宋" w:eastAsia="仿宋" w:cs="仿宋"/>
          <w:sz w:val="24"/>
          <w:szCs w:val="24"/>
          <w:highlight w:val="none"/>
        </w:rPr>
        <w:t>七、联系方式</w:t>
      </w:r>
      <w:bookmarkEnd w:id="44"/>
      <w:bookmarkEnd w:id="45"/>
      <w:bookmarkEnd w:id="46"/>
      <w:bookmarkEnd w:id="47"/>
      <w:bookmarkEnd w:id="48"/>
    </w:p>
    <w:p>
      <w:pPr>
        <w:snapToGrid w:val="0"/>
        <w:spacing w:line="380" w:lineRule="exact"/>
        <w:ind w:left="482" w:leftChars="172"/>
        <w:rPr>
          <w:rFonts w:hint="eastAsia" w:ascii="仿宋" w:hAnsi="仿宋" w:eastAsia="仿宋" w:cs="仿宋"/>
          <w:sz w:val="24"/>
          <w:szCs w:val="24"/>
          <w:highlight w:val="none"/>
        </w:rPr>
      </w:pPr>
      <w:r>
        <w:rPr>
          <w:rFonts w:hint="eastAsia" w:ascii="仿宋" w:hAnsi="仿宋" w:eastAsia="仿宋" w:cs="仿宋"/>
          <w:sz w:val="24"/>
          <w:szCs w:val="24"/>
          <w:highlight w:val="none"/>
        </w:rPr>
        <w:t>（一）采购人：重庆市生态环境大数据应用中心</w:t>
      </w:r>
    </w:p>
    <w:p>
      <w:pPr>
        <w:snapToGrid w:val="0"/>
        <w:spacing w:line="380" w:lineRule="exact"/>
        <w:ind w:firstLine="480" w:firstLineChars="200"/>
        <w:rPr>
          <w:rFonts w:hint="eastAsia" w:ascii="仿宋" w:hAnsi="仿宋" w:eastAsia="仿宋" w:cs="仿宋"/>
          <w:sz w:val="24"/>
          <w:szCs w:val="24"/>
          <w:highlight w:val="none"/>
        </w:rPr>
      </w:pPr>
      <w:bookmarkStart w:id="49" w:name="_Toc102227313"/>
      <w:r>
        <w:rPr>
          <w:rFonts w:hint="eastAsia" w:ascii="仿宋" w:hAnsi="仿宋" w:eastAsia="仿宋" w:cs="仿宋"/>
          <w:sz w:val="24"/>
          <w:szCs w:val="24"/>
          <w:highlight w:val="none"/>
        </w:rPr>
        <w:t>联系人：夏老师</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电话：023-</w:t>
      </w:r>
      <w:r>
        <w:rPr>
          <w:rFonts w:hint="eastAsia" w:ascii="仿宋" w:hAnsi="仿宋" w:eastAsia="仿宋" w:cs="仿宋"/>
          <w:sz w:val="24"/>
          <w:szCs w:val="24"/>
          <w:highlight w:val="none"/>
          <w:lang w:val="en-US" w:eastAsia="zh-CN"/>
        </w:rPr>
        <w:t>88521059</w:t>
      </w:r>
      <w:bookmarkStart w:id="192" w:name="_GoBack"/>
      <w:bookmarkEnd w:id="192"/>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地址：重庆市渝北区礼环南路102号</w:t>
      </w:r>
    </w:p>
    <w:p>
      <w:pPr>
        <w:snapToGrid w:val="0"/>
        <w:spacing w:line="380" w:lineRule="exact"/>
        <w:ind w:left="482" w:leftChars="17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（二）采购代理机构：</w:t>
      </w:r>
      <w:r>
        <w:rPr>
          <w:rFonts w:hint="eastAsia" w:ascii="仿宋" w:hAnsi="仿宋" w:eastAsia="仿宋" w:cs="仿宋"/>
          <w:sz w:val="24"/>
          <w:szCs w:val="24"/>
          <w:highlight w:val="none"/>
          <w:lang w:val="en-US" w:eastAsia="zh-CN"/>
        </w:rPr>
        <w:t>重庆市聚创招标代理有限公司</w:t>
      </w:r>
    </w:p>
    <w:p>
      <w:pPr>
        <w:snapToGrid w:val="0"/>
        <w:spacing w:line="38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联系人：</w:t>
      </w:r>
      <w:r>
        <w:rPr>
          <w:rFonts w:hint="eastAsia" w:ascii="仿宋" w:hAnsi="仿宋" w:eastAsia="仿宋" w:cs="仿宋"/>
          <w:sz w:val="24"/>
          <w:szCs w:val="24"/>
          <w:highlight w:val="none"/>
          <w:lang w:val="en-US" w:eastAsia="zh-CN"/>
        </w:rPr>
        <w:t>孙老师</w:t>
      </w:r>
    </w:p>
    <w:p>
      <w:pPr>
        <w:snapToGrid w:val="0"/>
        <w:spacing w:line="38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联系电话：</w:t>
      </w:r>
      <w:r>
        <w:rPr>
          <w:rFonts w:hint="eastAsia" w:ascii="仿宋" w:hAnsi="仿宋" w:eastAsia="仿宋" w:cs="仿宋"/>
          <w:sz w:val="24"/>
          <w:szCs w:val="24"/>
          <w:highlight w:val="none"/>
          <w:lang w:val="en-US" w:eastAsia="zh-CN"/>
        </w:rPr>
        <w:t>18580886459</w:t>
      </w:r>
    </w:p>
    <w:p>
      <w:pPr>
        <w:snapToGrid w:val="0"/>
        <w:spacing w:line="380" w:lineRule="exact"/>
        <w:ind w:left="482" w:leftChars="172"/>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地址：</w:t>
      </w:r>
      <w:r>
        <w:rPr>
          <w:rFonts w:hint="eastAsia" w:ascii="仿宋" w:hAnsi="仿宋" w:eastAsia="仿宋" w:cs="仿宋"/>
          <w:sz w:val="24"/>
          <w:szCs w:val="24"/>
          <w:highlight w:val="none"/>
          <w:lang w:val="en-US" w:eastAsia="zh-CN"/>
        </w:rPr>
        <w:t>重庆市南岸区四公里万凯新都会B栋10-5</w:t>
      </w:r>
    </w:p>
    <w:p>
      <w:pPr>
        <w:snapToGrid w:val="0"/>
        <w:spacing w:line="380" w:lineRule="exact"/>
        <w:ind w:left="482" w:leftChars="172"/>
        <w:rPr>
          <w:rFonts w:hint="eastAsia" w:ascii="仿宋" w:hAnsi="仿宋" w:eastAsia="仿宋" w:cs="仿宋"/>
          <w:sz w:val="24"/>
          <w:szCs w:val="24"/>
          <w:highlight w:val="none"/>
        </w:rPr>
      </w:pPr>
    </w:p>
    <w:p>
      <w:pPr>
        <w:pStyle w:val="4"/>
        <w:spacing w:line="380" w:lineRule="exact"/>
        <w:jc w:val="center"/>
        <w:rPr>
          <w:rFonts w:hint="eastAsia" w:ascii="仿宋" w:hAnsi="仿宋" w:eastAsia="仿宋" w:cs="仿宋"/>
          <w:bCs/>
          <w:szCs w:val="32"/>
          <w:highlight w:val="none"/>
        </w:rPr>
      </w:pPr>
      <w:r>
        <w:rPr>
          <w:rFonts w:hint="eastAsia" w:ascii="仿宋" w:hAnsi="仿宋" w:eastAsia="仿宋" w:cs="仿宋"/>
          <w:b w:val="0"/>
          <w:sz w:val="24"/>
          <w:szCs w:val="24"/>
          <w:highlight w:val="none"/>
        </w:rPr>
        <w:br w:type="page"/>
      </w:r>
      <w:bookmarkStart w:id="50" w:name="_Toc487204778"/>
      <w:bookmarkStart w:id="51" w:name="_Toc521318170"/>
      <w:bookmarkStart w:id="52" w:name="_Toc29979"/>
      <w:bookmarkStart w:id="53" w:name="_Toc8787"/>
      <w:bookmarkStart w:id="54" w:name="_Toc21184"/>
      <w:r>
        <w:rPr>
          <w:rFonts w:hint="eastAsia" w:ascii="仿宋" w:hAnsi="仿宋" w:eastAsia="仿宋" w:cs="仿宋"/>
          <w:szCs w:val="32"/>
          <w:highlight w:val="none"/>
        </w:rPr>
        <w:t>第二篇供应商须知</w:t>
      </w:r>
      <w:bookmarkEnd w:id="49"/>
      <w:bookmarkEnd w:id="50"/>
      <w:bookmarkEnd w:id="51"/>
      <w:bookmarkEnd w:id="52"/>
      <w:bookmarkEnd w:id="53"/>
      <w:bookmarkEnd w:id="54"/>
    </w:p>
    <w:p>
      <w:pPr>
        <w:pStyle w:val="5"/>
        <w:spacing w:before="0" w:after="0" w:line="380" w:lineRule="exact"/>
        <w:rPr>
          <w:rFonts w:hint="eastAsia" w:ascii="仿宋" w:hAnsi="仿宋" w:eastAsia="仿宋" w:cs="仿宋"/>
          <w:sz w:val="24"/>
          <w:szCs w:val="24"/>
          <w:highlight w:val="none"/>
        </w:rPr>
      </w:pPr>
      <w:bookmarkStart w:id="55" w:name="_Toc11390"/>
      <w:bookmarkStart w:id="56" w:name="_Toc487204779"/>
      <w:bookmarkStart w:id="57" w:name="_Toc25724"/>
      <w:bookmarkStart w:id="58" w:name="_Toc521318171"/>
      <w:bookmarkStart w:id="59" w:name="_Toc342913389"/>
      <w:bookmarkStart w:id="60" w:name="_Toc24581"/>
      <w:bookmarkStart w:id="61" w:name="_Toc426965630"/>
      <w:r>
        <w:rPr>
          <w:rFonts w:hint="eastAsia" w:ascii="仿宋" w:hAnsi="仿宋" w:eastAsia="仿宋" w:cs="仿宋"/>
          <w:sz w:val="24"/>
          <w:szCs w:val="24"/>
          <w:highlight w:val="none"/>
        </w:rPr>
        <w:t>一、询价费用</w:t>
      </w:r>
      <w:bookmarkEnd w:id="55"/>
      <w:bookmarkEnd w:id="56"/>
      <w:bookmarkEnd w:id="57"/>
      <w:bookmarkEnd w:id="58"/>
      <w:bookmarkEnd w:id="59"/>
      <w:bookmarkEnd w:id="60"/>
      <w:bookmarkEnd w:id="61"/>
    </w:p>
    <w:p>
      <w:pPr>
        <w:pStyle w:val="193"/>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参与询价的供应商应承担其编制响应文件与递交响应文件所涉及的一切费用，不论询价结果如何，采购人和采购代理机构在任何情况下无义务也无责任承担这些费用。</w:t>
      </w:r>
    </w:p>
    <w:p>
      <w:pPr>
        <w:pStyle w:val="5"/>
        <w:tabs>
          <w:tab w:val="left" w:pos="2640"/>
        </w:tabs>
        <w:spacing w:before="0" w:after="0" w:line="380" w:lineRule="exact"/>
        <w:rPr>
          <w:rFonts w:hint="eastAsia" w:ascii="仿宋" w:hAnsi="仿宋" w:eastAsia="仿宋" w:cs="仿宋"/>
          <w:sz w:val="24"/>
          <w:szCs w:val="24"/>
          <w:highlight w:val="none"/>
        </w:rPr>
      </w:pPr>
      <w:bookmarkStart w:id="62" w:name="_Toc426965631"/>
      <w:bookmarkStart w:id="63" w:name="_Toc487204780"/>
      <w:bookmarkStart w:id="64" w:name="_Toc342913391"/>
      <w:bookmarkStart w:id="65" w:name="_Toc12427"/>
      <w:bookmarkStart w:id="66" w:name="_Toc8916"/>
      <w:bookmarkStart w:id="67" w:name="_Toc5540"/>
      <w:bookmarkStart w:id="68" w:name="_Toc521318172"/>
      <w:r>
        <w:rPr>
          <w:rFonts w:hint="eastAsia" w:ascii="仿宋" w:hAnsi="仿宋" w:eastAsia="仿宋" w:cs="仿宋"/>
          <w:sz w:val="24"/>
          <w:szCs w:val="24"/>
          <w:highlight w:val="none"/>
        </w:rPr>
        <w:t>二、</w:t>
      </w:r>
      <w:bookmarkEnd w:id="62"/>
      <w:bookmarkEnd w:id="63"/>
      <w:bookmarkEnd w:id="64"/>
      <w:r>
        <w:rPr>
          <w:rFonts w:hint="eastAsia" w:ascii="仿宋" w:hAnsi="仿宋" w:eastAsia="仿宋" w:cs="仿宋"/>
          <w:sz w:val="24"/>
          <w:szCs w:val="24"/>
          <w:highlight w:val="none"/>
        </w:rPr>
        <w:t>询价通知书</w:t>
      </w:r>
      <w:bookmarkEnd w:id="65"/>
      <w:bookmarkEnd w:id="66"/>
      <w:bookmarkEnd w:id="67"/>
      <w:bookmarkEnd w:id="68"/>
      <w:r>
        <w:rPr>
          <w:rFonts w:hint="eastAsia" w:ascii="仿宋" w:hAnsi="仿宋" w:eastAsia="仿宋" w:cs="仿宋"/>
          <w:sz w:val="24"/>
          <w:szCs w:val="24"/>
          <w:highlight w:val="none"/>
        </w:rPr>
        <w:tab/>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（一）询价通知书由询价邀请书、供应商须知、询价项目技术需求、询价项目商务需求、合同主要条款和合同格式、响应文件格式要求六部分组成。</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（二）采购人（或采购代理机构）所作的一切有效的书面通知、修改及补充，都是询价通知书不可分割的部分。</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（三）询价通知书的解释</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供应商如对询价通知书有疑问，必须以书面形式在提交响应文件截止时间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69" w:name="_Toc318166429"/>
      <w:bookmarkStart w:id="70" w:name="_Toc318159780"/>
      <w:bookmarkStart w:id="71" w:name="_Toc318159349"/>
      <w:bookmarkStart w:id="72" w:name="_Toc318159160"/>
    </w:p>
    <w:bookmarkEnd w:id="69"/>
    <w:bookmarkEnd w:id="70"/>
    <w:bookmarkEnd w:id="71"/>
    <w:bookmarkEnd w:id="72"/>
    <w:p>
      <w:pPr>
        <w:pStyle w:val="5"/>
        <w:spacing w:before="0" w:after="0" w:line="380" w:lineRule="exact"/>
        <w:rPr>
          <w:rFonts w:hint="eastAsia" w:ascii="仿宋" w:hAnsi="仿宋" w:eastAsia="仿宋" w:cs="仿宋"/>
          <w:sz w:val="24"/>
          <w:szCs w:val="24"/>
          <w:highlight w:val="none"/>
        </w:rPr>
      </w:pPr>
      <w:bookmarkStart w:id="73" w:name="_Toc179714297"/>
      <w:bookmarkStart w:id="74" w:name="_Toc487204781"/>
      <w:bookmarkStart w:id="75" w:name="_Toc102227318"/>
      <w:bookmarkStart w:id="76" w:name="_Toc29953"/>
      <w:bookmarkStart w:id="77" w:name="_Toc26165"/>
      <w:bookmarkStart w:id="78" w:name="_Toc426965632"/>
      <w:bookmarkStart w:id="79" w:name="_Toc342913392"/>
      <w:bookmarkStart w:id="80" w:name="_Toc18609"/>
      <w:bookmarkStart w:id="81" w:name="_Toc521318173"/>
      <w:r>
        <w:rPr>
          <w:rFonts w:hint="eastAsia" w:ascii="仿宋" w:hAnsi="仿宋" w:eastAsia="仿宋" w:cs="仿宋"/>
          <w:sz w:val="24"/>
          <w:szCs w:val="24"/>
          <w:highlight w:val="none"/>
        </w:rPr>
        <w:t>三、询价要求</w:t>
      </w:r>
      <w:bookmarkEnd w:id="73"/>
      <w:bookmarkEnd w:id="74"/>
      <w:bookmarkEnd w:id="75"/>
      <w:bookmarkEnd w:id="76"/>
      <w:bookmarkEnd w:id="77"/>
      <w:bookmarkEnd w:id="78"/>
      <w:bookmarkEnd w:id="79"/>
      <w:bookmarkEnd w:id="80"/>
      <w:bookmarkEnd w:id="81"/>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（一）响应文件</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供应商应当按照询价通知书的要求编制响应文件，并对询价通知书提出的要求和条件作出实质性响应，响应文件原则上采用软面订本，同时应编制完整的页码、目录。</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1.响应文件组成</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响应文件由第六篇“响应文件格式要求”规定的部分和供应商所作的一切有效补充、修改和承诺等文件组成，供应商应按照第五篇“响应文件格式”规定的目录顺序组织编写和装订，也可在基本格式基础上对表格进行扩展，未规定格式的由供应商自定格式。</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2.联合体</w:t>
      </w:r>
    </w:p>
    <w:p>
      <w:pPr>
        <w:spacing w:line="380" w:lineRule="exact"/>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本项目不接受联合体竞标。</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3.询价有效期：响应文件及有关承诺文件有效期为询价开始时间起90天。</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（二）保证金：</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1.供应商提交保证金金额和方式详见“</w:t>
      </w:r>
      <w:r>
        <w:rPr>
          <w:rFonts w:hint="eastAsia" w:ascii="仿宋" w:hAnsi="仿宋" w:eastAsia="仿宋" w:cs="仿宋"/>
          <w:b/>
          <w:bCs/>
          <w:sz w:val="24"/>
          <w:szCs w:val="24"/>
          <w:highlight w:val="none"/>
          <w:u w:val="single"/>
        </w:rPr>
        <w:t>第一篇”</w:t>
      </w:r>
      <w:r>
        <w:rPr>
          <w:rFonts w:hint="eastAsia" w:ascii="仿宋" w:hAnsi="仿宋" w:eastAsia="仿宋" w:cs="仿宋"/>
          <w:sz w:val="24"/>
          <w:szCs w:val="24"/>
          <w:highlight w:val="none"/>
        </w:rPr>
        <w:t>；</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2.发生以下情况之一者，保证金不予退还：</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2.1供应商在提交响应文件截止时间后撤回响应文件的；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2.2供应商在响应文件中提供虚假材料的；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2.3除因不可抗力或询价通知书认可的情形以外，成交供应商不与采购人签订合同的；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2.4供应商与采购人、其他供应商或者采购代理机构恶意串通的；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2.5询价通知书规定的其他情形。</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（三）报价要求</w:t>
      </w:r>
    </w:p>
    <w:p>
      <w:pPr>
        <w:spacing w:line="380" w:lineRule="exact"/>
        <w:ind w:firstLine="480" w:firstLineChars="200"/>
        <w:rPr>
          <w:rFonts w:hint="eastAsia" w:ascii="仿宋" w:hAnsi="仿宋" w:eastAsia="仿宋" w:cs="仿宋"/>
          <w:bCs/>
          <w:sz w:val="24"/>
          <w:szCs w:val="24"/>
          <w:highlight w:val="none"/>
        </w:rPr>
      </w:pPr>
      <w:r>
        <w:rPr>
          <w:rFonts w:hint="eastAsia" w:ascii="仿宋" w:hAnsi="仿宋" w:eastAsia="仿宋" w:cs="仿宋"/>
          <w:bCs/>
          <w:sz w:val="24"/>
          <w:szCs w:val="24"/>
          <w:highlight w:val="none"/>
        </w:rPr>
        <w:t>本次报价为人民币报价，供应商按照询价通知书的规定一次报出不得更改的价格。报价包括（但不限于）：货物费、运输费、安装调试费、装御费、培训费、保险费、税费（含关税）等所有费用。因成交供应商自身原因造成漏报、少报皆由其自行承担责任，采购人不再补偿。</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（四）修正错误</w:t>
      </w:r>
    </w:p>
    <w:p>
      <w:pPr>
        <w:spacing w:line="380" w:lineRule="exact"/>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若响应文件出现计算或表达上的错误，修正错误的原则如下：</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1.响应文件中报价函的内容与响应文件中相应内容不一致的，以报价函为准；</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2.大写金额和小写金额不一致的，以大写金额为准；</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3.单价金额小数点或者百分比有明显错位的，以报价函总价为准，并修改单价；</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4.总价金额与按单价汇总金额不一致的，以单价金额计算结果为准。</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询价小组按上述修正错误的原则及方法调整或修正供应商报价，若同时出现两种以上不一致的，按照前款规定的顺序修正，供应商同意并签字确认后，调整后的报价对供应商具有约束作用。如果供应商不接受修正后的报价，则其投标将作为无效投标处理。</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（五）提交响应文件的份数和签署</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b/>
          <w:bCs/>
          <w:sz w:val="24"/>
          <w:szCs w:val="24"/>
          <w:highlight w:val="none"/>
        </w:rPr>
        <w:t>响应文件一式</w:t>
      </w:r>
      <w:r>
        <w:rPr>
          <w:rFonts w:hint="eastAsia" w:ascii="仿宋" w:hAnsi="仿宋" w:eastAsia="仿宋" w:cs="仿宋"/>
          <w:b/>
          <w:bCs/>
          <w:sz w:val="24"/>
          <w:szCs w:val="24"/>
          <w:highlight w:val="none"/>
          <w:lang w:val="en-US" w:eastAsia="zh-CN"/>
        </w:rPr>
        <w:t>四</w:t>
      </w:r>
      <w:r>
        <w:rPr>
          <w:rFonts w:hint="eastAsia" w:ascii="仿宋" w:hAnsi="仿宋" w:eastAsia="仿宋" w:cs="仿宋"/>
          <w:b/>
          <w:bCs/>
          <w:sz w:val="24"/>
          <w:szCs w:val="24"/>
          <w:highlight w:val="none"/>
        </w:rPr>
        <w:t>份，其中正本一份，副本二份</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lang w:val="en-US" w:eastAsia="zh-CN"/>
        </w:rPr>
        <w:t>电子文档一份</w:t>
      </w:r>
      <w:r>
        <w:rPr>
          <w:rFonts w:hint="eastAsia" w:ascii="仿宋" w:hAnsi="仿宋" w:eastAsia="仿宋" w:cs="仿宋"/>
          <w:sz w:val="24"/>
          <w:szCs w:val="24"/>
          <w:highlight w:val="none"/>
        </w:rPr>
        <w:t>；副本可为正本的复印件，应与正本一致，如出现不一致情况以正本为准。</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2.在响应文件正本中，询价通知书第六篇响应文件格式中规定签字、盖章的地方必须按其规定签字、盖章。</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（六）响应文件的递交</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1.响应文件的密封与标记</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响应文件的正本、副本均应密封送达投标地点，应在封套上注明项目名称、</w:t>
      </w:r>
      <w:r>
        <w:rPr>
          <w:rFonts w:hint="eastAsia" w:ascii="仿宋" w:hAnsi="仿宋" w:eastAsia="仿宋" w:cs="仿宋"/>
          <w:sz w:val="24"/>
          <w:szCs w:val="24"/>
          <w:highlight w:val="none"/>
          <w:lang w:eastAsia="zh-CN"/>
        </w:rPr>
        <w:t>供应商</w:t>
      </w:r>
      <w:r>
        <w:rPr>
          <w:rFonts w:hint="eastAsia" w:ascii="仿宋" w:hAnsi="仿宋" w:eastAsia="仿宋" w:cs="仿宋"/>
          <w:sz w:val="24"/>
          <w:szCs w:val="24"/>
          <w:highlight w:val="none"/>
        </w:rPr>
        <w:t>名称。若正本、副本分别进行密封的，还应在封套上注明“正本”、“副本”字样。</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2.如果未按上述规定进行密封的，采购人、采购代理机构将拒收其响应文件。</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响应文件投递截止时间：见询价通知书第一篇。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（七）响应文件语言：简体中文</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（八）供应商参与人员</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各个供应商可派1-2名代表参与询价，至少1人应为法定代表人或具有法定代表人授权委托书的授权代表。</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（九）无效响应</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供应商发生以下条款情况之一者，视为无效响应，其响应文件将被拒绝：</w:t>
      </w:r>
    </w:p>
    <w:p>
      <w:pPr>
        <w:snapToGrid w:val="0"/>
        <w:spacing w:line="380" w:lineRule="exact"/>
        <w:ind w:firstLine="480" w:firstLineChars="200"/>
        <w:rPr>
          <w:rFonts w:hint="eastAsia" w:ascii="仿宋" w:hAnsi="仿宋" w:eastAsia="仿宋" w:cs="仿宋"/>
          <w:sz w:val="24"/>
          <w:szCs w:val="24"/>
          <w:highlight w:val="none"/>
        </w:rPr>
      </w:pPr>
      <w:bookmarkStart w:id="82" w:name="_Toc493506302"/>
      <w:bookmarkStart w:id="83" w:name="_Toc492721019"/>
      <w:r>
        <w:rPr>
          <w:rFonts w:hint="eastAsia" w:ascii="仿宋" w:hAnsi="仿宋" w:eastAsia="仿宋" w:cs="仿宋"/>
          <w:sz w:val="24"/>
          <w:szCs w:val="24"/>
          <w:highlight w:val="none"/>
        </w:rPr>
        <w:t>1.供应商不符合规定的资格条件或未通过符合性审查的；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2.供应商的法定代表人或其授权代表未参加询价；</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3.供应商未按照询价通知书的要求缴纳保证金；</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4.供应商所提交的响应文件不按规定签字、盖章；</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5.供应商的报价超过采购预算（若有采购预算单价，则含采购预算单价）的；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6.供应商响应文件内容有与国家现行法律法规相违背的内容，或附有采购人无法接受的条件。</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7.单位负责人为同一人或者存在直接控股、管理关系的不同供应商，不得参加本项目同一合同项（分包）的采购活动；</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供应商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9.询价通知书规定的其他无效响应情形。</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（十）废标条款</w:t>
      </w:r>
      <w:bookmarkEnd w:id="82"/>
      <w:bookmarkEnd w:id="83"/>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出现下列情形之一的，采购人或者采购代理机构应当终止询价采购活动，发布项目终止公告并说明原因，重新开展采购活动：</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1.因情况变化，不再符合规定的询价采购方式适用情形的；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2.出现影响采购公正的违法、违规行为的；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3.在采购过程中符合竞争要求的供应商或者报价未超过采购预算的供应商不足3家的。</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4.废标后，除采购任务取消情形外，应当重新组织采购。</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（十一）采购代理服务费</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供应商成交后向采购代理机构缴纳采购代理服务费（由成交供应商在领取成交通知书之前一次性支付给采购代理机构），采购代理服务费为人民币：</w:t>
      </w:r>
      <w:r>
        <w:rPr>
          <w:rFonts w:hint="eastAsia" w:ascii="仿宋" w:hAnsi="仿宋" w:eastAsia="仿宋" w:cs="仿宋"/>
          <w:b/>
          <w:bCs/>
          <w:sz w:val="24"/>
          <w:szCs w:val="24"/>
          <w:highlight w:val="none"/>
          <w:u w:val="single"/>
          <w:lang w:val="en-US" w:eastAsia="zh-CN"/>
        </w:rPr>
        <w:t>陆仟元</w:t>
      </w:r>
      <w:r>
        <w:rPr>
          <w:rFonts w:hint="eastAsia" w:ascii="仿宋" w:hAnsi="仿宋" w:eastAsia="仿宋" w:cs="仿宋"/>
          <w:b/>
          <w:bCs/>
          <w:sz w:val="24"/>
          <w:szCs w:val="24"/>
          <w:highlight w:val="none"/>
          <w:u w:val="single"/>
        </w:rPr>
        <w:t>整。</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采购代理服务费缴纳账户信息：</w:t>
      </w:r>
    </w:p>
    <w:p>
      <w:pPr>
        <w:snapToGrid w:val="0"/>
        <w:spacing w:line="440" w:lineRule="exact"/>
        <w:ind w:firstLine="480" w:firstLineChars="200"/>
        <w:rPr>
          <w:rFonts w:hint="eastAsia" w:ascii="仿宋" w:hAnsi="仿宋" w:eastAsia="仿宋" w:cs="仿宋"/>
          <w:sz w:val="24"/>
          <w:szCs w:val="24"/>
          <w:highlight w:val="none"/>
        </w:rPr>
      </w:pPr>
      <w:bookmarkStart w:id="84" w:name="_Toc426965633"/>
      <w:bookmarkStart w:id="85" w:name="_Toc102227319"/>
      <w:bookmarkStart w:id="86" w:name="_Toc179714298"/>
      <w:bookmarkStart w:id="87" w:name="_Toc487204782"/>
      <w:bookmarkStart w:id="88" w:name="_Toc342913393"/>
      <w:bookmarkStart w:id="89" w:name="_Toc32374"/>
      <w:bookmarkStart w:id="90" w:name="_Toc521318174"/>
      <w:bookmarkStart w:id="91" w:name="_Toc17351"/>
      <w:r>
        <w:rPr>
          <w:rFonts w:hint="eastAsia" w:ascii="仿宋" w:hAnsi="仿宋" w:eastAsia="仿宋" w:cs="仿宋"/>
          <w:sz w:val="24"/>
          <w:szCs w:val="24"/>
          <w:highlight w:val="none"/>
          <w:lang w:val="en-US" w:eastAsia="zh-CN"/>
        </w:rPr>
        <w:t>户名：</w:t>
      </w:r>
      <w:r>
        <w:rPr>
          <w:rFonts w:hint="eastAsia" w:ascii="仿宋" w:hAnsi="仿宋" w:eastAsia="仿宋" w:cs="仿宋"/>
          <w:sz w:val="24"/>
          <w:szCs w:val="24"/>
          <w:highlight w:val="none"/>
        </w:rPr>
        <w:t>重庆市聚创招标代理有限公司</w:t>
      </w:r>
    </w:p>
    <w:p>
      <w:pPr>
        <w:snapToGrid w:val="0"/>
        <w:spacing w:line="44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开户行：</w:t>
      </w:r>
      <w:r>
        <w:rPr>
          <w:rFonts w:hint="eastAsia" w:ascii="仿宋" w:hAnsi="仿宋" w:eastAsia="仿宋" w:cs="仿宋"/>
          <w:sz w:val="24"/>
          <w:szCs w:val="24"/>
          <w:highlight w:val="none"/>
        </w:rPr>
        <w:t>中国建设银行股份有限公司重庆南坪支行</w:t>
      </w:r>
    </w:p>
    <w:p>
      <w:pPr>
        <w:snapToGrid w:val="0"/>
        <w:spacing w:line="44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帐号：5005</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0107</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3600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0000</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2102</w:t>
      </w:r>
    </w:p>
    <w:p>
      <w:pPr>
        <w:pStyle w:val="5"/>
        <w:spacing w:before="0" w:after="0" w:line="380" w:lineRule="exact"/>
        <w:rPr>
          <w:rFonts w:hint="eastAsia" w:ascii="仿宋" w:hAnsi="仿宋" w:eastAsia="仿宋" w:cs="仿宋"/>
          <w:sz w:val="24"/>
          <w:szCs w:val="24"/>
          <w:highlight w:val="none"/>
        </w:rPr>
      </w:pPr>
      <w:bookmarkStart w:id="92" w:name="_Toc12097"/>
      <w:r>
        <w:rPr>
          <w:rFonts w:hint="eastAsia" w:ascii="仿宋" w:hAnsi="仿宋" w:eastAsia="仿宋" w:cs="仿宋"/>
          <w:sz w:val="24"/>
          <w:szCs w:val="24"/>
          <w:highlight w:val="none"/>
        </w:rPr>
        <w:t>四、</w:t>
      </w:r>
      <w:bookmarkEnd w:id="84"/>
      <w:bookmarkEnd w:id="85"/>
      <w:bookmarkEnd w:id="86"/>
      <w:bookmarkEnd w:id="87"/>
      <w:bookmarkEnd w:id="88"/>
      <w:r>
        <w:rPr>
          <w:rFonts w:hint="eastAsia" w:ascii="仿宋" w:hAnsi="仿宋" w:eastAsia="仿宋" w:cs="仿宋"/>
          <w:sz w:val="24"/>
          <w:szCs w:val="24"/>
          <w:highlight w:val="none"/>
        </w:rPr>
        <w:t>询价程序及成交标准</w:t>
      </w:r>
      <w:bookmarkEnd w:id="89"/>
      <w:bookmarkEnd w:id="90"/>
      <w:bookmarkEnd w:id="91"/>
      <w:bookmarkEnd w:id="92"/>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（一）本项目询价按照询价通知书规定的时间和地点进行。供应商须有法定代表人或其授权代表参加并签到。</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（二）询价小组由采购人代表和评审专家共3人以上单数组成。</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（三）资格性符合性检查</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1.资格性检查。依据法律法规和询价通知书的规定，对响应文件中的资格证明、保证金等进行审查，以确定供应商是否具备询价资格。资格性检查资料表如下：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2835"/>
        <w:gridCol w:w="4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序号</w:t>
            </w:r>
          </w:p>
        </w:tc>
        <w:tc>
          <w:tcPr>
            <w:tcW w:w="4111" w:type="dxa"/>
            <w:gridSpan w:val="2"/>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检查因素</w:t>
            </w:r>
          </w:p>
        </w:tc>
        <w:tc>
          <w:tcPr>
            <w:tcW w:w="4671" w:type="dxa"/>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restart"/>
            <w:vAlign w:val="center"/>
          </w:tcPr>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276" w:type="dxa"/>
            <w:vMerge w:val="restart"/>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供应商</w:t>
            </w:r>
            <w:r>
              <w:rPr>
                <w:rFonts w:hint="eastAsia" w:ascii="仿宋" w:hAnsi="仿宋" w:eastAsia="仿宋" w:cs="仿宋"/>
                <w:sz w:val="24"/>
                <w:szCs w:val="24"/>
                <w:highlight w:val="none"/>
                <w:lang w:val="zh-CN"/>
              </w:rPr>
              <w:t>应符合的基本资格条件</w:t>
            </w:r>
          </w:p>
        </w:tc>
        <w:tc>
          <w:tcPr>
            <w:tcW w:w="2835"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（1）具有独立承担民事责任的能力</w:t>
            </w:r>
          </w:p>
        </w:tc>
        <w:tc>
          <w:tcPr>
            <w:tcW w:w="4671"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1.供应商法人营业执照（副本）或事业单位法人证书（副本）或个体工商户营业执照或有效的自然人身份证明或社会团体法人登记证书（提供复印件）。 </w:t>
            </w: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val="zh-CN"/>
              </w:rPr>
              <w:t>（2）</w:t>
            </w:r>
            <w:r>
              <w:rPr>
                <w:rFonts w:hint="eastAsia" w:ascii="仿宋" w:hAnsi="仿宋" w:eastAsia="仿宋" w:cs="仿宋"/>
                <w:sz w:val="24"/>
                <w:szCs w:val="24"/>
                <w:highlight w:val="none"/>
              </w:rPr>
              <w:t>具有良好的商业信誉和健全的财务会计制度</w:t>
            </w:r>
          </w:p>
        </w:tc>
        <w:tc>
          <w:tcPr>
            <w:tcW w:w="4671" w:type="dxa"/>
            <w:vMerge w:val="restart"/>
            <w:vAlign w:val="center"/>
          </w:tcPr>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供应商</w:t>
            </w:r>
            <w:r>
              <w:rPr>
                <w:rFonts w:hint="eastAsia" w:ascii="仿宋" w:hAnsi="仿宋" w:eastAsia="仿宋" w:cs="仿宋"/>
                <w:color w:val="auto"/>
                <w:sz w:val="24"/>
                <w:szCs w:val="24"/>
                <w:highlight w:val="none"/>
              </w:rPr>
              <w:t>提供“基本资格条件承诺函”（格式详见第</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篇）</w:t>
            </w:r>
          </w:p>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（3）具有履行合同所必需的设备和专业技术能力</w:t>
            </w:r>
          </w:p>
        </w:tc>
        <w:tc>
          <w:tcPr>
            <w:tcW w:w="4671" w:type="dxa"/>
            <w:vMerge w:val="continue"/>
            <w:vAlign w:val="center"/>
          </w:tcPr>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lang w:val="zh-CN"/>
              </w:rPr>
              <w:t>（4）有依法缴纳税收和社会保障金的良好记录</w:t>
            </w:r>
          </w:p>
        </w:tc>
        <w:tc>
          <w:tcPr>
            <w:tcW w:w="4671" w:type="dxa"/>
            <w:vMerge w:val="continue"/>
            <w:vAlign w:val="center"/>
          </w:tcPr>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spacing w:line="380" w:lineRule="exact"/>
              <w:jc w:val="center"/>
              <w:rPr>
                <w:rFonts w:hint="eastAsia" w:ascii="仿宋" w:hAnsi="仿宋" w:eastAsia="仿宋" w:cs="仿宋"/>
                <w:sz w:val="24"/>
                <w:szCs w:val="24"/>
                <w:highlight w:val="none"/>
              </w:rPr>
            </w:pPr>
          </w:p>
        </w:tc>
        <w:tc>
          <w:tcPr>
            <w:tcW w:w="1276" w:type="dxa"/>
            <w:vMerge w:val="continue"/>
            <w:vAlign w:val="center"/>
          </w:tcPr>
          <w:p>
            <w:pPr>
              <w:spacing w:line="380" w:lineRule="exact"/>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（5）参加政府采购活动前三年内，在经营活动中没有重大违法记录（注②）</w:t>
            </w:r>
          </w:p>
        </w:tc>
        <w:tc>
          <w:tcPr>
            <w:tcW w:w="4671" w:type="dxa"/>
            <w:vMerge w:val="continue"/>
            <w:vAlign w:val="center"/>
          </w:tcPr>
          <w:p>
            <w:pPr>
              <w:spacing w:line="38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Merge w:val="continue"/>
            <w:vAlign w:val="center"/>
          </w:tcPr>
          <w:p>
            <w:pPr>
              <w:keepNext/>
              <w:keepLines/>
              <w:spacing w:before="260" w:after="260" w:line="380" w:lineRule="exact"/>
              <w:jc w:val="center"/>
              <w:outlineLvl w:val="2"/>
              <w:rPr>
                <w:rFonts w:hint="eastAsia" w:ascii="仿宋" w:hAnsi="仿宋" w:eastAsia="仿宋" w:cs="仿宋"/>
                <w:sz w:val="24"/>
                <w:szCs w:val="24"/>
                <w:highlight w:val="none"/>
              </w:rPr>
            </w:pPr>
          </w:p>
        </w:tc>
        <w:tc>
          <w:tcPr>
            <w:tcW w:w="1276" w:type="dxa"/>
            <w:vMerge w:val="continue"/>
            <w:vAlign w:val="center"/>
          </w:tcPr>
          <w:p>
            <w:pPr>
              <w:keepNext/>
              <w:keepLines/>
              <w:spacing w:before="260" w:after="260" w:line="380" w:lineRule="exact"/>
              <w:outlineLvl w:val="2"/>
              <w:rPr>
                <w:rFonts w:hint="eastAsia" w:ascii="仿宋" w:hAnsi="仿宋" w:eastAsia="仿宋" w:cs="仿宋"/>
                <w:sz w:val="24"/>
                <w:szCs w:val="24"/>
                <w:highlight w:val="none"/>
                <w:lang w:val="zh-CN"/>
              </w:rPr>
            </w:pPr>
          </w:p>
        </w:tc>
        <w:tc>
          <w:tcPr>
            <w:tcW w:w="2835"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（6）法律、行政法规规定的其他条件</w:t>
            </w:r>
          </w:p>
        </w:tc>
        <w:tc>
          <w:tcPr>
            <w:tcW w:w="4671" w:type="dxa"/>
            <w:vAlign w:val="center"/>
          </w:tcPr>
          <w:p>
            <w:pPr>
              <w:keepNext/>
              <w:keepLines/>
              <w:spacing w:before="260" w:after="260" w:line="380" w:lineRule="exact"/>
              <w:outlineLvl w:val="2"/>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4111" w:type="dxa"/>
            <w:gridSpan w:val="2"/>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特定资格条件</w:t>
            </w:r>
          </w:p>
        </w:tc>
        <w:tc>
          <w:tcPr>
            <w:tcW w:w="4671"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按第一篇“（二）特定资格条件”的要求提交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4111" w:type="dxa"/>
            <w:gridSpan w:val="2"/>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保证金</w:t>
            </w:r>
          </w:p>
        </w:tc>
        <w:tc>
          <w:tcPr>
            <w:tcW w:w="4671" w:type="dxa"/>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保证金到账截止时间前足额缴纳保证金，且满足询价通知书第一篇五、竞标保证金中的相关规定。</w:t>
            </w:r>
          </w:p>
        </w:tc>
      </w:tr>
    </w:tbl>
    <w:p>
      <w:pPr>
        <w:snapToGrid w:val="0"/>
        <w:spacing w:line="38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注：</w:t>
      </w:r>
    </w:p>
    <w:p>
      <w:pPr>
        <w:snapToGrid w:val="0"/>
        <w:spacing w:line="38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fldChar w:fldCharType="begin"/>
      </w:r>
      <w:r>
        <w:rPr>
          <w:rFonts w:hint="eastAsia" w:ascii="仿宋" w:hAnsi="仿宋" w:eastAsia="仿宋" w:cs="仿宋"/>
          <w:kern w:val="0"/>
          <w:sz w:val="24"/>
          <w:szCs w:val="24"/>
          <w:highlight w:val="none"/>
        </w:rPr>
        <w:instrText xml:space="preserve"> = 1 \* GB3 </w:instrText>
      </w:r>
      <w:r>
        <w:rPr>
          <w:rFonts w:hint="eastAsia" w:ascii="仿宋" w:hAnsi="仿宋" w:eastAsia="仿宋" w:cs="仿宋"/>
          <w:kern w:val="0"/>
          <w:sz w:val="24"/>
          <w:szCs w:val="24"/>
          <w:highlight w:val="none"/>
        </w:rPr>
        <w:fldChar w:fldCharType="separate"/>
      </w:r>
      <w:r>
        <w:rPr>
          <w:rFonts w:hint="eastAsia" w:ascii="仿宋" w:hAnsi="仿宋" w:eastAsia="仿宋" w:cs="仿宋"/>
          <w:kern w:val="0"/>
          <w:sz w:val="24"/>
          <w:szCs w:val="24"/>
          <w:highlight w:val="none"/>
        </w:rPr>
        <w:t>①</w:t>
      </w:r>
      <w:r>
        <w:rPr>
          <w:rFonts w:hint="eastAsia" w:ascii="仿宋" w:hAnsi="仿宋" w:eastAsia="仿宋" w:cs="仿宋"/>
          <w:kern w:val="0"/>
          <w:sz w:val="24"/>
          <w:szCs w:val="24"/>
          <w:highlight w:val="none"/>
        </w:rPr>
        <w:fldChar w:fldCharType="end"/>
      </w:r>
      <w:r>
        <w:rPr>
          <w:rFonts w:hint="eastAsia" w:ascii="仿宋" w:hAnsi="仿宋" w:eastAsia="仿宋" w:cs="仿宋"/>
          <w:kern w:val="0"/>
          <w:sz w:val="24"/>
          <w:szCs w:val="24"/>
          <w:highlight w:val="none"/>
        </w:rPr>
        <w:t>供应商按“三证合一”登记制度办理营业执照的，组织机构代码证和税务登记证（副本）以供应商所提供的营业执照（副本）复印件为准。</w:t>
      </w:r>
    </w:p>
    <w:p>
      <w:pPr>
        <w:snapToGrid w:val="0"/>
        <w:spacing w:line="38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fldChar w:fldCharType="begin"/>
      </w:r>
      <w:r>
        <w:rPr>
          <w:rFonts w:hint="eastAsia" w:ascii="仿宋" w:hAnsi="仿宋" w:eastAsia="仿宋" w:cs="仿宋"/>
          <w:kern w:val="0"/>
          <w:sz w:val="24"/>
          <w:szCs w:val="24"/>
          <w:highlight w:val="none"/>
        </w:rPr>
        <w:instrText xml:space="preserve"> = 2 \* GB3 </w:instrText>
      </w:r>
      <w:r>
        <w:rPr>
          <w:rFonts w:hint="eastAsia" w:ascii="仿宋" w:hAnsi="仿宋" w:eastAsia="仿宋" w:cs="仿宋"/>
          <w:kern w:val="0"/>
          <w:sz w:val="24"/>
          <w:szCs w:val="24"/>
          <w:highlight w:val="none"/>
        </w:rPr>
        <w:fldChar w:fldCharType="separate"/>
      </w:r>
      <w:r>
        <w:rPr>
          <w:rFonts w:hint="eastAsia" w:ascii="仿宋" w:hAnsi="仿宋" w:eastAsia="仿宋" w:cs="仿宋"/>
          <w:kern w:val="0"/>
          <w:sz w:val="24"/>
          <w:szCs w:val="24"/>
          <w:highlight w:val="none"/>
        </w:rPr>
        <w:t>②</w:t>
      </w:r>
      <w:r>
        <w:rPr>
          <w:rFonts w:hint="eastAsia" w:ascii="仿宋" w:hAnsi="仿宋" w:eastAsia="仿宋" w:cs="仿宋"/>
          <w:kern w:val="0"/>
          <w:sz w:val="24"/>
          <w:szCs w:val="24"/>
          <w:highlight w:val="none"/>
        </w:rPr>
        <w:fldChar w:fldCharType="end"/>
      </w:r>
      <w:r>
        <w:rPr>
          <w:rFonts w:hint="eastAsia" w:ascii="仿宋" w:hAnsi="仿宋" w:eastAsia="仿宋" w:cs="仿宋"/>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38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2.符合性检查。依据询价通知书的规定，从响应文件的有效性、完整性和对询价通知书的响应程度进行审查，以确定是否对询价通知书的实质性要求作出响应。符合性检查资料表如下：</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507"/>
        <w:gridCol w:w="2438"/>
        <w:gridCol w:w="4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序号</w:t>
            </w:r>
          </w:p>
        </w:tc>
        <w:tc>
          <w:tcPr>
            <w:tcW w:w="394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评审因素</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b/>
                <w:kern w:val="0"/>
                <w:sz w:val="24"/>
                <w:szCs w:val="24"/>
                <w:highlight w:val="none"/>
              </w:rPr>
            </w:pPr>
            <w:r>
              <w:rPr>
                <w:rFonts w:hint="eastAsia" w:ascii="仿宋" w:hAnsi="仿宋" w:eastAsia="仿宋" w:cs="仿宋"/>
                <w:b/>
                <w:kern w:val="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有效性审查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响应文件签署</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hint="eastAsia" w:ascii="仿宋" w:hAnsi="仿宋" w:eastAsia="仿宋" w:cs="仿宋"/>
                <w:kern w:val="0"/>
                <w:sz w:val="24"/>
                <w:szCs w:val="24"/>
                <w:highlight w:val="none"/>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hint="eastAsia" w:ascii="仿宋" w:hAnsi="仿宋" w:eastAsia="仿宋" w:cs="仿宋"/>
                <w:kern w:val="0"/>
                <w:sz w:val="24"/>
                <w:szCs w:val="24"/>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法定代表人身份证明及授权委托书</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hint="eastAsia" w:ascii="仿宋" w:hAnsi="仿宋" w:eastAsia="仿宋" w:cs="仿宋"/>
                <w:kern w:val="0"/>
                <w:sz w:val="24"/>
                <w:szCs w:val="24"/>
                <w:highlight w:val="none"/>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hint="eastAsia" w:ascii="仿宋" w:hAnsi="仿宋" w:eastAsia="仿宋" w:cs="仿宋"/>
                <w:kern w:val="0"/>
                <w:sz w:val="24"/>
                <w:szCs w:val="24"/>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响应</w:t>
            </w:r>
            <w:r>
              <w:rPr>
                <w:rFonts w:hint="eastAsia" w:ascii="仿宋" w:hAnsi="仿宋" w:eastAsia="仿宋" w:cs="仿宋"/>
                <w:sz w:val="24"/>
                <w:szCs w:val="24"/>
                <w:highlight w:val="none"/>
                <w:lang w:val="zh-CN"/>
              </w:rPr>
              <w:t>方案</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sz w:val="24"/>
                <w:szCs w:val="24"/>
                <w:highlight w:val="none"/>
                <w:lang w:val="zh-CN"/>
              </w:rPr>
              <w:t>每个分包只能有一个</w:t>
            </w:r>
            <w:r>
              <w:rPr>
                <w:rFonts w:hint="eastAsia" w:ascii="仿宋" w:hAnsi="仿宋" w:eastAsia="仿宋" w:cs="仿宋"/>
                <w:sz w:val="24"/>
                <w:szCs w:val="24"/>
                <w:highlight w:val="none"/>
              </w:rPr>
              <w:t>响应</w:t>
            </w:r>
            <w:r>
              <w:rPr>
                <w:rFonts w:hint="eastAsia" w:ascii="仿宋" w:hAnsi="仿宋" w:eastAsia="仿宋" w:cs="仿宋"/>
                <w:sz w:val="24"/>
                <w:szCs w:val="24"/>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hint="eastAsia" w:ascii="仿宋" w:hAnsi="仿宋" w:eastAsia="仿宋" w:cs="仿宋"/>
                <w:kern w:val="0"/>
                <w:sz w:val="24"/>
                <w:szCs w:val="24"/>
                <w:highlight w:val="none"/>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hint="eastAsia" w:ascii="仿宋" w:hAnsi="仿宋" w:eastAsia="仿宋" w:cs="仿宋"/>
                <w:kern w:val="0"/>
                <w:sz w:val="24"/>
                <w:szCs w:val="24"/>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sz w:val="24"/>
                <w:szCs w:val="24"/>
                <w:highlight w:val="none"/>
              </w:rPr>
              <w:t>报价唯一</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72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p>
        </w:tc>
        <w:tc>
          <w:tcPr>
            <w:tcW w:w="1507"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完整性审查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响应</w:t>
            </w:r>
            <w:r>
              <w:rPr>
                <w:rFonts w:hint="eastAsia" w:ascii="仿宋" w:hAnsi="仿宋" w:eastAsia="仿宋" w:cs="仿宋"/>
                <w:sz w:val="24"/>
                <w:szCs w:val="24"/>
                <w:highlight w:val="none"/>
                <w:lang w:val="zh-CN"/>
              </w:rPr>
              <w:t>文件份数</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响应</w:t>
            </w:r>
            <w:r>
              <w:rPr>
                <w:rFonts w:hint="eastAsia" w:ascii="仿宋" w:hAnsi="仿宋" w:eastAsia="仿宋" w:cs="仿宋"/>
                <w:sz w:val="24"/>
                <w:szCs w:val="24"/>
                <w:highlight w:val="none"/>
                <w:lang w:val="zh-CN"/>
              </w:rPr>
              <w:t>文件正、副本数量符合</w:t>
            </w:r>
            <w:r>
              <w:rPr>
                <w:rFonts w:hint="eastAsia" w:ascii="仿宋" w:hAnsi="仿宋" w:eastAsia="仿宋" w:cs="仿宋"/>
                <w:sz w:val="24"/>
                <w:szCs w:val="24"/>
                <w:highlight w:val="none"/>
              </w:rPr>
              <w:t>询价通知书</w:t>
            </w:r>
            <w:r>
              <w:rPr>
                <w:rFonts w:hint="eastAsia" w:ascii="仿宋" w:hAnsi="仿宋" w:eastAsia="仿宋" w:cs="仿宋"/>
                <w:sz w:val="24"/>
                <w:szCs w:val="24"/>
                <w:highlight w:val="none"/>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8"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p>
        </w:tc>
        <w:tc>
          <w:tcPr>
            <w:tcW w:w="1507"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sz w:val="24"/>
                <w:szCs w:val="24"/>
                <w:highlight w:val="none"/>
                <w:lang w:val="zh-CN"/>
              </w:rPr>
            </w:pPr>
            <w:r>
              <w:rPr>
                <w:rFonts w:hint="eastAsia" w:ascii="仿宋" w:hAnsi="仿宋" w:eastAsia="仿宋" w:cs="仿宋"/>
                <w:kern w:val="0"/>
                <w:sz w:val="24"/>
                <w:szCs w:val="24"/>
                <w:highlight w:val="none"/>
              </w:rPr>
              <w:t>询价通知书的响应程度审查</w:t>
            </w: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响应文件内容</w:t>
            </w:r>
          </w:p>
        </w:tc>
        <w:tc>
          <w:tcPr>
            <w:tcW w:w="4955" w:type="dxa"/>
            <w:tcBorders>
              <w:top w:val="single" w:color="auto" w:sz="4" w:space="0"/>
              <w:left w:val="single" w:color="auto" w:sz="4" w:space="0"/>
              <w:bottom w:val="single" w:color="auto" w:sz="4" w:space="0"/>
              <w:right w:val="single" w:color="auto" w:sz="4" w:space="0"/>
            </w:tcBorders>
            <w:vAlign w:val="center"/>
          </w:tcPr>
          <w:p>
            <w:pPr>
              <w:pStyle w:val="34"/>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对询价通知书第三篇、第四篇规定的询价内容作出响应。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28"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hint="eastAsia" w:ascii="仿宋" w:hAnsi="仿宋" w:eastAsia="仿宋" w:cs="仿宋"/>
                <w:kern w:val="0"/>
                <w:sz w:val="24"/>
                <w:szCs w:val="24"/>
                <w:highlight w:val="none"/>
              </w:rPr>
            </w:pPr>
          </w:p>
        </w:tc>
        <w:tc>
          <w:tcPr>
            <w:tcW w:w="1507" w:type="dxa"/>
            <w:vMerge w:val="continue"/>
            <w:tcBorders>
              <w:top w:val="single" w:color="auto" w:sz="4" w:space="0"/>
              <w:left w:val="single" w:color="auto" w:sz="4" w:space="0"/>
              <w:bottom w:val="single" w:color="auto" w:sz="4" w:space="0"/>
              <w:right w:val="single" w:color="auto" w:sz="4" w:space="0"/>
            </w:tcBorders>
            <w:vAlign w:val="center"/>
          </w:tcPr>
          <w:p>
            <w:pPr>
              <w:keepNext/>
              <w:keepLines/>
              <w:widowControl/>
              <w:spacing w:before="260" w:after="260" w:line="380" w:lineRule="exact"/>
              <w:jc w:val="left"/>
              <w:outlineLvl w:val="2"/>
              <w:rPr>
                <w:rFonts w:hint="eastAsia" w:ascii="仿宋" w:hAnsi="仿宋" w:eastAsia="仿宋" w:cs="仿宋"/>
                <w:sz w:val="24"/>
                <w:szCs w:val="24"/>
                <w:highlight w:val="none"/>
                <w:lang w:val="zh-CN"/>
              </w:rPr>
            </w:pPr>
          </w:p>
        </w:tc>
        <w:tc>
          <w:tcPr>
            <w:tcW w:w="2438"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询价有效期</w:t>
            </w:r>
          </w:p>
        </w:tc>
        <w:tc>
          <w:tcPr>
            <w:tcW w:w="4955"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满足询价通知书</w:t>
            </w:r>
            <w:r>
              <w:rPr>
                <w:rFonts w:hint="eastAsia" w:ascii="仿宋" w:hAnsi="仿宋" w:eastAsia="仿宋" w:cs="仿宋"/>
                <w:sz w:val="24"/>
                <w:szCs w:val="24"/>
                <w:highlight w:val="none"/>
                <w:lang w:val="zh-CN"/>
              </w:rPr>
              <w:t>规定。</w:t>
            </w:r>
          </w:p>
        </w:tc>
      </w:tr>
    </w:tbl>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2）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（3）在询价过程中询价的任何一方不得向他人透露与询价有关的技术资料、价格或其他信息。</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（四）对技术和商务部分的评审</w:t>
      </w:r>
    </w:p>
    <w:p>
      <w:pPr>
        <w:snapToGrid w:val="0"/>
        <w:spacing w:line="380" w:lineRule="exact"/>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1.“第三篇 询价项目技术需求”有一条及以上不能满足询价通知书要求的供应商为无效响应；</w:t>
      </w:r>
    </w:p>
    <w:p>
      <w:pPr>
        <w:snapToGrid w:val="0"/>
        <w:spacing w:line="380" w:lineRule="exact"/>
        <w:ind w:firstLine="482" w:firstLineChars="200"/>
        <w:rPr>
          <w:rFonts w:hint="eastAsia" w:ascii="仿宋" w:hAnsi="仿宋" w:eastAsia="仿宋" w:cs="仿宋"/>
          <w:b/>
          <w:sz w:val="24"/>
          <w:szCs w:val="24"/>
          <w:highlight w:val="none"/>
        </w:rPr>
      </w:pPr>
      <w:r>
        <w:rPr>
          <w:rFonts w:hint="eastAsia" w:ascii="仿宋" w:hAnsi="仿宋" w:eastAsia="仿宋" w:cs="仿宋"/>
          <w:b/>
          <w:sz w:val="24"/>
          <w:szCs w:val="24"/>
          <w:highlight w:val="none"/>
        </w:rPr>
        <w:t>2.“第四篇 询价项目商务需求”有一条及以上不能满足询价通知书要求的供应商为无效响应。</w:t>
      </w:r>
    </w:p>
    <w:p>
      <w:pPr>
        <w:spacing w:line="380" w:lineRule="exact"/>
        <w:ind w:firstLine="360" w:firstLineChars="150"/>
        <w:rPr>
          <w:rFonts w:hint="eastAsia" w:ascii="仿宋" w:hAnsi="仿宋" w:eastAsia="仿宋" w:cs="仿宋"/>
          <w:sz w:val="24"/>
          <w:szCs w:val="24"/>
          <w:highlight w:val="none"/>
        </w:rPr>
      </w:pPr>
      <w:bookmarkStart w:id="93" w:name="_Toc102227320"/>
      <w:bookmarkStart w:id="94" w:name="_Toc19939"/>
      <w:bookmarkStart w:id="95" w:name="_Toc17851"/>
      <w:bookmarkStart w:id="96" w:name="_Toc487204784"/>
      <w:bookmarkStart w:id="97" w:name="_Toc342913394"/>
      <w:bookmarkStart w:id="98" w:name="_Toc426965635"/>
      <w:bookmarkStart w:id="99" w:name="_Toc192"/>
      <w:bookmarkStart w:id="100" w:name="_Toc521318175"/>
      <w:r>
        <w:rPr>
          <w:rFonts w:hint="eastAsia" w:ascii="仿宋" w:hAnsi="仿宋" w:eastAsia="仿宋" w:cs="仿宋"/>
          <w:sz w:val="24"/>
          <w:szCs w:val="24"/>
          <w:highlight w:val="none"/>
        </w:rPr>
        <w:t>（五）成交</w:t>
      </w:r>
      <w:bookmarkEnd w:id="93"/>
      <w:r>
        <w:rPr>
          <w:rFonts w:hint="eastAsia" w:ascii="仿宋" w:hAnsi="仿宋" w:eastAsia="仿宋" w:cs="仿宋"/>
          <w:sz w:val="24"/>
          <w:szCs w:val="24"/>
          <w:highlight w:val="none"/>
        </w:rPr>
        <w:t>标准</w:t>
      </w:r>
      <w:bookmarkEnd w:id="94"/>
      <w:bookmarkEnd w:id="95"/>
      <w:bookmarkEnd w:id="96"/>
      <w:bookmarkEnd w:id="97"/>
      <w:bookmarkEnd w:id="98"/>
      <w:bookmarkEnd w:id="99"/>
      <w:bookmarkEnd w:id="100"/>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1.询价小组将依照本询价通知书相关规定对质量和服务均能满足询价实质性响应要求的供应商所提交的价格按照由低到高的顺序提出3名以上成交候选人，并编写评审报告。</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2.若供应商的报价价格相同，按技术参数（条款）的优劣顺序排列；以上都相同的，按服务条款的优劣顺序排列。</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3.成交价格=成交供应商的报价</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4.询价小组认为供应商</w:t>
      </w:r>
      <w:r>
        <w:rPr>
          <w:rFonts w:hint="eastAsia" w:ascii="仿宋" w:hAnsi="仿宋" w:eastAsia="仿宋" w:cs="仿宋"/>
          <w:kern w:val="0"/>
          <w:sz w:val="24"/>
          <w:szCs w:val="24"/>
          <w:highlight w:val="none"/>
        </w:rPr>
        <w:t>的报价明显低于其他通过符合性审查供应商的报价，有可能影响产品质量或者不能诚信履约的，应当要求其在评标现场合理的时间内提供书面说明，必要时提交相关证明材料；供应商不能证明其报价合理性的，询价小组应当将其作为无效投标处理。</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采取采购人确定成交供应商的，采购代理机构应当在评审结束后2个工作日内将评审报告送采购人确认。采购人应当在收到评审报告后5个工作日内，从评审报告提出的成交候选人中，根据质量和服务均能满足询价通知书实质性响应要求且报价最低的原则确定成交供应商。采购人逾期未确定成交供应商且不提出异议的，视为确定评审报告提出的最后报价最低的供应商为成交供应商。采购人也可以授权询价小组直接确定成交供应商。</w:t>
      </w:r>
    </w:p>
    <w:p>
      <w:pPr>
        <w:snapToGrid w:val="0"/>
        <w:spacing w:line="380" w:lineRule="exact"/>
        <w:ind w:firstLine="400" w:firstLineChars="167"/>
        <w:rPr>
          <w:rFonts w:hint="eastAsia" w:ascii="仿宋" w:hAnsi="仿宋" w:eastAsia="仿宋" w:cs="仿宋"/>
          <w:sz w:val="24"/>
          <w:szCs w:val="24"/>
          <w:highlight w:val="none"/>
        </w:rPr>
      </w:pPr>
      <w:r>
        <w:rPr>
          <w:rFonts w:hint="eastAsia" w:ascii="仿宋" w:hAnsi="仿宋" w:eastAsia="仿宋" w:cs="仿宋"/>
          <w:sz w:val="24"/>
          <w:szCs w:val="24"/>
          <w:highlight w:val="none"/>
        </w:rPr>
        <w:t>6.成交供应商的变更</w:t>
      </w:r>
    </w:p>
    <w:p>
      <w:pPr>
        <w:snapToGrid w:val="0"/>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highlight w:val="none"/>
        </w:rPr>
        <w:t>成交供应商拒绝与采购人签订合同的，采购人可以按照评标报告推荐的成交候选供应商顺序，确定排名下一位的候选人为成交供应商，也可以重新开展政府采购活动。</w:t>
      </w:r>
    </w:p>
    <w:p>
      <w:pPr>
        <w:pStyle w:val="5"/>
        <w:spacing w:before="0" w:after="0" w:line="380" w:lineRule="exact"/>
        <w:rPr>
          <w:rFonts w:hint="eastAsia" w:ascii="仿宋" w:hAnsi="仿宋" w:eastAsia="仿宋" w:cs="仿宋"/>
          <w:sz w:val="24"/>
          <w:szCs w:val="24"/>
          <w:highlight w:val="none"/>
        </w:rPr>
      </w:pPr>
      <w:bookmarkStart w:id="101" w:name="_Toc8806"/>
      <w:bookmarkStart w:id="102" w:name="_Toc2878"/>
      <w:bookmarkStart w:id="103" w:name="_Toc18971"/>
      <w:bookmarkStart w:id="104" w:name="_Toc521318176"/>
      <w:r>
        <w:rPr>
          <w:rFonts w:hint="eastAsia" w:ascii="仿宋" w:hAnsi="仿宋" w:eastAsia="仿宋" w:cs="仿宋"/>
          <w:sz w:val="24"/>
          <w:szCs w:val="24"/>
          <w:highlight w:val="none"/>
        </w:rPr>
        <w:t>五、评审依据</w:t>
      </w:r>
      <w:bookmarkEnd w:id="101"/>
      <w:bookmarkEnd w:id="102"/>
      <w:bookmarkEnd w:id="103"/>
      <w:bookmarkEnd w:id="104"/>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评审的依据为询价通知书和响应文件（含有效的补充文件）。询价小组判断响应文件对询价通知书的响应，仅基于响应文件本身而不靠外部证据。</w:t>
      </w:r>
    </w:p>
    <w:p>
      <w:pPr>
        <w:pStyle w:val="5"/>
        <w:spacing w:before="0" w:after="0" w:line="380" w:lineRule="exact"/>
        <w:rPr>
          <w:rFonts w:hint="eastAsia" w:ascii="仿宋" w:hAnsi="仿宋" w:eastAsia="仿宋" w:cs="仿宋"/>
          <w:sz w:val="24"/>
          <w:szCs w:val="24"/>
          <w:highlight w:val="none"/>
        </w:rPr>
      </w:pPr>
      <w:bookmarkStart w:id="105" w:name="_Toc13238"/>
      <w:bookmarkStart w:id="106" w:name="_Toc342913395"/>
      <w:bookmarkStart w:id="107" w:name="_Toc521318177"/>
      <w:bookmarkStart w:id="108" w:name="_Toc487204785"/>
      <w:bookmarkStart w:id="109" w:name="_Toc30323"/>
      <w:bookmarkStart w:id="110" w:name="_Toc102227321"/>
      <w:bookmarkStart w:id="111" w:name="_Toc426965636"/>
      <w:bookmarkStart w:id="112" w:name="_Toc25826"/>
      <w:r>
        <w:rPr>
          <w:rFonts w:hint="eastAsia" w:ascii="仿宋" w:hAnsi="仿宋" w:eastAsia="仿宋" w:cs="仿宋"/>
          <w:sz w:val="24"/>
          <w:szCs w:val="24"/>
          <w:highlight w:val="none"/>
        </w:rPr>
        <w:t>六、成交通知</w:t>
      </w:r>
      <w:bookmarkEnd w:id="105"/>
      <w:bookmarkEnd w:id="106"/>
      <w:bookmarkEnd w:id="107"/>
      <w:bookmarkEnd w:id="108"/>
      <w:bookmarkEnd w:id="109"/>
      <w:bookmarkEnd w:id="110"/>
      <w:bookmarkEnd w:id="111"/>
      <w:bookmarkEnd w:id="112"/>
    </w:p>
    <w:p>
      <w:pPr>
        <w:spacing w:line="380" w:lineRule="exact"/>
        <w:ind w:firstLine="361" w:firstLineChars="150"/>
        <w:rPr>
          <w:rFonts w:hint="eastAsia" w:ascii="仿宋" w:hAnsi="仿宋" w:eastAsia="仿宋" w:cs="仿宋"/>
          <w:sz w:val="24"/>
          <w:szCs w:val="24"/>
          <w:highlight w:val="none"/>
        </w:rPr>
      </w:pPr>
      <w:r>
        <w:rPr>
          <w:rFonts w:hint="eastAsia" w:ascii="仿宋" w:hAnsi="仿宋" w:eastAsia="仿宋" w:cs="仿宋"/>
          <w:b/>
          <w:sz w:val="24"/>
          <w:szCs w:val="24"/>
          <w:highlight w:val="none"/>
        </w:rPr>
        <w:t>（一）成交供应商确定后，采购代理机构将在</w:t>
      </w:r>
      <w:r>
        <w:rPr>
          <w:rFonts w:hint="eastAsia" w:ascii="仿宋" w:hAnsi="仿宋" w:eastAsia="仿宋" w:cs="仿宋"/>
          <w:b/>
          <w:sz w:val="24"/>
          <w:szCs w:val="24"/>
          <w:highlight w:val="none"/>
          <w:lang w:val="en-US" w:eastAsia="zh-CN"/>
        </w:rPr>
        <w:t>重庆市生态环境局官网（</w:t>
      </w:r>
      <w:r>
        <w:rPr>
          <w:rFonts w:hint="eastAsia" w:ascii="仿宋" w:hAnsi="仿宋" w:eastAsia="仿宋" w:cs="仿宋"/>
          <w:b/>
          <w:sz w:val="24"/>
          <w:szCs w:val="24"/>
          <w:highlight w:val="none"/>
        </w:rPr>
        <w:t>http://sthjj.cq.gov.cn/</w:t>
      </w:r>
      <w:r>
        <w:rPr>
          <w:rFonts w:hint="eastAsia" w:ascii="仿宋" w:hAnsi="仿宋" w:eastAsia="仿宋" w:cs="仿宋"/>
          <w:b/>
          <w:sz w:val="24"/>
          <w:szCs w:val="24"/>
          <w:highlight w:val="none"/>
          <w:lang w:val="en-US" w:eastAsia="zh-CN"/>
        </w:rPr>
        <w:t>）</w:t>
      </w:r>
      <w:r>
        <w:rPr>
          <w:rFonts w:hint="eastAsia" w:ascii="仿宋" w:hAnsi="仿宋" w:eastAsia="仿宋" w:cs="仿宋"/>
          <w:b/>
          <w:sz w:val="24"/>
          <w:szCs w:val="24"/>
          <w:highlight w:val="none"/>
        </w:rPr>
        <w:t>发布结果公告。</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（二）结果公告发出同时，采购代理机构将以书面形式发出《成交通知书》。《成交通知书》一经发出即发生法律效力。</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（三）《成交通知书》将作为签订合同的依据。</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（四）如有供应商对成交结果提出质疑的，在质疑处理完毕后发出成交通知书。</w:t>
      </w:r>
    </w:p>
    <w:p>
      <w:pPr>
        <w:pStyle w:val="5"/>
        <w:spacing w:before="0" w:after="0" w:line="380" w:lineRule="exact"/>
        <w:rPr>
          <w:rFonts w:hint="eastAsia" w:ascii="仿宋" w:hAnsi="仿宋" w:eastAsia="仿宋" w:cs="仿宋"/>
          <w:sz w:val="24"/>
          <w:szCs w:val="24"/>
          <w:highlight w:val="none"/>
        </w:rPr>
      </w:pPr>
      <w:bookmarkStart w:id="113" w:name="_Toc3516"/>
      <w:bookmarkStart w:id="114" w:name="_Toc426965637"/>
      <w:bookmarkStart w:id="115" w:name="_Toc521318178"/>
      <w:bookmarkStart w:id="116" w:name="_Toc18243"/>
      <w:bookmarkStart w:id="117" w:name="_Toc487204786"/>
      <w:bookmarkStart w:id="118" w:name="_Toc11874"/>
      <w:r>
        <w:rPr>
          <w:rFonts w:hint="eastAsia" w:ascii="仿宋" w:hAnsi="仿宋" w:eastAsia="仿宋" w:cs="仿宋"/>
          <w:sz w:val="24"/>
          <w:szCs w:val="24"/>
          <w:highlight w:val="none"/>
        </w:rPr>
        <w:t>七、关于质疑和投诉</w:t>
      </w:r>
      <w:bookmarkEnd w:id="113"/>
      <w:bookmarkEnd w:id="114"/>
      <w:bookmarkEnd w:id="115"/>
      <w:bookmarkEnd w:id="116"/>
      <w:bookmarkEnd w:id="117"/>
      <w:bookmarkEnd w:id="118"/>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1.质疑提出、时限、内容</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1.1供应商认为询价文件、采购过程和成交结果使自己的权益受到伤害的，可向采购人或采购代理机构以书面形式提出质疑。</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1.2供应商对询价文件提出质疑的，应在知其使自己的权益受到伤害的七个工作日内，一次性提出针对询价文件的所有质疑。</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1.3 供应商对采购过程提出质疑的，应在各采购程序环节结束之日起七个工作日内，一次性提出针对同一采购程序环节的所有质疑。</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1.4供应商对成交结果提出质疑的，应当在成交结果公告期限届满之日起七个工作日内，一次性提出针对成交结果的所有质疑。</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1.5供应商提出质疑应当提交质疑函和必要的证明材料，质疑函应当包括下列内容：</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1.5.1供应商的姓名或者名称、地址、邮编、联系人、联系电话及邮箱；</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1.5.2质疑项目的名称、项目号以及招标项目编号；</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1.5.3具体、明确的质疑事项和与质疑事项相关的请求；</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1.5.4事实依据；</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1.5.5必要的法律依据和证明材料；</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1.5.6提出质疑的日期；</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1.5.7营业执照（或事业单位法人证书，或有效的自然人身份证明、组织机构代码证）复印件加盖</w:t>
      </w:r>
      <w:r>
        <w:rPr>
          <w:rFonts w:hint="eastAsia" w:ascii="仿宋" w:hAnsi="仿宋" w:eastAsia="仿宋" w:cs="仿宋"/>
          <w:bCs/>
          <w:sz w:val="24"/>
          <w:szCs w:val="24"/>
          <w:highlight w:val="none"/>
          <w:lang w:eastAsia="zh-CN"/>
        </w:rPr>
        <w:t>供应商</w:t>
      </w:r>
      <w:r>
        <w:rPr>
          <w:rFonts w:hint="eastAsia" w:ascii="仿宋" w:hAnsi="仿宋" w:eastAsia="仿宋" w:cs="仿宋"/>
          <w:bCs/>
          <w:sz w:val="24"/>
          <w:szCs w:val="24"/>
          <w:highlight w:val="none"/>
        </w:rPr>
        <w:t>公章；</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1.5.8法定代表人授权委托书原件、法定代表人身份证复印件和其授权代表的身份证复印件（供应商为自然人的提供自然人身份证复印件），加盖</w:t>
      </w:r>
      <w:r>
        <w:rPr>
          <w:rFonts w:hint="eastAsia" w:ascii="仿宋" w:hAnsi="仿宋" w:eastAsia="仿宋" w:cs="仿宋"/>
          <w:bCs/>
          <w:sz w:val="24"/>
          <w:szCs w:val="24"/>
          <w:highlight w:val="none"/>
          <w:lang w:eastAsia="zh-CN"/>
        </w:rPr>
        <w:t>供应商</w:t>
      </w:r>
      <w:r>
        <w:rPr>
          <w:rFonts w:hint="eastAsia" w:ascii="仿宋" w:hAnsi="仿宋" w:eastAsia="仿宋" w:cs="仿宋"/>
          <w:bCs/>
          <w:sz w:val="24"/>
          <w:szCs w:val="24"/>
          <w:highlight w:val="none"/>
        </w:rPr>
        <w:t>公章；</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1.6供应商为自然人的，质疑函应当由本人签字；供应商为法人或者其他组织的，质疑函应当由法定代表人、主要负责人，或者其授权代表签字或者盖章，并加盖</w:t>
      </w:r>
      <w:r>
        <w:rPr>
          <w:rFonts w:hint="eastAsia" w:ascii="仿宋" w:hAnsi="仿宋" w:eastAsia="仿宋" w:cs="仿宋"/>
          <w:bCs/>
          <w:sz w:val="24"/>
          <w:szCs w:val="24"/>
          <w:highlight w:val="none"/>
          <w:lang w:eastAsia="zh-CN"/>
        </w:rPr>
        <w:t>供应商</w:t>
      </w:r>
      <w:r>
        <w:rPr>
          <w:rFonts w:hint="eastAsia" w:ascii="仿宋" w:hAnsi="仿宋" w:eastAsia="仿宋" w:cs="仿宋"/>
          <w:bCs/>
          <w:sz w:val="24"/>
          <w:szCs w:val="24"/>
          <w:highlight w:val="none"/>
        </w:rPr>
        <w:t>公章。</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4.质疑答复</w:t>
      </w:r>
    </w:p>
    <w:p>
      <w:pPr>
        <w:spacing w:line="440" w:lineRule="exact"/>
        <w:ind w:right="12" w:firstLine="480"/>
        <w:rPr>
          <w:rFonts w:hint="eastAsia" w:ascii="仿宋" w:hAnsi="仿宋" w:eastAsia="仿宋" w:cs="仿宋"/>
          <w:bCs/>
          <w:sz w:val="24"/>
          <w:szCs w:val="24"/>
          <w:highlight w:val="none"/>
        </w:rPr>
      </w:pPr>
      <w:r>
        <w:rPr>
          <w:rFonts w:hint="eastAsia" w:ascii="仿宋" w:hAnsi="仿宋" w:eastAsia="仿宋" w:cs="仿宋"/>
          <w:bCs/>
          <w:sz w:val="24"/>
          <w:szCs w:val="24"/>
          <w:highlight w:val="none"/>
        </w:rPr>
        <w:t>采购人或采购代理机构应当在收到</w:t>
      </w:r>
      <w:r>
        <w:rPr>
          <w:rFonts w:hint="eastAsia" w:ascii="仿宋" w:hAnsi="仿宋" w:eastAsia="仿宋" w:cs="仿宋"/>
          <w:bCs/>
          <w:sz w:val="24"/>
          <w:szCs w:val="24"/>
          <w:highlight w:val="none"/>
          <w:lang w:eastAsia="zh-CN"/>
        </w:rPr>
        <w:t>供应商</w:t>
      </w:r>
      <w:r>
        <w:rPr>
          <w:rFonts w:hint="eastAsia" w:ascii="仿宋" w:hAnsi="仿宋" w:eastAsia="仿宋" w:cs="仿宋"/>
          <w:bCs/>
          <w:sz w:val="24"/>
          <w:szCs w:val="24"/>
          <w:highlight w:val="none"/>
        </w:rPr>
        <w:t>的书面质疑函后七个工作日内作出答复，并以书面形式通知质疑</w:t>
      </w:r>
      <w:r>
        <w:rPr>
          <w:rFonts w:hint="eastAsia" w:ascii="仿宋" w:hAnsi="仿宋" w:eastAsia="仿宋" w:cs="仿宋"/>
          <w:bCs/>
          <w:sz w:val="24"/>
          <w:szCs w:val="24"/>
          <w:highlight w:val="none"/>
          <w:lang w:eastAsia="zh-CN"/>
        </w:rPr>
        <w:t>供应商</w:t>
      </w:r>
      <w:r>
        <w:rPr>
          <w:rFonts w:hint="eastAsia" w:ascii="仿宋" w:hAnsi="仿宋" w:eastAsia="仿宋" w:cs="仿宋"/>
          <w:bCs/>
          <w:sz w:val="24"/>
          <w:szCs w:val="24"/>
          <w:highlight w:val="none"/>
        </w:rPr>
        <w:t>和其他有关</w:t>
      </w:r>
      <w:r>
        <w:rPr>
          <w:rFonts w:hint="eastAsia" w:ascii="仿宋" w:hAnsi="仿宋" w:eastAsia="仿宋" w:cs="仿宋"/>
          <w:bCs/>
          <w:sz w:val="24"/>
          <w:szCs w:val="24"/>
          <w:highlight w:val="none"/>
          <w:lang w:eastAsia="zh-CN"/>
        </w:rPr>
        <w:t>供应商</w:t>
      </w:r>
      <w:r>
        <w:rPr>
          <w:rFonts w:hint="eastAsia" w:ascii="仿宋" w:hAnsi="仿宋" w:eastAsia="仿宋" w:cs="仿宋"/>
          <w:bCs/>
          <w:sz w:val="24"/>
          <w:szCs w:val="24"/>
          <w:highlight w:val="none"/>
        </w:rPr>
        <w:t>。</w:t>
      </w:r>
    </w:p>
    <w:p>
      <w:pPr>
        <w:pStyle w:val="5"/>
        <w:spacing w:before="0" w:after="0" w:line="380" w:lineRule="exact"/>
        <w:rPr>
          <w:rFonts w:hint="eastAsia" w:ascii="仿宋" w:hAnsi="仿宋" w:eastAsia="仿宋" w:cs="仿宋"/>
          <w:sz w:val="24"/>
          <w:szCs w:val="24"/>
          <w:highlight w:val="none"/>
        </w:rPr>
      </w:pPr>
      <w:bookmarkStart w:id="119" w:name="_Toc102227322"/>
      <w:bookmarkStart w:id="120" w:name="_Toc13835"/>
      <w:bookmarkStart w:id="121" w:name="_Toc342913396"/>
      <w:bookmarkStart w:id="122" w:name="_Toc487204787"/>
      <w:bookmarkStart w:id="123" w:name="_Toc521318179"/>
      <w:bookmarkStart w:id="124" w:name="_Toc17946"/>
      <w:bookmarkStart w:id="125" w:name="_Toc24852"/>
      <w:bookmarkStart w:id="126" w:name="_Toc426965638"/>
      <w:r>
        <w:rPr>
          <w:rFonts w:hint="eastAsia" w:ascii="仿宋" w:hAnsi="仿宋" w:eastAsia="仿宋" w:cs="仿宋"/>
          <w:sz w:val="24"/>
          <w:szCs w:val="24"/>
          <w:highlight w:val="none"/>
        </w:rPr>
        <w:t>八、签订</w:t>
      </w:r>
      <w:bookmarkEnd w:id="119"/>
      <w:r>
        <w:rPr>
          <w:rFonts w:hint="eastAsia" w:ascii="仿宋" w:hAnsi="仿宋" w:eastAsia="仿宋" w:cs="仿宋"/>
          <w:sz w:val="24"/>
          <w:szCs w:val="24"/>
          <w:highlight w:val="none"/>
        </w:rPr>
        <w:t>合同</w:t>
      </w:r>
      <w:bookmarkEnd w:id="120"/>
      <w:bookmarkEnd w:id="121"/>
      <w:bookmarkEnd w:id="122"/>
      <w:bookmarkEnd w:id="123"/>
      <w:bookmarkEnd w:id="124"/>
      <w:bookmarkEnd w:id="125"/>
      <w:bookmarkEnd w:id="126"/>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（一）采购人与成交供应商应当在成交通知书发出之日起30日内，按照询价通知书确定的合同文本以及采购标的、规格型号、采购金额、采购数量、技术和服务要求等事项签订政府采购合同。</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（二）询价通知书、成交供应商的响应文件及有效承诺文件等，均为签订合同的依据。</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（三）成交供应商未按照询价通知书确定的事项签订合同，或者与采购人另行订立背离合同实质性内容协议的，将承担相关法律责任。</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pPr>
        <w:spacing w:line="380" w:lineRule="exact"/>
        <w:ind w:firstLine="360" w:firstLineChars="150"/>
        <w:rPr>
          <w:rFonts w:hint="eastAsia" w:ascii="仿宋" w:hAnsi="仿宋" w:eastAsia="仿宋" w:cs="仿宋"/>
          <w:sz w:val="24"/>
          <w:szCs w:val="24"/>
          <w:highlight w:val="none"/>
        </w:rPr>
      </w:pPr>
      <w:r>
        <w:rPr>
          <w:rFonts w:hint="eastAsia" w:ascii="仿宋" w:hAnsi="仿宋" w:eastAsia="仿宋" w:cs="仿宋"/>
          <w:sz w:val="24"/>
          <w:szCs w:val="24"/>
          <w:highlight w:val="none"/>
        </w:rPr>
        <w:t>（五）除不可抗力等因素外，成交通知书发出后，采购人改变成交结果，或者成交供应商无正当理由拒绝签订政府采购合同的，应当承担相应的法律责任。</w:t>
      </w:r>
    </w:p>
    <w:p>
      <w:pPr>
        <w:spacing w:line="380" w:lineRule="exact"/>
        <w:ind w:firstLine="480" w:firstLineChars="200"/>
        <w:rPr>
          <w:rFonts w:hint="eastAsia" w:ascii="仿宋" w:hAnsi="仿宋" w:eastAsia="仿宋" w:cs="仿宋"/>
          <w:sz w:val="24"/>
          <w:szCs w:val="24"/>
          <w:highlight w:val="none"/>
        </w:rPr>
        <w:sectPr>
          <w:headerReference r:id="rId3" w:type="default"/>
          <w:footerReference r:id="rId4" w:type="default"/>
          <w:pgSz w:w="11907" w:h="16840"/>
          <w:pgMar w:top="1134" w:right="1191" w:bottom="1021" w:left="1304" w:header="964" w:footer="992" w:gutter="0"/>
          <w:pgNumType w:fmt="numberInDash"/>
          <w:cols w:space="720" w:num="1"/>
          <w:docGrid w:linePitch="312" w:charSpace="0"/>
        </w:sectPr>
      </w:pPr>
    </w:p>
    <w:p>
      <w:pPr>
        <w:pStyle w:val="4"/>
        <w:spacing w:before="0" w:after="0" w:line="380" w:lineRule="exact"/>
        <w:jc w:val="center"/>
        <w:rPr>
          <w:rFonts w:hint="eastAsia" w:ascii="仿宋" w:hAnsi="仿宋" w:eastAsia="仿宋" w:cs="仿宋"/>
          <w:bCs/>
          <w:szCs w:val="32"/>
          <w:highlight w:val="none"/>
        </w:rPr>
      </w:pPr>
      <w:bookmarkStart w:id="127" w:name="_Toc487204788"/>
      <w:bookmarkStart w:id="128" w:name="_Toc521318180"/>
      <w:bookmarkStart w:id="129" w:name="_Toc11568"/>
      <w:bookmarkStart w:id="130" w:name="_Toc9225"/>
      <w:bookmarkStart w:id="131" w:name="_Toc26936"/>
      <w:r>
        <w:rPr>
          <w:rFonts w:hint="eastAsia" w:ascii="仿宋" w:hAnsi="仿宋" w:eastAsia="仿宋" w:cs="仿宋"/>
          <w:szCs w:val="32"/>
          <w:highlight w:val="none"/>
        </w:rPr>
        <w:t>第三篇</w:t>
      </w:r>
      <w:bookmarkEnd w:id="127"/>
      <w:r>
        <w:rPr>
          <w:rFonts w:hint="eastAsia" w:ascii="仿宋" w:hAnsi="仿宋" w:eastAsia="仿宋" w:cs="仿宋"/>
          <w:szCs w:val="32"/>
          <w:highlight w:val="none"/>
        </w:rPr>
        <w:t>询价项目技术需求</w:t>
      </w:r>
      <w:bookmarkEnd w:id="128"/>
      <w:bookmarkEnd w:id="129"/>
      <w:bookmarkEnd w:id="130"/>
      <w:bookmarkEnd w:id="131"/>
    </w:p>
    <w:p>
      <w:pPr>
        <w:pStyle w:val="5"/>
        <w:spacing w:before="0" w:after="0"/>
        <w:rPr>
          <w:rFonts w:hint="eastAsia" w:ascii="仿宋" w:hAnsi="仿宋" w:eastAsia="仿宋" w:cs="仿宋"/>
          <w:sz w:val="24"/>
          <w:szCs w:val="24"/>
          <w:highlight w:val="none"/>
        </w:rPr>
      </w:pPr>
      <w:bookmarkStart w:id="132" w:name="_Toc19802"/>
      <w:bookmarkStart w:id="133" w:name="_Toc12789058"/>
      <w:r>
        <w:rPr>
          <w:rFonts w:hint="eastAsia" w:ascii="仿宋" w:hAnsi="仿宋" w:eastAsia="仿宋" w:cs="仿宋"/>
          <w:sz w:val="24"/>
          <w:szCs w:val="24"/>
          <w:highlight w:val="none"/>
        </w:rPr>
        <w:t>一、项目</w:t>
      </w:r>
      <w:r>
        <w:rPr>
          <w:rFonts w:hint="eastAsia" w:ascii="仿宋" w:hAnsi="仿宋" w:eastAsia="仿宋" w:cs="仿宋"/>
          <w:sz w:val="24"/>
          <w:szCs w:val="24"/>
          <w:highlight w:val="none"/>
          <w:lang w:eastAsia="zh-CN"/>
        </w:rPr>
        <w:t>技术</w:t>
      </w:r>
      <w:r>
        <w:rPr>
          <w:rFonts w:hint="eastAsia" w:ascii="仿宋" w:hAnsi="仿宋" w:eastAsia="仿宋" w:cs="仿宋"/>
          <w:sz w:val="24"/>
          <w:szCs w:val="24"/>
          <w:highlight w:val="none"/>
        </w:rPr>
        <w:t>要求</w:t>
      </w:r>
      <w:bookmarkEnd w:id="132"/>
    </w:p>
    <w:tbl>
      <w:tblPr>
        <w:tblStyle w:val="65"/>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7146"/>
        <w:gridCol w:w="670"/>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153"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lang w:eastAsia="zh-CN"/>
              </w:rPr>
              <w:t>产品</w:t>
            </w:r>
            <w:r>
              <w:rPr>
                <w:rFonts w:hint="eastAsia" w:ascii="仿宋" w:hAnsi="仿宋" w:eastAsia="仿宋" w:cs="仿宋"/>
                <w:b/>
                <w:bCs/>
                <w:kern w:val="0"/>
                <w:sz w:val="24"/>
                <w:szCs w:val="24"/>
                <w:highlight w:val="none"/>
              </w:rPr>
              <w:t>名称</w:t>
            </w:r>
          </w:p>
        </w:tc>
        <w:tc>
          <w:tcPr>
            <w:tcW w:w="7146"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rPr>
              <w:t>技术要求</w:t>
            </w:r>
          </w:p>
        </w:tc>
        <w:tc>
          <w:tcPr>
            <w:tcW w:w="67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rPr>
              <w:t>单位</w:t>
            </w:r>
          </w:p>
        </w:tc>
        <w:tc>
          <w:tcPr>
            <w:tcW w:w="65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kern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53"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kern w:val="0"/>
                <w:sz w:val="24"/>
                <w:szCs w:val="24"/>
                <w:highlight w:val="none"/>
                <w:lang w:eastAsia="zh-CN"/>
              </w:rPr>
              <w:t>操作系统</w:t>
            </w:r>
            <w:r>
              <w:rPr>
                <w:rFonts w:hint="eastAsia" w:ascii="仿宋" w:hAnsi="仿宋" w:eastAsia="仿宋" w:cs="仿宋"/>
                <w:kern w:val="0"/>
                <w:sz w:val="24"/>
                <w:szCs w:val="24"/>
                <w:highlight w:val="none"/>
                <w:lang w:val="en-US" w:eastAsia="zh-CN"/>
              </w:rPr>
              <w:t>1</w:t>
            </w:r>
          </w:p>
        </w:tc>
        <w:tc>
          <w:tcPr>
            <w:tcW w:w="7146"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1、基本功能：具备文件管理、用户管理、用户组管理、设备管理、系统日志管理、磁盘管理等功能</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2、支持人大金仓、优炫、达梦</w:t>
            </w:r>
            <w:r>
              <w:rPr>
                <w:rFonts w:hint="eastAsia" w:ascii="仿宋" w:hAnsi="仿宋" w:eastAsia="仿宋" w:cs="仿宋"/>
                <w:sz w:val="24"/>
                <w:szCs w:val="24"/>
                <w:highlight w:val="none"/>
                <w:lang w:eastAsia="zh-CN"/>
              </w:rPr>
              <w:t>、南大通用</w:t>
            </w:r>
            <w:r>
              <w:rPr>
                <w:rFonts w:hint="eastAsia" w:ascii="仿宋" w:hAnsi="仿宋" w:eastAsia="仿宋" w:cs="仿宋"/>
                <w:sz w:val="24"/>
                <w:szCs w:val="24"/>
                <w:highlight w:val="none"/>
              </w:rPr>
              <w:t>等数据库产品</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支持国内东方通、金蝶、宝兰德等中间件产品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、支持Docker，KVM虚拟化技术，可以实现虚拟化管理</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、服务器操作系统预装同品牌自研浏览器，</w:t>
            </w:r>
            <w:r>
              <w:rPr>
                <w:rFonts w:hint="eastAsia" w:ascii="仿宋" w:hAnsi="仿宋" w:eastAsia="仿宋" w:cs="仿宋"/>
                <w:b/>
                <w:bCs/>
                <w:sz w:val="24"/>
                <w:szCs w:val="24"/>
                <w:highlight w:val="none"/>
              </w:rPr>
              <w:t>提供同品牌浏览器运行截图</w:t>
            </w:r>
            <w:r>
              <w:rPr>
                <w:rFonts w:hint="eastAsia" w:ascii="仿宋" w:hAnsi="仿宋" w:eastAsia="仿宋" w:cs="仿宋"/>
                <w:b/>
                <w:bCs/>
                <w:sz w:val="24"/>
                <w:szCs w:val="24"/>
                <w:highlight w:val="none"/>
                <w:lang w:eastAsia="zh-CN"/>
              </w:rPr>
              <w:t>；</w:t>
            </w:r>
          </w:p>
        </w:tc>
        <w:tc>
          <w:tcPr>
            <w:tcW w:w="67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套</w:t>
            </w:r>
          </w:p>
        </w:tc>
        <w:tc>
          <w:tcPr>
            <w:tcW w:w="65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1153"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kern w:val="0"/>
                <w:sz w:val="24"/>
                <w:szCs w:val="24"/>
                <w:highlight w:val="none"/>
                <w:lang w:eastAsia="zh-CN"/>
              </w:rPr>
              <w:t>操作系统</w:t>
            </w:r>
            <w:r>
              <w:rPr>
                <w:rFonts w:hint="eastAsia" w:ascii="仿宋" w:hAnsi="仿宋" w:eastAsia="仿宋" w:cs="仿宋"/>
                <w:kern w:val="0"/>
                <w:sz w:val="24"/>
                <w:szCs w:val="24"/>
                <w:highlight w:val="none"/>
                <w:lang w:val="en-US" w:eastAsia="zh-CN"/>
              </w:rPr>
              <w:t>2</w:t>
            </w:r>
          </w:p>
        </w:tc>
        <w:tc>
          <w:tcPr>
            <w:tcW w:w="7146"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1、基本功能：具备文件管理、用户管理、用户组管理、设备管理、系统日志管理、磁盘管理等功能</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2、支持人大金仓、优炫、达梦</w:t>
            </w:r>
            <w:r>
              <w:rPr>
                <w:rFonts w:hint="eastAsia" w:ascii="仿宋" w:hAnsi="仿宋" w:eastAsia="仿宋" w:cs="仿宋"/>
                <w:sz w:val="24"/>
                <w:szCs w:val="24"/>
                <w:highlight w:val="none"/>
                <w:lang w:eastAsia="zh-CN"/>
              </w:rPr>
              <w:t>、南大通用</w:t>
            </w:r>
            <w:r>
              <w:rPr>
                <w:rFonts w:hint="eastAsia" w:ascii="仿宋" w:hAnsi="仿宋" w:eastAsia="仿宋" w:cs="仿宋"/>
                <w:sz w:val="24"/>
                <w:szCs w:val="24"/>
                <w:highlight w:val="none"/>
              </w:rPr>
              <w:t>等数据库产品</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支持国内东方通、金蝶、宝兰德等中间件产品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、支持Docker，KVM虚拟化技术，可以实现虚拟化管理</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、支持</w:t>
            </w:r>
            <w:r>
              <w:rPr>
                <w:rFonts w:hint="eastAsia" w:ascii="仿宋" w:hAnsi="仿宋" w:eastAsia="仿宋" w:cs="仿宋"/>
                <w:sz w:val="24"/>
                <w:szCs w:val="24"/>
                <w:highlight w:val="none"/>
                <w:lang w:val="en-US" w:eastAsia="zh-CN"/>
              </w:rPr>
              <w:t>支持</w:t>
            </w:r>
            <w:r>
              <w:rPr>
                <w:rFonts w:hint="eastAsia" w:ascii="仿宋" w:hAnsi="仿宋" w:eastAsia="仿宋" w:cs="仿宋"/>
                <w:sz w:val="24"/>
                <w:szCs w:val="24"/>
                <w:highlight w:val="none"/>
              </w:rPr>
              <w:t>龙芯、飞腾、鲲鹏、申威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兆芯、海光、Intel、AMD等</w:t>
            </w:r>
            <w:r>
              <w:rPr>
                <w:rFonts w:hint="eastAsia" w:ascii="仿宋" w:hAnsi="仿宋" w:eastAsia="仿宋" w:cs="仿宋"/>
                <w:sz w:val="24"/>
                <w:szCs w:val="24"/>
                <w:highlight w:val="none"/>
                <w:lang w:val="en-US" w:eastAsia="zh-CN"/>
              </w:rPr>
              <w:t>CPU</w:t>
            </w:r>
            <w:r>
              <w:rPr>
                <w:rFonts w:hint="eastAsia" w:ascii="仿宋" w:hAnsi="仿宋" w:eastAsia="仿宋" w:cs="仿宋"/>
                <w:sz w:val="24"/>
                <w:szCs w:val="24"/>
                <w:highlight w:val="none"/>
              </w:rPr>
              <w:t>。</w:t>
            </w:r>
          </w:p>
        </w:tc>
        <w:tc>
          <w:tcPr>
            <w:tcW w:w="67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套</w:t>
            </w:r>
          </w:p>
        </w:tc>
        <w:tc>
          <w:tcPr>
            <w:tcW w:w="65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153"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数据库</w:t>
            </w:r>
            <w:r>
              <w:rPr>
                <w:rFonts w:hint="eastAsia" w:ascii="仿宋" w:hAnsi="仿宋" w:eastAsia="仿宋" w:cs="仿宋"/>
                <w:kern w:val="0"/>
                <w:sz w:val="24"/>
                <w:szCs w:val="24"/>
                <w:highlight w:val="none"/>
                <w:lang w:val="en-US" w:eastAsia="zh-CN"/>
              </w:rPr>
              <w:t>1</w:t>
            </w:r>
          </w:p>
        </w:tc>
        <w:tc>
          <w:tcPr>
            <w:tcW w:w="7146"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一、通用功能：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1.支持混合负载应用场景，既支持事务处理，也支持分析处理。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2.内置半结构化json、jsonb数据类型，支持半结构化数据类型xml，支持XPath访问XML数据，支领灵活的XML Schema的变更和校验，支持XQuery与SQL的混合查询，支持XML高效索引的创建与存取。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3.同时支持bytea、oid、clob、blob等数据类型，能够存储大型非结构化数据，如：文本、图像、视频、空间数据等。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4.具备对数据分区管理能力，支持对表进行范围分区、列表分区、哈希分区等分区机制。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5.支持多种语言字符集，如：GB18030、GB2312、GBK、UNICODE等并支持编码互相转换。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6.支持GIS地理功能，支持面向LBS位置的数据分析和处理能力，提供对于地理矢量数据、3D模型、线性参考数据的组织存储以及空间索引和管理。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7.支持常规的count、sum、avg、max、min 等以及个性化的统计分析函数，并支持聚合函数的并行查询，数据预排序等。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具备全量、增量、差异、归档等备份/恢复功能；具备对库级、用户级、表级的备份/恢复功能；支持数据库、表及操作层面的数据恢复，可对单库、全库、表进行恢复；具备连续归档功能，支持恢复到某个时间点的操作；支持块修复功能；支持闪回功能；支持同城双活/异地容灾的解决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9.数据库存储模式支持：本地存储、共享存储、分布式存储。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10.支持分布式大规模并行处理集群150个节点以上</w:t>
            </w:r>
            <w:r>
              <w:rPr>
                <w:rFonts w:hint="eastAsia" w:ascii="仿宋" w:hAnsi="仿宋" w:eastAsia="仿宋" w:cs="仿宋"/>
                <w:b/>
                <w:bCs/>
                <w:sz w:val="24"/>
                <w:szCs w:val="24"/>
                <w:highlight w:val="none"/>
              </w:rPr>
              <w:t>（提供基于CNAS的第三方测试报告）。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11.支持高可用模式的数据库集群，可在线管理集群节点（增删改）；支持应用程序的透明访问能力，在数据库节点发生故障时，可自动切换到其它节点。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12.支持集群模式下分布式存储及多副本机制，在不中断业务的情况下，可实现集群存储的横向扩容、弹性伸缩、自动容错、无限扩展的能力。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13.支持集群模式下的读写分离、负载均衡、数据实时复制等功能；支持客户端应用程序直接调用JDBC Wrapper的功能，直接访问分布式数据的能力。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14.支持对中文及多语种进行全文检索、支持全文索引的增量更新</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支持数据行列混合存储及数据压缩功能。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lang w:eastAsia="zh-CN"/>
              </w:rPr>
              <w:t>支持对同构、异构数据库的监控，包括其他国产主流数据库、ORACLE、PostgreSQL、DB2、MySQL、SQL Server等，监控信息包括：CPU、内存、文件系统、网络情况、系统运行状态等。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16.支持</w:t>
            </w:r>
            <w:r>
              <w:rPr>
                <w:rFonts w:hint="eastAsia" w:ascii="仿宋" w:hAnsi="仿宋" w:eastAsia="仿宋" w:cs="仿宋"/>
                <w:sz w:val="24"/>
                <w:szCs w:val="24"/>
                <w:highlight w:val="none"/>
                <w:lang w:eastAsia="zh-CN"/>
              </w:rPr>
              <w:t>数据块逻辑读指标直观反映数据库性能，</w:t>
            </w:r>
            <w:r>
              <w:rPr>
                <w:rFonts w:hint="eastAsia" w:ascii="仿宋" w:hAnsi="仿宋" w:eastAsia="仿宋" w:cs="仿宋"/>
                <w:sz w:val="24"/>
                <w:szCs w:val="24"/>
                <w:highlight w:val="none"/>
                <w:lang w:val="en-US" w:eastAsia="zh-CN"/>
              </w:rPr>
              <w:t>支持</w:t>
            </w:r>
            <w:r>
              <w:rPr>
                <w:rFonts w:hint="eastAsia" w:ascii="仿宋" w:hAnsi="仿宋" w:eastAsia="仿宋" w:cs="仿宋"/>
                <w:sz w:val="24"/>
                <w:szCs w:val="24"/>
                <w:highlight w:val="none"/>
                <w:lang w:eastAsia="zh-CN"/>
              </w:rPr>
              <w:t>对象、权限、空间</w:t>
            </w:r>
            <w:r>
              <w:rPr>
                <w:rFonts w:hint="eastAsia" w:ascii="仿宋" w:hAnsi="仿宋" w:eastAsia="仿宋" w:cs="仿宋"/>
                <w:sz w:val="24"/>
                <w:szCs w:val="24"/>
                <w:highlight w:val="none"/>
                <w:lang w:val="en-US" w:eastAsia="zh-CN"/>
              </w:rPr>
              <w:t>级</w:t>
            </w:r>
            <w:r>
              <w:rPr>
                <w:rFonts w:hint="eastAsia" w:ascii="仿宋" w:hAnsi="仿宋" w:eastAsia="仿宋" w:cs="仿宋"/>
                <w:sz w:val="24"/>
                <w:szCs w:val="24"/>
                <w:highlight w:val="none"/>
                <w:lang w:eastAsia="zh-CN"/>
              </w:rPr>
              <w:t>存储空间预测，</w:t>
            </w:r>
            <w:r>
              <w:rPr>
                <w:rFonts w:hint="eastAsia" w:ascii="仿宋" w:hAnsi="仿宋" w:eastAsia="仿宋" w:cs="仿宋"/>
                <w:sz w:val="24"/>
                <w:szCs w:val="24"/>
                <w:highlight w:val="none"/>
                <w:lang w:val="en-US" w:eastAsia="zh-CN"/>
              </w:rPr>
              <w:t>支持</w:t>
            </w:r>
            <w:r>
              <w:rPr>
                <w:rFonts w:hint="eastAsia" w:ascii="仿宋" w:hAnsi="仿宋" w:eastAsia="仿宋" w:cs="仿宋"/>
                <w:sz w:val="24"/>
                <w:szCs w:val="24"/>
                <w:highlight w:val="none"/>
                <w:lang w:eastAsia="zh-CN"/>
              </w:rPr>
              <w:t>长事务、大事务监控、长锁等待、数据库活动、会话数等应用监控，</w:t>
            </w:r>
            <w:r>
              <w:rPr>
                <w:rFonts w:hint="eastAsia" w:ascii="仿宋" w:hAnsi="仿宋" w:eastAsia="仿宋" w:cs="仿宋"/>
                <w:sz w:val="24"/>
                <w:szCs w:val="24"/>
                <w:highlight w:val="none"/>
                <w:lang w:val="en-US" w:eastAsia="zh-CN"/>
              </w:rPr>
              <w:t>支持SQL登录、执行等操作监控；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提供数据迁移工具，支持以图形化和命令行方式，实现对数据库一键迁移工作，数据源涵盖国内外主流数据库及CSV、TXT、XLS等标准化数据文件。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18.</w:t>
            </w:r>
            <w:r>
              <w:rPr>
                <w:rFonts w:hint="eastAsia" w:ascii="仿宋" w:hAnsi="仿宋" w:eastAsia="仿宋" w:cs="仿宋"/>
                <w:sz w:val="24"/>
                <w:szCs w:val="24"/>
                <w:highlight w:val="none"/>
              </w:rPr>
              <w:t>支持对同构及异构数据库互连，同时支持DBLINK和FDW功能，具备对国内外主流数据库及标准数据文件的访问能力。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19.</w:t>
            </w:r>
            <w:r>
              <w:rPr>
                <w:rFonts w:hint="eastAsia" w:ascii="仿宋" w:hAnsi="仿宋" w:eastAsia="仿宋" w:cs="仿宋"/>
                <w:sz w:val="24"/>
                <w:szCs w:val="24"/>
                <w:highlight w:val="none"/>
              </w:rPr>
              <w:t>支持统信UOS、麒麟操作</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支持</w:t>
            </w:r>
            <w:r>
              <w:rPr>
                <w:rFonts w:hint="eastAsia" w:ascii="仿宋" w:hAnsi="仿宋" w:eastAsia="仿宋" w:cs="仿宋"/>
                <w:sz w:val="24"/>
                <w:szCs w:val="24"/>
                <w:highlight w:val="none"/>
              </w:rPr>
              <w:t>龙芯、飞腾、鲲鹏、申威</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兆芯、海光、Intel、AMD等</w:t>
            </w:r>
            <w:r>
              <w:rPr>
                <w:rFonts w:hint="eastAsia" w:ascii="仿宋" w:hAnsi="仿宋" w:eastAsia="仿宋" w:cs="仿宋"/>
                <w:sz w:val="24"/>
                <w:szCs w:val="24"/>
                <w:highlight w:val="none"/>
                <w:lang w:val="en-US" w:eastAsia="zh-CN"/>
              </w:rPr>
              <w:t>CPU</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20</w:t>
            </w:r>
            <w:r>
              <w:rPr>
                <w:rFonts w:hint="eastAsia" w:ascii="仿宋" w:hAnsi="仿宋" w:eastAsia="仿宋" w:cs="仿宋"/>
                <w:sz w:val="24"/>
                <w:szCs w:val="24"/>
                <w:highlight w:val="none"/>
              </w:rPr>
              <w:t>.支持东方通、金蝶、中创等中间件。</w:t>
            </w:r>
          </w:p>
        </w:tc>
        <w:tc>
          <w:tcPr>
            <w:tcW w:w="67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套</w:t>
            </w:r>
          </w:p>
        </w:tc>
        <w:tc>
          <w:tcPr>
            <w:tcW w:w="65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153"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数据库</w:t>
            </w:r>
            <w:r>
              <w:rPr>
                <w:rFonts w:hint="eastAsia" w:ascii="仿宋" w:hAnsi="仿宋" w:eastAsia="仿宋" w:cs="仿宋"/>
                <w:kern w:val="0"/>
                <w:sz w:val="24"/>
                <w:szCs w:val="24"/>
                <w:highlight w:val="none"/>
                <w:lang w:val="en-US" w:eastAsia="zh-CN"/>
              </w:rPr>
              <w:t>2</w:t>
            </w:r>
          </w:p>
        </w:tc>
        <w:tc>
          <w:tcPr>
            <w:tcW w:w="7146"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具备数据存储、访问控制、身份鉴别和数据备份恢复等功能。管理员及用户可通过图形化或命令行工具实现对数据库对象的管理；开发人员可通过标准化接口开发基于数据库的应用和软件，支持用户代理身份认证、异步备库延时和定点重演、超长大字段、DBLINK连接到网关等新特性，完善新增部分空间函数、Oracle兼容特性等功能，可提供共享存储集群主备部署、按服务名配置负载均衡策略等解决方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2、兼容多种硬件体系，可运行于X86、SPARC、POWER、龙芯系列，飞腾系列，申威系列，以及兆芯、华为、海光等多种不同CPU架构的服务器设备。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3、兼容Windows系列、主流Linux发行分支如RedHat、Debian、Ubuntu、CentOS系列、Unix、AIX、Solaris等系列、麒麟、统信、中科方德、凝思、红旗、深之度、普华、思普等多种国产Linux系列操作系统。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4、长时间负载测试，数据库共享存储集群支持7*24小时长时间不间断运行，可靠性达99.995%。</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提供测试报告</w:t>
            </w:r>
            <w:r>
              <w:rPr>
                <w:rFonts w:hint="eastAsia" w:ascii="仿宋" w:hAnsi="仿宋" w:eastAsia="仿宋" w:cs="仿宋"/>
                <w:b/>
                <w:bCs/>
                <w:sz w:val="24"/>
                <w:szCs w:val="24"/>
                <w:highlight w:val="none"/>
                <w:lang w:eastAsia="zh-CN"/>
              </w:rPr>
              <w:t>复印件）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支持共享存储集群，集群每个节点均可写入。集群支持基于不依赖第三方的自动存储管理系统(ASM)，文件系统支持创建磁盘组、添加磁盘、删除磁盘组、创建文件、扩展文件、截断文件、删除文件等操作；支持负载均衡；</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提供测试报告</w:t>
            </w:r>
            <w:r>
              <w:rPr>
                <w:rFonts w:hint="eastAsia" w:ascii="仿宋" w:hAnsi="仿宋" w:eastAsia="仿宋" w:cs="仿宋"/>
                <w:b/>
                <w:bCs/>
                <w:sz w:val="24"/>
                <w:szCs w:val="24"/>
                <w:highlight w:val="none"/>
                <w:lang w:eastAsia="zh-CN"/>
              </w:rPr>
              <w:t>复印件。）</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6、数据库原厂商通过软件行业国际公认的权威软件开发能力成熟度模型CMMI-DEV V2.0 五级评估和中国认可软件过程及能力成熟度评估（SPCA）L5级评估</w:t>
            </w:r>
            <w:r>
              <w:rPr>
                <w:rFonts w:hint="eastAsia" w:ascii="仿宋" w:hAnsi="仿宋" w:eastAsia="仿宋" w:cs="仿宋"/>
                <w:sz w:val="24"/>
                <w:szCs w:val="24"/>
                <w:highlight w:val="none"/>
                <w:lang w:eastAsia="zh-CN"/>
              </w:rPr>
              <w:t>。</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提供证书复印件</w:t>
            </w:r>
            <w:r>
              <w:rPr>
                <w:rFonts w:hint="eastAsia" w:ascii="仿宋" w:hAnsi="仿宋" w:eastAsia="仿宋" w:cs="仿宋"/>
                <w:b/>
                <w:bCs/>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7、数据库原厂商获得ITSS信息技术服务运行维护标准符合性证书，成熟度等级贰级及以上，</w:t>
            </w:r>
            <w:r>
              <w:rPr>
                <w:rFonts w:hint="eastAsia" w:ascii="仿宋" w:hAnsi="仿宋" w:eastAsia="仿宋" w:cs="仿宋"/>
                <w:b/>
                <w:bCs/>
                <w:sz w:val="24"/>
                <w:szCs w:val="24"/>
                <w:highlight w:val="none"/>
                <w:lang w:eastAsia="zh-CN"/>
              </w:rPr>
              <w:t>（</w:t>
            </w:r>
            <w:r>
              <w:rPr>
                <w:rFonts w:hint="eastAsia" w:ascii="仿宋" w:hAnsi="仿宋" w:eastAsia="仿宋" w:cs="仿宋"/>
                <w:b/>
                <w:bCs/>
                <w:sz w:val="24"/>
                <w:szCs w:val="24"/>
                <w:highlight w:val="none"/>
              </w:rPr>
              <w:t>提供证书复印件</w:t>
            </w:r>
            <w:r>
              <w:rPr>
                <w:rFonts w:hint="eastAsia" w:ascii="仿宋" w:hAnsi="仿宋" w:eastAsia="仿宋" w:cs="仿宋"/>
                <w:b/>
                <w:bCs/>
                <w:sz w:val="24"/>
                <w:szCs w:val="24"/>
                <w:highlight w:val="none"/>
                <w:lang w:eastAsia="zh-CN"/>
              </w:rPr>
              <w:t>）</w:t>
            </w:r>
          </w:p>
        </w:tc>
        <w:tc>
          <w:tcPr>
            <w:tcW w:w="67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套</w:t>
            </w:r>
          </w:p>
        </w:tc>
        <w:tc>
          <w:tcPr>
            <w:tcW w:w="65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153"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数据库</w:t>
            </w:r>
            <w:r>
              <w:rPr>
                <w:rFonts w:hint="eastAsia" w:ascii="仿宋" w:hAnsi="仿宋" w:eastAsia="仿宋" w:cs="仿宋"/>
                <w:kern w:val="0"/>
                <w:sz w:val="24"/>
                <w:szCs w:val="24"/>
                <w:highlight w:val="none"/>
                <w:lang w:val="en-US" w:eastAsia="zh-CN"/>
              </w:rPr>
              <w:t>3</w:t>
            </w:r>
          </w:p>
        </w:tc>
        <w:tc>
          <w:tcPr>
            <w:tcW w:w="7146" w:type="dxa"/>
            <w:shd w:val="clear" w:color="000000"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w:t>
            </w:r>
            <w:r>
              <w:rPr>
                <w:rFonts w:hint="eastAsia" w:ascii="仿宋" w:hAnsi="仿宋" w:eastAsia="仿宋" w:cs="仿宋"/>
                <w:color w:val="000000"/>
                <w:sz w:val="24"/>
                <w:szCs w:val="24"/>
                <w:highlight w:val="none"/>
              </w:rPr>
              <w:t>技术性能/功能描述：用于数据安全存储和管理的数据库产品。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2.</w:t>
            </w:r>
            <w:r>
              <w:rPr>
                <w:rFonts w:hint="eastAsia" w:ascii="仿宋" w:hAnsi="仿宋" w:eastAsia="仿宋" w:cs="仿宋"/>
                <w:color w:val="000000"/>
                <w:sz w:val="24"/>
                <w:szCs w:val="24"/>
                <w:highlight w:val="none"/>
              </w:rPr>
              <w:t>数据存储、访问控制、身份鉴别、安全审计和数据备份等功能。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color w:val="000000"/>
                <w:sz w:val="24"/>
                <w:szCs w:val="24"/>
                <w:highlight w:val="none"/>
              </w:rPr>
              <w:t>产品部署在服务器，以后台服务形式运行，数据库管理员及用户在管理主机上通过图形化管理工具或命令行工具，可实现对数据库对象（表、视图、约束、索引、触发器、存储过程等）的配置管理</w:t>
            </w:r>
            <w:r>
              <w:rPr>
                <w:rFonts w:hint="eastAsia" w:ascii="仿宋" w:hAnsi="仿宋" w:eastAsia="仿宋" w:cs="仿宋"/>
                <w:color w:val="00000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4.</w:t>
            </w:r>
            <w:r>
              <w:rPr>
                <w:rFonts w:hint="eastAsia" w:ascii="仿宋" w:hAnsi="仿宋" w:eastAsia="仿宋" w:cs="仿宋"/>
                <w:color w:val="000000"/>
                <w:sz w:val="24"/>
                <w:szCs w:val="24"/>
                <w:highlight w:val="none"/>
              </w:rPr>
              <w:t>开发人员可通过标准化数据库访问接口开发基于安全数据库的应用系统和软件产品</w:t>
            </w:r>
            <w:r>
              <w:rPr>
                <w:rFonts w:hint="eastAsia" w:ascii="仿宋" w:hAnsi="仿宋" w:eastAsia="仿宋" w:cs="仿宋"/>
                <w:color w:val="00000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5.</w:t>
            </w:r>
            <w:r>
              <w:rPr>
                <w:rFonts w:hint="eastAsia" w:ascii="仿宋" w:hAnsi="仿宋" w:eastAsia="仿宋" w:cs="仿宋"/>
                <w:color w:val="000000"/>
                <w:sz w:val="24"/>
                <w:szCs w:val="24"/>
                <w:highlight w:val="none"/>
              </w:rPr>
              <w:t>支持统信UOS、麒麟操作</w:t>
            </w:r>
            <w:r>
              <w:rPr>
                <w:rFonts w:hint="eastAsia" w:ascii="仿宋" w:hAnsi="仿宋" w:eastAsia="仿宋" w:cs="仿宋"/>
                <w:color w:val="00000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6.支持</w:t>
            </w:r>
            <w:r>
              <w:rPr>
                <w:rFonts w:hint="eastAsia" w:ascii="仿宋" w:hAnsi="仿宋" w:eastAsia="仿宋" w:cs="仿宋"/>
                <w:color w:val="000000"/>
                <w:sz w:val="24"/>
                <w:szCs w:val="24"/>
                <w:highlight w:val="none"/>
              </w:rPr>
              <w:t>龙芯、飞腾、鲲鹏、申威</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兆芯、海光、Intel、AMD等</w:t>
            </w:r>
            <w:r>
              <w:rPr>
                <w:rFonts w:hint="eastAsia" w:ascii="仿宋" w:hAnsi="仿宋" w:eastAsia="仿宋" w:cs="仿宋"/>
                <w:color w:val="000000"/>
                <w:sz w:val="24"/>
                <w:szCs w:val="24"/>
                <w:highlight w:val="none"/>
                <w:lang w:val="en-US" w:eastAsia="zh-CN"/>
              </w:rPr>
              <w:t>CPU</w:t>
            </w:r>
            <w:r>
              <w:rPr>
                <w:rFonts w:hint="eastAsia" w:ascii="仿宋" w:hAnsi="仿宋" w:eastAsia="仿宋" w:cs="仿宋"/>
                <w:color w:val="000000"/>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rPr>
              <w:t>.支持东方通、金蝶、中创等中间件。</w:t>
            </w:r>
          </w:p>
        </w:tc>
        <w:tc>
          <w:tcPr>
            <w:tcW w:w="67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highlight w:val="none"/>
                <w:lang w:eastAsia="zh-CN"/>
              </w:rPr>
            </w:pPr>
            <w:r>
              <w:rPr>
                <w:rFonts w:hint="eastAsia" w:ascii="仿宋" w:hAnsi="仿宋" w:eastAsia="仿宋" w:cs="仿宋"/>
                <w:sz w:val="24"/>
                <w:szCs w:val="24"/>
                <w:highlight w:val="none"/>
                <w:lang w:eastAsia="zh-CN"/>
              </w:rPr>
              <w:t>套</w:t>
            </w:r>
          </w:p>
        </w:tc>
        <w:tc>
          <w:tcPr>
            <w:tcW w:w="65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highlight w:val="none"/>
                <w:lang w:val="en-US" w:eastAsia="zh-CN"/>
              </w:rPr>
            </w:pPr>
            <w:r>
              <w:rPr>
                <w:rFonts w:hint="eastAsia" w:ascii="仿宋" w:hAnsi="仿宋" w:eastAsia="仿宋" w:cs="仿宋"/>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153"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kern w:val="0"/>
                <w:sz w:val="24"/>
                <w:szCs w:val="24"/>
                <w:highlight w:val="none"/>
                <w:lang w:val="en-US" w:eastAsia="zh-CN"/>
              </w:rPr>
              <w:t>中间件1</w:t>
            </w:r>
          </w:p>
        </w:tc>
        <w:tc>
          <w:tcPr>
            <w:tcW w:w="7146" w:type="dxa"/>
            <w:shd w:val="clear" w:color="000000"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1.非封装国外开源中间件产品，至少5个或以上产品模块源代码100%自主原创。</w:t>
            </w:r>
            <w:r>
              <w:rPr>
                <w:rFonts w:hint="eastAsia" w:ascii="仿宋" w:hAnsi="仿宋" w:eastAsia="仿宋" w:cs="仿宋"/>
                <w:b/>
                <w:bCs/>
                <w:color w:val="000000"/>
                <w:sz w:val="24"/>
                <w:szCs w:val="24"/>
                <w:highlight w:val="none"/>
                <w:lang w:val="en-US" w:eastAsia="zh-CN"/>
              </w:rPr>
              <w:t>（提供CNAS认定的第三方机构出具的源代码自主率报告复印件）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2.兼容统信UOS、中标麒麟、中科方德、达梦、人大金仓、优炫、神州通用等操作系统和数据库。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3.产品具有独立的可视化开发工具，并支持可视化、拖拽式的Web应用开发。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3.产品具有访问控制功能，实现等保三员功能。</w:t>
            </w:r>
            <w:r>
              <w:rPr>
                <w:rFonts w:hint="eastAsia" w:ascii="仿宋" w:hAnsi="仿宋" w:eastAsia="仿宋" w:cs="仿宋"/>
                <w:b/>
                <w:bCs/>
                <w:color w:val="000000"/>
                <w:sz w:val="24"/>
                <w:szCs w:val="24"/>
                <w:highlight w:val="none"/>
                <w:lang w:val="en-US" w:eastAsia="zh-CN"/>
              </w:rPr>
              <w:t>（提供产品界面截图）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4.产品具有等保密级功能，可通过B/S管理控制台对应用的密级标识进行选择（机密、绝密等）。</w:t>
            </w:r>
            <w:r>
              <w:rPr>
                <w:rFonts w:hint="eastAsia" w:ascii="仿宋" w:hAnsi="仿宋" w:eastAsia="仿宋" w:cs="仿宋"/>
                <w:b/>
                <w:bCs/>
                <w:color w:val="000000"/>
                <w:sz w:val="24"/>
                <w:szCs w:val="24"/>
                <w:highlight w:val="none"/>
                <w:lang w:val="en-US" w:eastAsia="zh-CN"/>
              </w:rPr>
              <w:t>（提供产品界面截图）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5.为实现对部分老版本应用系统的兼容支持，产品需支持JavaServer Faces（JSF）标准功能框架，且同时支持在JSF中，可执行动态方法，中间件产品需要提供相关的支持方法及组件模块。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6.中间件产品需提供完善的公共类管理策略，在实现共享库管理的基础上，也同时需要提供独特的、具备专利水平的类装载隔离策略及装置模块。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7.提供基于Web方式的JVM信息监控、类加载查看与SQL执行跟踪等功能。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8.性能达到国际通行的中间件性能SPECjEnterprise2018 Web Profile基准测试8000EjOPS （Enterprise java Operation Per Second）以上。</w:t>
            </w:r>
            <w:r>
              <w:rPr>
                <w:rFonts w:hint="eastAsia" w:ascii="仿宋" w:hAnsi="仿宋" w:eastAsia="仿宋" w:cs="仿宋"/>
                <w:b/>
                <w:bCs/>
                <w:color w:val="000000"/>
                <w:sz w:val="24"/>
                <w:szCs w:val="24"/>
                <w:highlight w:val="none"/>
                <w:lang w:val="en-US" w:eastAsia="zh-CN"/>
              </w:rPr>
              <w:t>（提供CNAS认定的第三方机构出具的性能测试报告）</w:t>
            </w:r>
          </w:p>
        </w:tc>
        <w:tc>
          <w:tcPr>
            <w:tcW w:w="67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eastAsia="zh-CN"/>
              </w:rPr>
            </w:pPr>
          </w:p>
        </w:tc>
        <w:tc>
          <w:tcPr>
            <w:tcW w:w="65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153"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kern w:val="0"/>
                <w:sz w:val="24"/>
                <w:szCs w:val="24"/>
                <w:highlight w:val="none"/>
                <w:lang w:val="en-US" w:eastAsia="zh-CN"/>
              </w:rPr>
              <w:t>中间件2</w:t>
            </w:r>
          </w:p>
        </w:tc>
        <w:tc>
          <w:tcPr>
            <w:tcW w:w="7146" w:type="dxa"/>
            <w:shd w:val="clear" w:color="000000"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1.产品遵循JavaEE标准规范，通过JavaEE 7，JavaEE 8  Jakarta EE 9标准认证。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2.产品制造商需通过软件能力成熟度集成模型CMMI3级或以上认证</w:t>
            </w:r>
            <w:r>
              <w:rPr>
                <w:rFonts w:hint="eastAsia" w:ascii="仿宋" w:hAnsi="仿宋" w:eastAsia="仿宋" w:cs="仿宋"/>
                <w:b/>
                <w:bCs/>
                <w:color w:val="000000"/>
                <w:sz w:val="24"/>
                <w:szCs w:val="24"/>
                <w:highlight w:val="none"/>
                <w:lang w:val="en-US" w:eastAsia="zh-CN"/>
              </w:rPr>
              <w:t>。（提供复印件）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w:t>
            </w:r>
            <w:r>
              <w:rPr>
                <w:rFonts w:hint="eastAsia" w:ascii="仿宋" w:hAnsi="仿宋" w:eastAsia="仿宋" w:cs="仿宋"/>
                <w:b/>
                <w:bCs/>
                <w:color w:val="000000"/>
                <w:sz w:val="24"/>
                <w:szCs w:val="24"/>
                <w:highlight w:val="none"/>
                <w:lang w:val="en-US" w:eastAsia="zh-CN"/>
              </w:rPr>
              <w:t>提供该产品的代码安全审查及渗透测试报告。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4.具备web、EJB应用、应用服务器集群等基本功能，提供类库管理、集成环境管理、图形化监控、JVM配置等功能，支持数据库连接池、多数据源管理。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5.支持不大于10M的中间件轻量级版本。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6.支持自动化安装，启停，卸载功能；提供中间件内存、数据库连接池批量修改；支持定制中间件弹性伸缩的策略。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7.支持对中间件服务实例可用性探测及应用性能管理功能，支持多步骤探测，支持Ping、Socket、JDBC、URL等探测手段。支持慢SQL、超时请求、内存、线程监控与管理功能。</w:t>
            </w:r>
          </w:p>
        </w:tc>
        <w:tc>
          <w:tcPr>
            <w:tcW w:w="67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eastAsia="zh-CN"/>
              </w:rPr>
            </w:pPr>
          </w:p>
        </w:tc>
        <w:tc>
          <w:tcPr>
            <w:tcW w:w="65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153"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highlight w:val="none"/>
                <w:lang w:val="en-US" w:eastAsia="zh-CN"/>
              </w:rPr>
            </w:pPr>
            <w:r>
              <w:rPr>
                <w:rFonts w:hint="eastAsia" w:ascii="仿宋" w:hAnsi="仿宋" w:eastAsia="仿宋" w:cs="仿宋"/>
                <w:kern w:val="0"/>
                <w:sz w:val="24"/>
                <w:szCs w:val="24"/>
                <w:highlight w:val="none"/>
                <w:lang w:val="en-US" w:eastAsia="zh-CN"/>
              </w:rPr>
              <w:t>中间件3</w:t>
            </w:r>
          </w:p>
        </w:tc>
        <w:tc>
          <w:tcPr>
            <w:tcW w:w="7146" w:type="dxa"/>
            <w:shd w:val="clear" w:color="000000"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color w:val="000000"/>
                <w:sz w:val="24"/>
                <w:szCs w:val="24"/>
                <w:highlight w:val="none"/>
              </w:rPr>
              <w:t>1</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遵循国际标准，必须通过 Java EE 5、6、7、8 四个标准规范的官方兼容认证</w:t>
            </w:r>
            <w:r>
              <w:rPr>
                <w:rFonts w:hint="eastAsia" w:ascii="仿宋" w:hAnsi="仿宋" w:eastAsia="仿宋" w:cs="仿宋"/>
                <w:color w:val="000000"/>
                <w:sz w:val="24"/>
                <w:szCs w:val="24"/>
                <w:highlight w:val="none"/>
                <w:lang w:eastAsia="zh-CN"/>
              </w:rPr>
              <w:t>。</w:t>
            </w:r>
            <w:r>
              <w:rPr>
                <w:rFonts w:hint="eastAsia" w:ascii="仿宋" w:hAnsi="仿宋" w:eastAsia="仿宋" w:cs="仿宋"/>
                <w:b/>
                <w:bCs/>
                <w:color w:val="000000"/>
                <w:sz w:val="24"/>
                <w:szCs w:val="24"/>
                <w:highlight w:val="none"/>
                <w:lang w:val="en-US" w:eastAsia="zh-CN"/>
              </w:rPr>
              <w:t>（逐个提供 Java EE 对上述标准兼容认证的查询网址及网页截图）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支持麒麟OS、统信UOS等</w:t>
            </w:r>
            <w:r>
              <w:rPr>
                <w:rFonts w:hint="eastAsia" w:ascii="仿宋" w:hAnsi="仿宋" w:eastAsia="仿宋" w:cs="仿宋"/>
                <w:color w:val="000000"/>
                <w:sz w:val="24"/>
                <w:szCs w:val="24"/>
                <w:highlight w:val="none"/>
                <w:lang w:val="en-US" w:eastAsia="zh-CN"/>
              </w:rPr>
              <w:t>操作系统</w:t>
            </w:r>
            <w:r>
              <w:rPr>
                <w:rFonts w:hint="eastAsia" w:ascii="仿宋" w:hAnsi="仿宋" w:eastAsia="仿宋" w:cs="仿宋"/>
                <w:color w:val="000000"/>
                <w:sz w:val="24"/>
                <w:szCs w:val="24"/>
                <w:highlight w:val="none"/>
              </w:rPr>
              <w:t>；支持达梦、金仓、神通、南大通用、优炫等</w:t>
            </w:r>
            <w:r>
              <w:rPr>
                <w:rFonts w:hint="eastAsia" w:ascii="仿宋" w:hAnsi="仿宋" w:eastAsia="仿宋" w:cs="仿宋"/>
                <w:color w:val="000000"/>
                <w:sz w:val="24"/>
                <w:szCs w:val="24"/>
                <w:highlight w:val="none"/>
                <w:lang w:val="en-US" w:eastAsia="zh-CN"/>
              </w:rPr>
              <w:t>数据库</w:t>
            </w:r>
            <w:r>
              <w:rPr>
                <w:rFonts w:hint="eastAsia" w:ascii="仿宋" w:hAnsi="仿宋" w:eastAsia="仿宋" w:cs="仿宋"/>
                <w:color w:val="000000"/>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 xml:space="preserve">内置类加载冲突检测工具，可以检测出应用部署和运行过程中哪些类存在类加载冲突问题，并能自动生成冲突检测报告，方便快速定位和解决应用类加载问题。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支持在管理控制台页面上配置异步日志，保证日志输出的同时降低对应用系统性能的影响。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监控服务可以选择监视信息的回放时间段，方便运维人员了解过去某段时间的系统和应用的监控情况。</w:t>
            </w:r>
            <w:r>
              <w:rPr>
                <w:rFonts w:hint="eastAsia" w:ascii="仿宋" w:hAnsi="仿宋" w:eastAsia="仿宋" w:cs="仿宋"/>
                <w:b/>
                <w:bCs/>
                <w:color w:val="000000"/>
                <w:sz w:val="24"/>
                <w:szCs w:val="24"/>
                <w:highlight w:val="none"/>
                <w:lang w:val="en-US" w:eastAsia="zh-CN"/>
              </w:rPr>
              <w:t>（提供产品功能截图）</w:t>
            </w:r>
            <w:r>
              <w:rPr>
                <w:rFonts w:hint="eastAsia" w:ascii="仿宋" w:hAnsi="仿宋" w:eastAsia="仿宋" w:cs="仿宋"/>
                <w:color w:val="000000"/>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提供实时统计功能， 能够监控方法的最大耗时， 最小耗时，成功请求次数，总请求次数。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7</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支持命令行审计功能，能记录每次命令行操作。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w:t>
            </w: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rPr>
              <w:t>内置快照功能，能够对服务器及应用程序的运行时信息进行捕获。</w:t>
            </w:r>
          </w:p>
        </w:tc>
        <w:tc>
          <w:tcPr>
            <w:tcW w:w="670"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eastAsia="zh-CN"/>
              </w:rPr>
            </w:pPr>
          </w:p>
        </w:tc>
        <w:tc>
          <w:tcPr>
            <w:tcW w:w="655" w:type="dxa"/>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w:t>
            </w:r>
          </w:p>
        </w:tc>
      </w:tr>
    </w:tbl>
    <w:p>
      <w:pPr>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br w:type="page"/>
      </w:r>
    </w:p>
    <w:p>
      <w:pPr>
        <w:spacing w:line="380" w:lineRule="exact"/>
        <w:ind w:firstLine="562" w:firstLineChars="200"/>
        <w:rPr>
          <w:rFonts w:hint="eastAsia" w:ascii="仿宋" w:hAnsi="仿宋" w:eastAsia="仿宋" w:cs="仿宋"/>
          <w:b/>
          <w:szCs w:val="32"/>
          <w:highlight w:val="none"/>
        </w:rPr>
      </w:pPr>
    </w:p>
    <w:p>
      <w:pPr>
        <w:pStyle w:val="4"/>
        <w:spacing w:before="0" w:after="0" w:line="380" w:lineRule="exact"/>
        <w:jc w:val="center"/>
        <w:rPr>
          <w:rFonts w:hint="eastAsia" w:ascii="仿宋" w:hAnsi="仿宋" w:eastAsia="仿宋" w:cs="仿宋"/>
          <w:b w:val="0"/>
          <w:szCs w:val="32"/>
          <w:highlight w:val="none"/>
        </w:rPr>
      </w:pPr>
      <w:bookmarkStart w:id="134" w:name="_Toc26318"/>
      <w:bookmarkStart w:id="135" w:name="_Toc16507"/>
      <w:bookmarkStart w:id="136" w:name="_Toc521318183"/>
      <w:bookmarkStart w:id="137" w:name="_Toc25129"/>
      <w:r>
        <w:rPr>
          <w:rFonts w:hint="eastAsia" w:ascii="仿宋" w:hAnsi="仿宋" w:eastAsia="仿宋" w:cs="仿宋"/>
          <w:szCs w:val="32"/>
          <w:highlight w:val="none"/>
        </w:rPr>
        <w:t>第四篇</w:t>
      </w:r>
      <w:bookmarkEnd w:id="133"/>
      <w:r>
        <w:rPr>
          <w:rFonts w:hint="eastAsia" w:ascii="仿宋" w:hAnsi="仿宋" w:eastAsia="仿宋" w:cs="仿宋"/>
          <w:szCs w:val="32"/>
          <w:highlight w:val="none"/>
        </w:rPr>
        <w:t>询价项目商务需求</w:t>
      </w:r>
      <w:bookmarkEnd w:id="134"/>
      <w:bookmarkEnd w:id="135"/>
      <w:bookmarkEnd w:id="136"/>
      <w:bookmarkEnd w:id="137"/>
    </w:p>
    <w:p>
      <w:pPr>
        <w:pStyle w:val="5"/>
        <w:spacing w:before="0" w:after="0" w:line="400" w:lineRule="exact"/>
        <w:rPr>
          <w:rFonts w:hint="eastAsia" w:ascii="仿宋" w:hAnsi="仿宋" w:eastAsia="仿宋" w:cs="仿宋"/>
          <w:sz w:val="24"/>
          <w:szCs w:val="24"/>
          <w:highlight w:val="none"/>
        </w:rPr>
      </w:pPr>
      <w:bookmarkStart w:id="138" w:name="_Toc11870953"/>
      <w:bookmarkStart w:id="139" w:name="_Toc29067"/>
      <w:r>
        <w:rPr>
          <w:rFonts w:hint="eastAsia" w:ascii="仿宋" w:hAnsi="仿宋" w:eastAsia="仿宋" w:cs="仿宋"/>
          <w:sz w:val="24"/>
          <w:szCs w:val="24"/>
          <w:highlight w:val="none"/>
        </w:rPr>
        <w:t>一、交付时间、地点及验收方式</w:t>
      </w:r>
      <w:bookmarkEnd w:id="138"/>
      <w:bookmarkEnd w:id="139"/>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（一）交付时间：签订合同后1</w:t>
      </w:r>
      <w:r>
        <w:rPr>
          <w:rFonts w:hint="eastAsia" w:ascii="仿宋" w:hAnsi="仿宋" w:eastAsia="仿宋" w:cs="仿宋"/>
          <w:kern w:val="0"/>
          <w:sz w:val="24"/>
          <w:szCs w:val="24"/>
          <w:highlight w:val="none"/>
          <w:lang w:val="en-US" w:eastAsia="zh-CN"/>
        </w:rPr>
        <w:t>0</w:t>
      </w:r>
      <w:r>
        <w:rPr>
          <w:rFonts w:hint="eastAsia" w:ascii="仿宋" w:hAnsi="仿宋" w:eastAsia="仿宋" w:cs="仿宋"/>
          <w:kern w:val="0"/>
          <w:sz w:val="24"/>
          <w:szCs w:val="24"/>
          <w:highlight w:val="none"/>
        </w:rPr>
        <w:t>个日历日内。</w:t>
      </w:r>
    </w:p>
    <w:p>
      <w:pPr>
        <w:snapToGrid w:val="0"/>
        <w:spacing w:line="400" w:lineRule="exact"/>
        <w:ind w:firstLine="480" w:firstLineChars="200"/>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（二）交货及安装地点：采购人指定地点</w:t>
      </w:r>
      <w:r>
        <w:rPr>
          <w:rFonts w:hint="eastAsia" w:ascii="仿宋" w:hAnsi="仿宋" w:eastAsia="仿宋" w:cs="仿宋"/>
          <w:kern w:val="0"/>
          <w:sz w:val="24"/>
          <w:szCs w:val="24"/>
          <w:highlight w:val="none"/>
          <w:lang w:eastAsia="zh-CN"/>
        </w:rPr>
        <w:t>。</w:t>
      </w:r>
    </w:p>
    <w:p>
      <w:pPr>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kern w:val="0"/>
          <w:sz w:val="24"/>
          <w:szCs w:val="24"/>
          <w:highlight w:val="none"/>
        </w:rPr>
        <w:t>（三）验收方式：</w:t>
      </w:r>
      <w:bookmarkStart w:id="140" w:name="_Toc11870954"/>
      <w:r>
        <w:rPr>
          <w:rFonts w:hint="eastAsia" w:ascii="仿宋" w:hAnsi="仿宋" w:eastAsia="仿宋" w:cs="仿宋"/>
          <w:sz w:val="24"/>
          <w:szCs w:val="24"/>
          <w:highlight w:val="none"/>
          <w:lang w:eastAsia="zh-CN"/>
        </w:rPr>
        <w:t>成交</w:t>
      </w:r>
      <w:r>
        <w:rPr>
          <w:rFonts w:hint="eastAsia" w:ascii="仿宋" w:hAnsi="仿宋" w:eastAsia="仿宋" w:cs="仿宋"/>
          <w:sz w:val="24"/>
          <w:szCs w:val="24"/>
          <w:highlight w:val="none"/>
        </w:rPr>
        <w:t>供应商在合同期内完成</w:t>
      </w:r>
      <w:r>
        <w:rPr>
          <w:rFonts w:hint="eastAsia" w:ascii="仿宋" w:hAnsi="仿宋" w:eastAsia="仿宋" w:cs="仿宋"/>
          <w:sz w:val="24"/>
          <w:szCs w:val="24"/>
          <w:highlight w:val="none"/>
          <w:lang w:eastAsia="zh-CN"/>
        </w:rPr>
        <w:t>产品交付，并提供每套产品的纸质授权</w:t>
      </w:r>
      <w:r>
        <w:rPr>
          <w:rFonts w:hint="eastAsia" w:ascii="仿宋" w:hAnsi="仿宋" w:eastAsia="仿宋" w:cs="仿宋"/>
          <w:sz w:val="24"/>
          <w:szCs w:val="24"/>
          <w:highlight w:val="none"/>
        </w:rPr>
        <w:t>。</w:t>
      </w:r>
    </w:p>
    <w:p>
      <w:pPr>
        <w:pStyle w:val="5"/>
        <w:spacing w:before="0" w:after="0" w:line="400" w:lineRule="exact"/>
        <w:rPr>
          <w:rFonts w:hint="eastAsia" w:ascii="仿宋" w:hAnsi="仿宋" w:eastAsia="仿宋" w:cs="仿宋"/>
          <w:sz w:val="24"/>
          <w:szCs w:val="24"/>
          <w:highlight w:val="none"/>
        </w:rPr>
      </w:pPr>
      <w:bookmarkStart w:id="141" w:name="_Toc26023"/>
      <w:r>
        <w:rPr>
          <w:rFonts w:hint="eastAsia" w:ascii="仿宋" w:hAnsi="仿宋" w:eastAsia="仿宋" w:cs="仿宋"/>
          <w:sz w:val="24"/>
          <w:szCs w:val="24"/>
          <w:highlight w:val="none"/>
        </w:rPr>
        <w:t>二、报价要求</w:t>
      </w:r>
      <w:bookmarkEnd w:id="140"/>
      <w:bookmarkEnd w:id="141"/>
    </w:p>
    <w:p>
      <w:pPr>
        <w:snapToGrid w:val="0"/>
        <w:spacing w:line="400" w:lineRule="exact"/>
        <w:ind w:firstLine="480" w:firstLineChars="200"/>
        <w:rPr>
          <w:rFonts w:hint="eastAsia" w:ascii="仿宋" w:hAnsi="仿宋" w:eastAsia="仿宋" w:cs="仿宋"/>
          <w:highlight w:val="none"/>
        </w:rPr>
      </w:pPr>
      <w:r>
        <w:rPr>
          <w:rFonts w:hint="eastAsia" w:ascii="仿宋" w:hAnsi="仿宋" w:eastAsia="仿宋" w:cs="仿宋"/>
          <w:kern w:val="0"/>
          <w:sz w:val="24"/>
          <w:szCs w:val="24"/>
          <w:highlight w:val="none"/>
        </w:rPr>
        <w:t>本次报价须为人民币报价，包含：产品价、运输费（含装卸费）、保险费、安装调试费、税费、培训费等达到采购人需求的所有费用。因成交供应商自身原因造成漏报、少报皆由其自行承担责任，采购人不再补偿。</w:t>
      </w:r>
    </w:p>
    <w:p>
      <w:pPr>
        <w:pStyle w:val="5"/>
        <w:spacing w:before="0" w:after="0" w:line="400" w:lineRule="exact"/>
        <w:rPr>
          <w:rFonts w:hint="eastAsia" w:ascii="仿宋" w:hAnsi="仿宋" w:eastAsia="仿宋" w:cs="仿宋"/>
          <w:sz w:val="24"/>
          <w:szCs w:val="24"/>
          <w:highlight w:val="none"/>
        </w:rPr>
      </w:pPr>
      <w:bookmarkStart w:id="142" w:name="_Toc11870956"/>
      <w:bookmarkStart w:id="143" w:name="_Toc16253"/>
      <w:r>
        <w:rPr>
          <w:rFonts w:hint="eastAsia" w:ascii="仿宋" w:hAnsi="仿宋" w:eastAsia="仿宋" w:cs="仿宋"/>
          <w:sz w:val="24"/>
          <w:szCs w:val="24"/>
          <w:highlight w:val="none"/>
        </w:rPr>
        <w:t>三、付款方式</w:t>
      </w:r>
      <w:bookmarkEnd w:id="142"/>
      <w:bookmarkEnd w:id="143"/>
    </w:p>
    <w:p>
      <w:pPr>
        <w:snapToGrid w:val="0"/>
        <w:spacing w:line="400" w:lineRule="exact"/>
        <w:ind w:firstLine="480" w:firstLineChars="200"/>
        <w:rPr>
          <w:rFonts w:hint="eastAsia" w:ascii="仿宋" w:hAnsi="仿宋" w:eastAsia="仿宋" w:cs="仿宋"/>
          <w:kern w:val="0"/>
          <w:sz w:val="24"/>
          <w:szCs w:val="24"/>
          <w:highlight w:val="none"/>
        </w:rPr>
      </w:pPr>
      <w:bookmarkStart w:id="144" w:name="_Toc23262"/>
      <w:bookmarkStart w:id="145" w:name="_Toc21244"/>
      <w:r>
        <w:rPr>
          <w:rFonts w:hint="eastAsia" w:ascii="仿宋" w:hAnsi="仿宋" w:eastAsia="仿宋" w:cs="仿宋"/>
          <w:kern w:val="0"/>
          <w:sz w:val="24"/>
          <w:szCs w:val="24"/>
          <w:highlight w:val="none"/>
          <w:lang w:eastAsia="zh-CN"/>
        </w:rPr>
        <w:t>成交供应商在合同签订后</w:t>
      </w:r>
      <w:r>
        <w:rPr>
          <w:rFonts w:hint="eastAsia" w:ascii="仿宋" w:hAnsi="仿宋" w:eastAsia="仿宋" w:cs="仿宋"/>
          <w:kern w:val="0"/>
          <w:sz w:val="24"/>
          <w:szCs w:val="24"/>
          <w:highlight w:val="none"/>
          <w:lang w:val="en-US" w:eastAsia="zh-CN"/>
        </w:rPr>
        <w:t>10个日历日内</w:t>
      </w:r>
      <w:r>
        <w:rPr>
          <w:rFonts w:hint="eastAsia" w:ascii="仿宋" w:hAnsi="仿宋" w:eastAsia="仿宋" w:cs="仿宋"/>
          <w:kern w:val="0"/>
          <w:sz w:val="24"/>
          <w:szCs w:val="24"/>
          <w:highlight w:val="none"/>
          <w:lang w:eastAsia="zh-CN"/>
        </w:rPr>
        <w:t>交付完成，且经采购人签字确认</w:t>
      </w:r>
      <w:r>
        <w:rPr>
          <w:rFonts w:hint="eastAsia" w:ascii="仿宋" w:hAnsi="仿宋" w:eastAsia="仿宋" w:cs="仿宋"/>
          <w:kern w:val="0"/>
          <w:sz w:val="24"/>
          <w:szCs w:val="24"/>
          <w:highlight w:val="none"/>
        </w:rPr>
        <w:t>，成交供应商向采购人开具</w:t>
      </w:r>
      <w:r>
        <w:rPr>
          <w:rFonts w:hint="eastAsia" w:ascii="仿宋" w:hAnsi="仿宋" w:eastAsia="仿宋" w:cs="仿宋"/>
          <w:kern w:val="0"/>
          <w:sz w:val="24"/>
          <w:szCs w:val="24"/>
          <w:highlight w:val="none"/>
          <w:lang w:val="en-US" w:eastAsia="zh-CN"/>
        </w:rPr>
        <w:t>100%</w:t>
      </w:r>
      <w:r>
        <w:rPr>
          <w:rFonts w:hint="eastAsia" w:ascii="仿宋" w:hAnsi="仿宋" w:eastAsia="仿宋" w:cs="仿宋"/>
          <w:kern w:val="0"/>
          <w:sz w:val="24"/>
          <w:szCs w:val="24"/>
          <w:highlight w:val="none"/>
        </w:rPr>
        <w:t>发票和提供付款资料，经采购人的财务部门审核后，以转账方式向供应商一次性支付。</w:t>
      </w:r>
      <w:bookmarkEnd w:id="144"/>
      <w:bookmarkEnd w:id="145"/>
    </w:p>
    <w:p>
      <w:pPr>
        <w:pStyle w:val="5"/>
        <w:spacing w:before="0" w:after="0" w:line="400" w:lineRule="exact"/>
        <w:rPr>
          <w:rFonts w:hint="eastAsia" w:ascii="仿宋" w:hAnsi="仿宋" w:eastAsia="仿宋" w:cs="仿宋"/>
          <w:sz w:val="24"/>
          <w:szCs w:val="24"/>
          <w:highlight w:val="none"/>
        </w:rPr>
      </w:pPr>
      <w:bookmarkStart w:id="146" w:name="_Toc11870957"/>
      <w:bookmarkStart w:id="147" w:name="_Toc30897"/>
      <w:r>
        <w:rPr>
          <w:rFonts w:hint="eastAsia" w:ascii="仿宋" w:hAnsi="仿宋" w:eastAsia="仿宋" w:cs="仿宋"/>
          <w:sz w:val="24"/>
          <w:szCs w:val="24"/>
          <w:highlight w:val="none"/>
        </w:rPr>
        <w:t>四、知识产权</w:t>
      </w:r>
      <w:bookmarkEnd w:id="146"/>
      <w:bookmarkEnd w:id="147"/>
    </w:p>
    <w:p>
      <w:pPr>
        <w:snapToGrid w:val="0"/>
        <w:spacing w:line="4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5"/>
        <w:spacing w:before="0" w:after="0" w:line="400" w:lineRule="exact"/>
        <w:rPr>
          <w:rFonts w:hint="eastAsia" w:ascii="仿宋" w:hAnsi="仿宋" w:eastAsia="仿宋" w:cs="仿宋"/>
          <w:sz w:val="24"/>
          <w:szCs w:val="24"/>
          <w:highlight w:val="none"/>
        </w:rPr>
      </w:pPr>
      <w:bookmarkStart w:id="148" w:name="_Toc11870958"/>
      <w:bookmarkStart w:id="149" w:name="_Toc32098"/>
      <w:r>
        <w:rPr>
          <w:rFonts w:hint="eastAsia" w:ascii="仿宋" w:hAnsi="仿宋" w:eastAsia="仿宋" w:cs="仿宋"/>
          <w:sz w:val="24"/>
          <w:szCs w:val="24"/>
          <w:highlight w:val="none"/>
        </w:rPr>
        <w:t>五、其他</w:t>
      </w:r>
      <w:bookmarkEnd w:id="148"/>
      <w:bookmarkEnd w:id="149"/>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（一）</w:t>
      </w:r>
      <w:r>
        <w:rPr>
          <w:rFonts w:hint="eastAsia" w:ascii="仿宋" w:hAnsi="仿宋" w:eastAsia="仿宋" w:cs="仿宋"/>
          <w:kern w:val="0"/>
          <w:sz w:val="24"/>
          <w:szCs w:val="24"/>
          <w:highlight w:val="none"/>
          <w:lang w:eastAsia="zh-CN"/>
        </w:rPr>
        <w:t>供应商</w:t>
      </w:r>
      <w:r>
        <w:rPr>
          <w:rFonts w:hint="eastAsia" w:ascii="仿宋" w:hAnsi="仿宋" w:eastAsia="仿宋" w:cs="仿宋"/>
          <w:kern w:val="0"/>
          <w:sz w:val="24"/>
          <w:szCs w:val="24"/>
          <w:highlight w:val="none"/>
        </w:rPr>
        <w:t>必须在投标文件中对以上条款和服务承诺明确列出，承诺内容必须达到本篇及招标文件其他条款的要求。</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（二）其他未尽事宜由供需双方在采购合同中详细约定。</w:t>
      </w:r>
    </w:p>
    <w:p>
      <w:pPr>
        <w:pStyle w:val="5"/>
        <w:spacing w:before="0" w:after="0" w:line="400" w:lineRule="exact"/>
        <w:rPr>
          <w:rFonts w:hint="eastAsia" w:ascii="仿宋" w:hAnsi="仿宋" w:eastAsia="仿宋" w:cs="仿宋"/>
          <w:sz w:val="24"/>
          <w:szCs w:val="24"/>
          <w:highlight w:val="none"/>
        </w:rPr>
      </w:pPr>
      <w:bookmarkStart w:id="150" w:name="_Toc4376"/>
      <w:r>
        <w:rPr>
          <w:rFonts w:hint="eastAsia" w:ascii="仿宋" w:hAnsi="仿宋" w:eastAsia="仿宋" w:cs="仿宋"/>
          <w:sz w:val="24"/>
          <w:szCs w:val="24"/>
          <w:highlight w:val="none"/>
        </w:rPr>
        <w:t>六、违约责任按</w:t>
      </w:r>
      <w:bookmarkEnd w:id="150"/>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按《政府</w:t>
      </w:r>
      <w:r>
        <w:rPr>
          <w:rFonts w:hint="eastAsia" w:ascii="仿宋" w:hAnsi="仿宋" w:eastAsia="仿宋" w:cs="仿宋"/>
          <w:kern w:val="0"/>
          <w:sz w:val="24"/>
          <w:szCs w:val="24"/>
          <w:highlight w:val="none"/>
          <w:lang w:eastAsia="zh-CN"/>
        </w:rPr>
        <w:t>采购</w:t>
      </w:r>
      <w:r>
        <w:rPr>
          <w:rFonts w:hint="eastAsia" w:ascii="仿宋" w:hAnsi="仿宋" w:eastAsia="仿宋" w:cs="仿宋"/>
          <w:kern w:val="0"/>
          <w:sz w:val="24"/>
          <w:szCs w:val="24"/>
          <w:highlight w:val="none"/>
        </w:rPr>
        <w:t>法》执行。</w:t>
      </w:r>
    </w:p>
    <w:p>
      <w:pPr>
        <w:spacing w:line="380" w:lineRule="exact"/>
        <w:ind w:firstLine="1928"/>
        <w:rPr>
          <w:rFonts w:hint="eastAsia" w:ascii="仿宋" w:hAnsi="仿宋" w:eastAsia="仿宋" w:cs="仿宋"/>
          <w:b/>
          <w:sz w:val="24"/>
          <w:szCs w:val="24"/>
          <w:highlight w:val="none"/>
        </w:rPr>
      </w:pPr>
    </w:p>
    <w:p>
      <w:pPr>
        <w:spacing w:line="380" w:lineRule="exact"/>
        <w:ind w:firstLine="1928"/>
        <w:rPr>
          <w:rFonts w:hint="eastAsia" w:ascii="仿宋" w:hAnsi="仿宋" w:eastAsia="仿宋" w:cs="仿宋"/>
          <w:b/>
          <w:sz w:val="24"/>
          <w:szCs w:val="24"/>
          <w:highlight w:val="none"/>
        </w:rPr>
      </w:pPr>
    </w:p>
    <w:p>
      <w:pPr>
        <w:snapToGrid w:val="0"/>
        <w:spacing w:line="380" w:lineRule="exact"/>
        <w:ind w:firstLine="540"/>
        <w:rPr>
          <w:rFonts w:hint="eastAsia" w:ascii="仿宋" w:hAnsi="仿宋" w:eastAsia="仿宋" w:cs="仿宋"/>
          <w:sz w:val="24"/>
          <w:szCs w:val="24"/>
          <w:highlight w:val="none"/>
        </w:rPr>
      </w:pPr>
      <w:bookmarkStart w:id="151" w:name="_Toc11641055"/>
      <w:bookmarkStart w:id="152" w:name="_Toc12789059"/>
    </w:p>
    <w:p>
      <w:pPr>
        <w:widowControl/>
        <w:jc w:val="left"/>
        <w:rPr>
          <w:rFonts w:hint="eastAsia" w:ascii="仿宋" w:hAnsi="仿宋" w:eastAsia="仿宋" w:cs="仿宋"/>
          <w:sz w:val="24"/>
          <w:szCs w:val="24"/>
          <w:highlight w:val="none"/>
        </w:rPr>
      </w:pPr>
      <w:r>
        <w:rPr>
          <w:rFonts w:hint="eastAsia" w:ascii="仿宋" w:hAnsi="仿宋" w:eastAsia="仿宋" w:cs="仿宋"/>
          <w:sz w:val="24"/>
          <w:szCs w:val="24"/>
          <w:highlight w:val="none"/>
        </w:rPr>
        <w:br w:type="page"/>
      </w:r>
    </w:p>
    <w:p>
      <w:pPr>
        <w:pStyle w:val="4"/>
        <w:spacing w:before="0" w:after="0" w:line="380" w:lineRule="exact"/>
        <w:jc w:val="center"/>
        <w:rPr>
          <w:rFonts w:hint="eastAsia" w:ascii="仿宋" w:hAnsi="仿宋" w:eastAsia="仿宋" w:cs="仿宋"/>
          <w:szCs w:val="32"/>
          <w:highlight w:val="none"/>
        </w:rPr>
      </w:pPr>
      <w:bookmarkStart w:id="153" w:name="_Toc23337"/>
      <w:bookmarkStart w:id="154" w:name="_Toc470709501"/>
      <w:bookmarkStart w:id="155" w:name="_Toc521318191"/>
      <w:bookmarkStart w:id="156" w:name="_Toc6282"/>
      <w:bookmarkStart w:id="157" w:name="_Toc20440"/>
    </w:p>
    <w:p>
      <w:pPr>
        <w:pStyle w:val="4"/>
        <w:spacing w:before="0" w:after="0" w:line="380" w:lineRule="exact"/>
        <w:jc w:val="center"/>
        <w:rPr>
          <w:rFonts w:hint="eastAsia" w:ascii="仿宋" w:hAnsi="仿宋" w:eastAsia="仿宋" w:cs="仿宋"/>
          <w:spacing w:val="-14"/>
          <w:szCs w:val="32"/>
          <w:highlight w:val="none"/>
        </w:rPr>
      </w:pPr>
      <w:r>
        <w:rPr>
          <w:rFonts w:hint="eastAsia" w:ascii="仿宋" w:hAnsi="仿宋" w:eastAsia="仿宋" w:cs="仿宋"/>
          <w:szCs w:val="32"/>
          <w:highlight w:val="none"/>
        </w:rPr>
        <w:t>第五篇合同主要条款和格式合同（样本）</w:t>
      </w:r>
      <w:bookmarkEnd w:id="153"/>
      <w:bookmarkEnd w:id="154"/>
      <w:bookmarkEnd w:id="155"/>
      <w:bookmarkEnd w:id="156"/>
      <w:bookmarkEnd w:id="157"/>
    </w:p>
    <w:p>
      <w:pPr>
        <w:snapToGrid w:val="0"/>
        <w:spacing w:line="380" w:lineRule="exact"/>
        <w:ind w:firstLine="424" w:firstLineChars="200"/>
        <w:rPr>
          <w:rFonts w:hint="eastAsia" w:ascii="仿宋" w:hAnsi="仿宋" w:eastAsia="仿宋" w:cs="仿宋"/>
          <w:bCs/>
          <w:spacing w:val="-14"/>
          <w:sz w:val="24"/>
          <w:szCs w:val="24"/>
          <w:highlight w:val="none"/>
        </w:rPr>
      </w:pPr>
      <w:bookmarkStart w:id="158" w:name="_Toc285722712"/>
      <w:bookmarkStart w:id="159" w:name="_Toc277084870"/>
      <w:bookmarkStart w:id="160" w:name="_Toc441065691"/>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一、合同主要条款</w:t>
      </w:r>
      <w:bookmarkEnd w:id="158"/>
      <w:bookmarkEnd w:id="159"/>
      <w:bookmarkEnd w:id="160"/>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1、定义</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（1）甲方（需方）即采购人，是指通过招标采购，接受合同货物及服务的各级国家机关、事业单位和团体组织。</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（2）乙方（供方）即中标人，是指中标后提供合同货物和服务的自然人、法人及其他组织。</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（3）合同是指由甲乙双方按照询价通知书和响应文件的实质性内容，通过协商一致达成的书面协议。</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（4）合同价格指以中标价格为依据，在供方全面履行合同义务后，需方（或财政部门）应支付给供方的金额。</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（5）技术资料是指合同货物及其相关的设计、制造、监造、检验、验收等文件（包括图纸、各种文字说明、标准）。</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2、货物内容</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合同包括以下内容：货物名称、规格型号、技术参数、数量（单位）等内容。</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3、合同价格</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（1）合同价格即合同金额。</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（2）合同价格包括合同货物、技术资料、合同货物的税费、运杂费、保险费、包装费、装卸费及与货物有关的供方应纳的税费，所有税费由乙方负担。</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（3）合同货物单价为不变价。</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4、转包或分包</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（1）本合同范围的货物，应由乙方直接供应，不得转让他人供应；</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（2）非经甲方书面同意，乙方不得将本合同范围的货物全部或部分分包给他人供应；</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（3）如有转让和未经甲方同意的分包行为，甲方有权解除合同，没收履约保证金并追究乙方的违约责任。</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5、质量保证及售后服务</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5.1乙方应按询价通知书规定的货物性能、技术要求、质量标准向甲方提供未经使用的全新产品。</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5.2乙方提供的货物在质保期内因货物本身的质量问题发生故障，乙方应负责免费更换。对达不到技术要求者，根据实际情况，经双方协商，可按以下办法执行：</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5.2.1更换：由乙方承担所发生的全部费用。</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w:t>
      </w:r>
      <w:r>
        <w:rPr>
          <w:rFonts w:hint="eastAsia" w:ascii="仿宋" w:hAnsi="仿宋" w:eastAsia="仿宋" w:cs="仿宋"/>
          <w:kern w:val="0"/>
          <w:sz w:val="24"/>
          <w:szCs w:val="24"/>
          <w:highlight w:val="none"/>
          <w:lang w:val="en-US" w:eastAsia="zh-CN"/>
        </w:rPr>
        <w:t>2</w:t>
      </w:r>
      <w:r>
        <w:rPr>
          <w:rFonts w:hint="eastAsia" w:ascii="仿宋" w:hAnsi="仿宋" w:eastAsia="仿宋" w:cs="仿宋"/>
          <w:kern w:val="0"/>
          <w:sz w:val="24"/>
          <w:szCs w:val="24"/>
          <w:highlight w:val="none"/>
        </w:rPr>
        <w:t>.2贬值处理：由甲乙双方合议定价。</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5.2.3退货处理：乙方应退还甲方支付的合同款，同时应承担该货物的直接费用（运输、保险、检验、货款利息及银行手续费等）。</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5.3如在使用过程中发生质量问题，乙方应按本项目“第四篇项目商务需求”中关于售后服务的要求执行。</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5.4在质保期内，乙方应对货物出现的质量及安全问题负责处理解决并承担一切费用。</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6、付款</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6.1本合同使用货币币制如未作特别说明均为人民币。</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6.2付款方式：银行转账、现金支票。</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6.3付款方法：同本项目“第四篇项目商务要求”中关于付款方式的约定。</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7、检查验收</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（1）供方应随货物提供合格证和质量证明文件，如是国外进口的货物还须提供入关证明。</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（2）货物验收</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按本项目“第四篇项目商务需求”中关于验收方式的要求执行。</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（3）货物验收报告应由需方、供方经办人签字，写明验收意见并加盖双方公章，以此作为支付凭据。</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8.履约保证金</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按按本项目“第四篇项目商务需求”中关于履约保证金的要求执行。</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9、索赔</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供方对货物与合同要求不符负有责任，并且需方已于规定交货内和质量保证期内提出索赔，供方应按需方同意的下述一种或多种方法解决索赔事宜。</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（2）根据货物的疵劣和受损程度以及需方遭受损失的金额，经双方同意降低货物价格。</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10、知识产权</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需方在中华人民共和国境内使用供方提供的货物及服务时免受第三方提出的侵犯其专利权或其它知识产权的起诉。如果第三方提出侵权指控，供方应承担由此而引起的一切法律责任和费用。</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11、合同争议的解决</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（1）当事人友好协商达成一致</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（2）供需双方由于本合同引起的任何争议应友好协商解决，协商不成的，任何一方均可提交重庆仲裁委员会，按照该会仲裁规则进行仲裁。仲裁裁决是终局的，对双方均有约束力。</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12、违约责任</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按《中华人民共和国合同法》、《中华人民共和国政府采购法》有关条款，或由供需双方约定。</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13、合同生效及其它</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（1）合同生效及其效力应符合《中华人民共和国合同法》有关规定。</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（2）合同应经当事人法定代表人或委托代理人签字，加盖双方合同专用章或公章。</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（3）合同所包括附件，是合同不可分割的一部分，具有同等法法律效力。</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（4）合同需提供担保的，按《中华人民共和国担保法》规定执行。</w:t>
      </w:r>
    </w:p>
    <w:p>
      <w:pPr>
        <w:snapToGrid w:val="0"/>
        <w:spacing w:line="400" w:lineRule="exact"/>
        <w:ind w:firstLine="480" w:firstLineChars="200"/>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（5）本合同条件未尽事宜依照《中华人民共和国合同法》，由供需双方共同协商确定。</w:t>
      </w:r>
    </w:p>
    <w:p>
      <w:pPr>
        <w:snapToGrid w:val="0"/>
        <w:spacing w:line="400" w:lineRule="exact"/>
        <w:ind w:firstLine="480" w:firstLineChars="200"/>
        <w:rPr>
          <w:rFonts w:hint="eastAsia" w:ascii="仿宋" w:hAnsi="仿宋" w:eastAsia="仿宋" w:cs="仿宋"/>
          <w:kern w:val="0"/>
          <w:sz w:val="24"/>
          <w:szCs w:val="24"/>
          <w:highlight w:val="none"/>
        </w:rPr>
        <w:sectPr>
          <w:pgSz w:w="11907" w:h="16840"/>
          <w:pgMar w:top="1134" w:right="1191" w:bottom="1134" w:left="1304" w:header="964" w:footer="992" w:gutter="0"/>
          <w:pgNumType w:fmt="numberInDash"/>
          <w:cols w:space="720" w:num="1"/>
          <w:docGrid w:linePitch="381" w:charSpace="0"/>
        </w:sectPr>
      </w:pPr>
    </w:p>
    <w:bookmarkEnd w:id="151"/>
    <w:bookmarkEnd w:id="152"/>
    <w:p>
      <w:pPr>
        <w:pStyle w:val="4"/>
        <w:spacing w:before="0" w:after="0" w:line="380" w:lineRule="exact"/>
        <w:jc w:val="center"/>
        <w:rPr>
          <w:rFonts w:hint="eastAsia" w:ascii="仿宋" w:hAnsi="仿宋" w:eastAsia="仿宋" w:cs="仿宋"/>
          <w:szCs w:val="32"/>
          <w:highlight w:val="none"/>
          <w:lang w:val="en-US" w:eastAsia="zh-CN"/>
        </w:rPr>
      </w:pPr>
      <w:bookmarkStart w:id="161" w:name="_Toc12789072"/>
      <w:bookmarkStart w:id="162" w:name="_Toc487204796"/>
      <w:bookmarkStart w:id="163" w:name="_Toc679"/>
    </w:p>
    <w:p>
      <w:pPr>
        <w:pStyle w:val="4"/>
        <w:spacing w:before="0" w:after="0" w:line="380" w:lineRule="exact"/>
        <w:jc w:val="center"/>
        <w:rPr>
          <w:rFonts w:hint="eastAsia" w:ascii="仿宋" w:hAnsi="仿宋" w:eastAsia="仿宋" w:cs="仿宋"/>
          <w:szCs w:val="32"/>
          <w:highlight w:val="none"/>
          <w:lang w:val="en-US" w:eastAsia="zh-CN"/>
        </w:rPr>
      </w:pPr>
      <w:r>
        <w:rPr>
          <w:rFonts w:hint="eastAsia" w:ascii="仿宋" w:hAnsi="仿宋" w:eastAsia="仿宋" w:cs="仿宋"/>
          <w:szCs w:val="32"/>
          <w:highlight w:val="none"/>
          <w:lang w:val="en-US" w:eastAsia="zh-CN"/>
        </w:rPr>
        <w:t>第六篇响应文件格式要求</w:t>
      </w:r>
      <w:bookmarkEnd w:id="161"/>
      <w:bookmarkEnd w:id="162"/>
      <w:bookmarkEnd w:id="163"/>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一、经济部分</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（一）报价函</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（二）明细报价表</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二、技术部分</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（一）技术响应偏离表</w:t>
      </w:r>
    </w:p>
    <w:p>
      <w:pPr>
        <w:spacing w:line="38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二</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其他技术资料</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三、商务部分</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（一）商务响应偏离表</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（二）其它优惠承诺</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四、资格条件及其他</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（一）</w:t>
      </w:r>
      <w:r>
        <w:rPr>
          <w:rFonts w:hint="eastAsia" w:ascii="仿宋" w:hAnsi="仿宋" w:eastAsia="仿宋" w:cs="仿宋"/>
          <w:color w:val="auto"/>
          <w:sz w:val="24"/>
          <w:szCs w:val="24"/>
          <w:highlight w:val="none"/>
        </w:rPr>
        <w:t>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（二）法定代表人身份证明书（格式）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（三）法定代表人授权委托书（格式）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（四）基本资格条件承诺函（格式）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（五）特定资格条件证书或证明文件</w:t>
      </w:r>
    </w:p>
    <w:p>
      <w:pPr>
        <w:spacing w:line="380" w:lineRule="exact"/>
        <w:ind w:firstLine="480" w:firstLineChars="200"/>
        <w:rPr>
          <w:rFonts w:hint="eastAsia" w:ascii="仿宋" w:hAnsi="仿宋" w:eastAsia="仿宋" w:cs="仿宋"/>
          <w:sz w:val="24"/>
          <w:szCs w:val="24"/>
          <w:highlight w:val="none"/>
        </w:rPr>
      </w:pPr>
    </w:p>
    <w:p>
      <w:pPr>
        <w:spacing w:line="380" w:lineRule="exact"/>
        <w:ind w:firstLine="480" w:firstLineChars="200"/>
        <w:rPr>
          <w:rFonts w:hint="eastAsia" w:ascii="仿宋" w:hAnsi="仿宋" w:eastAsia="仿宋" w:cs="仿宋"/>
          <w:sz w:val="24"/>
          <w:szCs w:val="24"/>
          <w:highlight w:val="none"/>
        </w:rPr>
      </w:pPr>
    </w:p>
    <w:p>
      <w:pPr>
        <w:widowControl/>
        <w:spacing w:line="380" w:lineRule="exact"/>
        <w:jc w:val="left"/>
        <w:rPr>
          <w:rFonts w:hint="eastAsia" w:ascii="仿宋" w:hAnsi="仿宋" w:eastAsia="仿宋" w:cs="仿宋"/>
          <w:sz w:val="24"/>
          <w:szCs w:val="24"/>
          <w:highlight w:val="none"/>
          <w:bdr w:val="single" w:color="auto" w:sz="4" w:space="0"/>
        </w:rPr>
        <w:sectPr>
          <w:footerReference r:id="rId5" w:type="default"/>
          <w:pgSz w:w="11907" w:h="16840"/>
          <w:pgMar w:top="1134" w:right="1191" w:bottom="1134" w:left="1304" w:header="851" w:footer="992" w:gutter="0"/>
          <w:pgNumType w:fmt="numberInDash"/>
          <w:cols w:space="720" w:num="1"/>
        </w:sectPr>
      </w:pPr>
    </w:p>
    <w:p>
      <w:pPr>
        <w:pStyle w:val="5"/>
        <w:spacing w:before="0" w:after="0" w:line="380" w:lineRule="exact"/>
        <w:rPr>
          <w:rFonts w:hint="eastAsia" w:ascii="仿宋" w:hAnsi="仿宋" w:eastAsia="仿宋" w:cs="仿宋"/>
          <w:sz w:val="24"/>
          <w:szCs w:val="24"/>
          <w:highlight w:val="none"/>
        </w:rPr>
      </w:pPr>
      <w:bookmarkStart w:id="164" w:name="_Toc487204797"/>
      <w:bookmarkStart w:id="165" w:name="_Toc25649"/>
      <w:bookmarkStart w:id="166" w:name="_Toc486585240"/>
      <w:bookmarkStart w:id="167" w:name="_Toc521318192"/>
      <w:bookmarkStart w:id="168" w:name="_Toc14167"/>
      <w:bookmarkStart w:id="169" w:name="_Toc486608277"/>
      <w:bookmarkStart w:id="170" w:name="_Toc10854"/>
      <w:r>
        <w:rPr>
          <w:rFonts w:hint="eastAsia" w:ascii="仿宋" w:hAnsi="仿宋" w:eastAsia="仿宋" w:cs="仿宋"/>
          <w:sz w:val="24"/>
          <w:szCs w:val="24"/>
          <w:highlight w:val="none"/>
        </w:rPr>
        <w:t>一、经济部分</w:t>
      </w:r>
      <w:bookmarkEnd w:id="164"/>
      <w:bookmarkEnd w:id="165"/>
      <w:bookmarkEnd w:id="166"/>
      <w:bookmarkEnd w:id="167"/>
      <w:bookmarkEnd w:id="168"/>
      <w:bookmarkEnd w:id="169"/>
      <w:bookmarkEnd w:id="170"/>
    </w:p>
    <w:p>
      <w:pPr>
        <w:tabs>
          <w:tab w:val="left" w:pos="6300"/>
        </w:tabs>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（一）报价函</w:t>
      </w:r>
    </w:p>
    <w:p>
      <w:pPr>
        <w:pStyle w:val="243"/>
        <w:jc w:val="center"/>
        <w:rPr>
          <w:rFonts w:hint="eastAsia" w:ascii="仿宋" w:hAnsi="仿宋" w:eastAsia="仿宋" w:cs="仿宋"/>
          <w:highlight w:val="none"/>
        </w:rPr>
      </w:pPr>
      <w:r>
        <w:rPr>
          <w:rFonts w:hint="eastAsia" w:ascii="仿宋" w:hAnsi="仿宋" w:eastAsia="仿宋" w:cs="仿宋"/>
          <w:highlight w:val="none"/>
        </w:rPr>
        <w:t>询价报价函（格式）</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（采购代理机构名称）</w:t>
      </w:r>
      <w:r>
        <w:rPr>
          <w:rFonts w:hint="eastAsia" w:ascii="仿宋" w:hAnsi="仿宋" w:eastAsia="仿宋" w:cs="仿宋"/>
          <w:sz w:val="24"/>
          <w:szCs w:val="24"/>
          <w:highlight w:val="none"/>
        </w:rPr>
        <w:t>：</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我方收到____________________________（询价项目名称）的询价通知书，经详细研究，决定参加该项目的询价。</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1.愿意按照询价通知书中的一切要求，提供本项目的交货及技术服务，报价为人民币大写：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元整；人民币小写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元。</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2.我方现提交的响应文件为：响应文件正本</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份，副本</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份</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电子文档</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份</w:t>
      </w:r>
      <w:r>
        <w:rPr>
          <w:rFonts w:hint="eastAsia" w:ascii="仿宋" w:hAnsi="仿宋" w:eastAsia="仿宋" w:cs="仿宋"/>
          <w:sz w:val="24"/>
          <w:szCs w:val="24"/>
          <w:highlight w:val="none"/>
        </w:rPr>
        <w:t>。</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3.我方承诺：本次询价的有效期为90天。</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4.我方完全理解和接受贵方询价通知书的一切规定和要求及询价评审办法。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5.在整个询价过程中，我方若有违规行为，接受按照《中华人民共和国政府采购法》和《询价通知书》之规定给予惩罚。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6.我方若成为成交供应商，将按照最终询价结果签订合同，并且严格履行合同义务。本承诺函将成为合同不可分割的一部分，与合同具有同等的法律效力。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7.我方同意按询价通知书规定，交纳询价通知书要求的保证金。如果我方成为成交供应商，保证在接到成交通知书后，向采购代理机构交纳询价通知书规定的采购代理服务费。</w:t>
      </w:r>
    </w:p>
    <w:p>
      <w:pPr>
        <w:keepNext w:val="0"/>
        <w:keepLines w:val="0"/>
        <w:pageBreakBefore w:val="0"/>
        <w:widowControl w:val="0"/>
        <w:tabs>
          <w:tab w:val="left" w:pos="6300"/>
        </w:tabs>
        <w:kinsoku/>
        <w:wordWrap/>
        <w:overflowPunct/>
        <w:topLinePunct w:val="0"/>
        <w:autoSpaceDE/>
        <w:autoSpaceDN/>
        <w:bidi w:val="0"/>
        <w:adjustRightInd/>
        <w:snapToGrid w:val="0"/>
        <w:spacing w:line="400" w:lineRule="exact"/>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8.我方未为采购项目提供整体设计、规范编制或者项目管理、监理、检测等服务。</w:t>
      </w:r>
    </w:p>
    <w:p>
      <w:pPr>
        <w:tabs>
          <w:tab w:val="left" w:pos="6300"/>
        </w:tabs>
        <w:snapToGrid w:val="0"/>
        <w:spacing w:line="380" w:lineRule="exact"/>
        <w:ind w:firstLine="570"/>
        <w:rPr>
          <w:rFonts w:hint="eastAsia" w:ascii="仿宋" w:hAnsi="仿宋" w:eastAsia="仿宋" w:cs="仿宋"/>
          <w:sz w:val="24"/>
          <w:szCs w:val="24"/>
          <w:highlight w:val="none"/>
        </w:rPr>
      </w:pPr>
    </w:p>
    <w:p>
      <w:pPr>
        <w:tabs>
          <w:tab w:val="left" w:pos="6300"/>
        </w:tabs>
        <w:snapToGrid w:val="0"/>
        <w:spacing w:line="380" w:lineRule="exact"/>
        <w:ind w:firstLine="570"/>
        <w:rPr>
          <w:rFonts w:hint="eastAsia" w:ascii="仿宋" w:hAnsi="仿宋" w:eastAsia="仿宋" w:cs="仿宋"/>
          <w:sz w:val="24"/>
          <w:szCs w:val="24"/>
          <w:highlight w:val="none"/>
        </w:rPr>
      </w:pPr>
    </w:p>
    <w:p>
      <w:pPr>
        <w:tabs>
          <w:tab w:val="left" w:pos="6300"/>
        </w:tabs>
        <w:snapToGrid w:val="0"/>
        <w:spacing w:line="380" w:lineRule="exact"/>
        <w:ind w:firstLine="570"/>
        <w:rPr>
          <w:rFonts w:hint="eastAsia" w:ascii="仿宋" w:hAnsi="仿宋" w:eastAsia="仿宋" w:cs="仿宋"/>
          <w:sz w:val="24"/>
          <w:szCs w:val="24"/>
          <w:highlight w:val="none"/>
        </w:rPr>
      </w:pPr>
    </w:p>
    <w:p>
      <w:pPr>
        <w:tabs>
          <w:tab w:val="left" w:pos="6300"/>
        </w:tabs>
        <w:snapToGrid w:val="0"/>
        <w:spacing w:line="380" w:lineRule="exact"/>
        <w:ind w:firstLine="570"/>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w:t>
      </w:r>
    </w:p>
    <w:p>
      <w:pPr>
        <w:tabs>
          <w:tab w:val="left" w:pos="6300"/>
        </w:tabs>
        <w:snapToGrid w:val="0"/>
        <w:spacing w:line="380" w:lineRule="exact"/>
        <w:ind w:firstLine="570"/>
        <w:rPr>
          <w:rFonts w:hint="eastAsia" w:ascii="仿宋" w:hAnsi="仿宋" w:eastAsia="仿宋" w:cs="仿宋"/>
          <w:sz w:val="24"/>
          <w:szCs w:val="24"/>
          <w:highlight w:val="none"/>
        </w:rPr>
      </w:pPr>
      <w:r>
        <w:rPr>
          <w:rFonts w:hint="eastAsia" w:ascii="仿宋" w:hAnsi="仿宋" w:eastAsia="仿宋" w:cs="仿宋"/>
          <w:sz w:val="24"/>
          <w:szCs w:val="24"/>
          <w:highlight w:val="none"/>
        </w:rPr>
        <w:t>地址：</w:t>
      </w:r>
    </w:p>
    <w:p>
      <w:pPr>
        <w:tabs>
          <w:tab w:val="left" w:pos="6300"/>
        </w:tabs>
        <w:snapToGrid w:val="0"/>
        <w:spacing w:line="380" w:lineRule="exact"/>
        <w:ind w:firstLine="570"/>
        <w:rPr>
          <w:rFonts w:hint="eastAsia" w:ascii="仿宋" w:hAnsi="仿宋" w:eastAsia="仿宋" w:cs="仿宋"/>
          <w:sz w:val="24"/>
          <w:szCs w:val="24"/>
          <w:highlight w:val="none"/>
        </w:rPr>
      </w:pPr>
      <w:r>
        <w:rPr>
          <w:rFonts w:hint="eastAsia" w:ascii="仿宋" w:hAnsi="仿宋" w:eastAsia="仿宋" w:cs="仿宋"/>
          <w:sz w:val="24"/>
          <w:szCs w:val="24"/>
          <w:highlight w:val="none"/>
        </w:rPr>
        <w:t>电话：传真：</w:t>
      </w:r>
    </w:p>
    <w:p>
      <w:pPr>
        <w:tabs>
          <w:tab w:val="left" w:pos="6300"/>
        </w:tabs>
        <w:snapToGrid w:val="0"/>
        <w:spacing w:line="380" w:lineRule="exact"/>
        <w:ind w:firstLine="570"/>
        <w:rPr>
          <w:rFonts w:hint="eastAsia" w:ascii="仿宋" w:hAnsi="仿宋" w:eastAsia="仿宋" w:cs="仿宋"/>
          <w:sz w:val="24"/>
          <w:szCs w:val="24"/>
          <w:highlight w:val="none"/>
        </w:rPr>
      </w:pPr>
      <w:r>
        <w:rPr>
          <w:rFonts w:hint="eastAsia" w:ascii="仿宋" w:hAnsi="仿宋" w:eastAsia="仿宋" w:cs="仿宋"/>
          <w:sz w:val="24"/>
          <w:szCs w:val="24"/>
          <w:highlight w:val="none"/>
        </w:rPr>
        <w:t>网址：邮编：</w:t>
      </w:r>
    </w:p>
    <w:p>
      <w:pPr>
        <w:tabs>
          <w:tab w:val="left" w:pos="6300"/>
        </w:tabs>
        <w:snapToGrid w:val="0"/>
        <w:spacing w:line="380" w:lineRule="exact"/>
        <w:ind w:firstLine="570"/>
        <w:rPr>
          <w:rFonts w:hint="eastAsia" w:ascii="仿宋" w:hAnsi="仿宋" w:eastAsia="仿宋" w:cs="仿宋"/>
          <w:sz w:val="24"/>
          <w:szCs w:val="24"/>
          <w:highlight w:val="none"/>
        </w:rPr>
      </w:pPr>
      <w:r>
        <w:rPr>
          <w:rFonts w:hint="eastAsia" w:ascii="仿宋" w:hAnsi="仿宋" w:eastAsia="仿宋" w:cs="仿宋"/>
          <w:sz w:val="24"/>
          <w:szCs w:val="24"/>
          <w:highlight w:val="none"/>
        </w:rPr>
        <w:t>联系人：</w:t>
      </w: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年   月   日</w:t>
      </w:r>
    </w:p>
    <w:p>
      <w:pPr>
        <w:widowControl/>
        <w:spacing w:line="380" w:lineRule="exact"/>
        <w:jc w:val="left"/>
        <w:rPr>
          <w:rFonts w:hint="eastAsia" w:ascii="仿宋" w:hAnsi="仿宋" w:eastAsia="仿宋" w:cs="仿宋"/>
          <w:sz w:val="24"/>
          <w:szCs w:val="24"/>
          <w:highlight w:val="none"/>
        </w:rPr>
        <w:sectPr>
          <w:pgSz w:w="11907" w:h="16840"/>
          <w:pgMar w:top="1134" w:right="1134" w:bottom="1134" w:left="1417" w:header="851" w:footer="992" w:gutter="0"/>
          <w:pgNumType w:fmt="numberInDash"/>
          <w:cols w:space="720" w:num="1"/>
        </w:sectPr>
      </w:pPr>
    </w:p>
    <w:p>
      <w:pPr>
        <w:tabs>
          <w:tab w:val="left" w:pos="2895"/>
        </w:tabs>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（二）明细报价表</w:t>
      </w:r>
    </w:p>
    <w:p>
      <w:pPr>
        <w:spacing w:line="380" w:lineRule="exact"/>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明细报价表</w:t>
      </w: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项目编号：</w:t>
      </w:r>
    </w:p>
    <w:p>
      <w:pPr>
        <w:spacing w:line="380" w:lineRule="exac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项目名称：</w:t>
      </w:r>
    </w:p>
    <w:tbl>
      <w:tblPr>
        <w:tblStyle w:val="65"/>
        <w:tblW w:w="9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939" w:type="dxa"/>
            <w:vAlign w:val="center"/>
          </w:tcPr>
          <w:p>
            <w:pPr>
              <w:snapToGrid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557" w:type="dxa"/>
            <w:vAlign w:val="center"/>
          </w:tcPr>
          <w:p>
            <w:pPr>
              <w:snapToGrid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名称</w:t>
            </w:r>
          </w:p>
        </w:tc>
        <w:tc>
          <w:tcPr>
            <w:tcW w:w="3127" w:type="dxa"/>
            <w:vAlign w:val="center"/>
          </w:tcPr>
          <w:p>
            <w:pPr>
              <w:snapToGrid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相关信息</w:t>
            </w:r>
          </w:p>
        </w:tc>
        <w:tc>
          <w:tcPr>
            <w:tcW w:w="1235" w:type="dxa"/>
            <w:vAlign w:val="center"/>
          </w:tcPr>
          <w:p>
            <w:pPr>
              <w:snapToGrid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235" w:type="dxa"/>
            <w:vAlign w:val="center"/>
          </w:tcPr>
          <w:p>
            <w:pPr>
              <w:snapToGrid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单价</w:t>
            </w:r>
          </w:p>
        </w:tc>
        <w:tc>
          <w:tcPr>
            <w:tcW w:w="1235" w:type="dxa"/>
            <w:vAlign w:val="center"/>
          </w:tcPr>
          <w:p>
            <w:pPr>
              <w:snapToGrid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1</w:t>
            </w:r>
          </w:p>
        </w:tc>
        <w:tc>
          <w:tcPr>
            <w:tcW w:w="1557" w:type="dxa"/>
            <w:vAlign w:val="center"/>
          </w:tcPr>
          <w:p>
            <w:pPr>
              <w:jc w:val="center"/>
              <w:rPr>
                <w:rFonts w:hint="eastAsia" w:ascii="仿宋" w:hAnsi="仿宋" w:eastAsia="仿宋" w:cs="仿宋"/>
                <w:sz w:val="24"/>
                <w:szCs w:val="24"/>
              </w:rPr>
            </w:pP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2</w:t>
            </w:r>
          </w:p>
        </w:tc>
        <w:tc>
          <w:tcPr>
            <w:tcW w:w="1557" w:type="dxa"/>
            <w:vAlign w:val="center"/>
          </w:tcPr>
          <w:p>
            <w:pPr>
              <w:jc w:val="center"/>
              <w:rPr>
                <w:rFonts w:hint="eastAsia" w:ascii="仿宋" w:hAnsi="仿宋" w:eastAsia="仿宋" w:cs="仿宋"/>
                <w:sz w:val="24"/>
                <w:szCs w:val="24"/>
              </w:rPr>
            </w:pP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3</w:t>
            </w:r>
          </w:p>
        </w:tc>
        <w:tc>
          <w:tcPr>
            <w:tcW w:w="1557" w:type="dxa"/>
            <w:vAlign w:val="center"/>
          </w:tcPr>
          <w:p>
            <w:pPr>
              <w:jc w:val="center"/>
              <w:rPr>
                <w:rFonts w:hint="eastAsia" w:ascii="仿宋" w:hAnsi="仿宋" w:eastAsia="仿宋" w:cs="仿宋"/>
                <w:sz w:val="24"/>
                <w:szCs w:val="24"/>
              </w:rPr>
            </w:pP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4</w:t>
            </w:r>
          </w:p>
        </w:tc>
        <w:tc>
          <w:tcPr>
            <w:tcW w:w="1557" w:type="dxa"/>
            <w:vAlign w:val="center"/>
          </w:tcPr>
          <w:p>
            <w:pPr>
              <w:jc w:val="center"/>
              <w:rPr>
                <w:rFonts w:hint="eastAsia" w:ascii="仿宋" w:hAnsi="仿宋" w:eastAsia="仿宋" w:cs="仿宋"/>
                <w:sz w:val="24"/>
                <w:szCs w:val="24"/>
              </w:rPr>
            </w:pP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5</w:t>
            </w:r>
          </w:p>
        </w:tc>
        <w:tc>
          <w:tcPr>
            <w:tcW w:w="1557" w:type="dxa"/>
            <w:vAlign w:val="center"/>
          </w:tcPr>
          <w:p>
            <w:pPr>
              <w:jc w:val="center"/>
              <w:rPr>
                <w:rFonts w:hint="eastAsia" w:ascii="仿宋" w:hAnsi="仿宋" w:eastAsia="仿宋" w:cs="仿宋"/>
                <w:sz w:val="24"/>
                <w:szCs w:val="24"/>
              </w:rPr>
            </w:pP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6</w:t>
            </w:r>
          </w:p>
        </w:tc>
        <w:tc>
          <w:tcPr>
            <w:tcW w:w="1557" w:type="dxa"/>
            <w:vAlign w:val="center"/>
          </w:tcPr>
          <w:p>
            <w:pPr>
              <w:jc w:val="center"/>
              <w:rPr>
                <w:rFonts w:hint="eastAsia" w:ascii="仿宋" w:hAnsi="仿宋" w:eastAsia="仿宋" w:cs="仿宋"/>
                <w:sz w:val="24"/>
                <w:szCs w:val="24"/>
              </w:rPr>
            </w:pP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7</w:t>
            </w:r>
          </w:p>
        </w:tc>
        <w:tc>
          <w:tcPr>
            <w:tcW w:w="1557" w:type="dxa"/>
            <w:vAlign w:val="center"/>
          </w:tcPr>
          <w:p>
            <w:pPr>
              <w:jc w:val="center"/>
              <w:rPr>
                <w:rFonts w:hint="eastAsia" w:ascii="仿宋" w:hAnsi="仿宋" w:eastAsia="仿宋" w:cs="仿宋"/>
                <w:sz w:val="24"/>
                <w:szCs w:val="24"/>
              </w:rPr>
            </w:pP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8</w:t>
            </w:r>
          </w:p>
        </w:tc>
        <w:tc>
          <w:tcPr>
            <w:tcW w:w="155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人工费</w:t>
            </w: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9</w:t>
            </w:r>
          </w:p>
        </w:tc>
        <w:tc>
          <w:tcPr>
            <w:tcW w:w="155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交通费</w:t>
            </w: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10</w:t>
            </w:r>
          </w:p>
        </w:tc>
        <w:tc>
          <w:tcPr>
            <w:tcW w:w="155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其他费用</w:t>
            </w: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11</w:t>
            </w:r>
          </w:p>
        </w:tc>
        <w:tc>
          <w:tcPr>
            <w:tcW w:w="155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3127"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c>
          <w:tcPr>
            <w:tcW w:w="1235" w:type="dxa"/>
            <w:vAlign w:val="center"/>
          </w:tcPr>
          <w:p>
            <w:pPr>
              <w:jc w:val="center"/>
              <w:rPr>
                <w:rFonts w:hint="eastAsia" w:ascii="仿宋" w:hAnsi="仿宋" w:eastAsia="仿宋" w:cs="仿宋"/>
                <w:sz w:val="24"/>
                <w:szCs w:val="24"/>
              </w:rPr>
            </w:pPr>
          </w:p>
        </w:tc>
        <w:tc>
          <w:tcPr>
            <w:tcW w:w="1235"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939" w:type="dxa"/>
            <w:vAlign w:val="center"/>
          </w:tcPr>
          <w:p>
            <w:pPr>
              <w:pStyle w:val="25"/>
              <w:spacing w:line="240" w:lineRule="atLeast"/>
              <w:ind w:left="3920"/>
              <w:jc w:val="center"/>
              <w:outlineLvl w:val="0"/>
              <w:rPr>
                <w:rFonts w:hint="eastAsia" w:ascii="仿宋" w:hAnsi="仿宋" w:eastAsia="仿宋" w:cs="仿宋"/>
                <w:sz w:val="24"/>
                <w:szCs w:val="24"/>
              </w:rPr>
            </w:pPr>
            <w:r>
              <w:rPr>
                <w:rFonts w:hint="eastAsia" w:ascii="仿宋" w:hAnsi="仿宋" w:eastAsia="仿宋" w:cs="仿宋"/>
                <w:sz w:val="24"/>
                <w:szCs w:val="24"/>
              </w:rPr>
              <w:t>12</w:t>
            </w:r>
          </w:p>
        </w:tc>
        <w:tc>
          <w:tcPr>
            <w:tcW w:w="1557"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总计</w:t>
            </w:r>
          </w:p>
        </w:tc>
        <w:tc>
          <w:tcPr>
            <w:tcW w:w="6832" w:type="dxa"/>
            <w:gridSpan w:val="4"/>
            <w:vAlign w:val="center"/>
          </w:tcPr>
          <w:p>
            <w:pPr>
              <w:jc w:val="center"/>
              <w:rPr>
                <w:rFonts w:hint="eastAsia" w:ascii="仿宋" w:hAnsi="仿宋" w:eastAsia="仿宋" w:cs="仿宋"/>
                <w:sz w:val="24"/>
                <w:szCs w:val="24"/>
              </w:rPr>
            </w:pPr>
          </w:p>
        </w:tc>
      </w:tr>
    </w:tbl>
    <w:p>
      <w:pPr>
        <w:snapToGrid w:val="0"/>
        <w:spacing w:line="380" w:lineRule="exact"/>
        <w:rPr>
          <w:rFonts w:hint="eastAsia" w:ascii="仿宋" w:hAnsi="仿宋" w:eastAsia="仿宋" w:cs="仿宋"/>
          <w:sz w:val="24"/>
          <w:szCs w:val="24"/>
          <w:highlight w:val="none"/>
        </w:rPr>
      </w:pPr>
    </w:p>
    <w:p>
      <w:pPr>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注：1.请供应商完整填写本表。</w:t>
      </w:r>
    </w:p>
    <w:p>
      <w:pPr>
        <w:snapToGrid w:val="0"/>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2.该表可扩展，并逐页签字或盖章。</w:t>
      </w:r>
    </w:p>
    <w:p>
      <w:pPr>
        <w:snapToGrid w:val="0"/>
        <w:spacing w:line="380" w:lineRule="exact"/>
        <w:rPr>
          <w:rFonts w:hint="eastAsia" w:ascii="仿宋" w:hAnsi="仿宋" w:eastAsia="仿宋" w:cs="仿宋"/>
          <w:sz w:val="24"/>
          <w:szCs w:val="24"/>
          <w:highlight w:val="none"/>
        </w:rPr>
      </w:pPr>
    </w:p>
    <w:p>
      <w:pPr>
        <w:pStyle w:val="40"/>
        <w:spacing w:line="380" w:lineRule="exact"/>
        <w:rPr>
          <w:rFonts w:hint="eastAsia" w:ascii="仿宋" w:hAnsi="仿宋" w:eastAsia="仿宋" w:cs="仿宋"/>
          <w:sz w:val="24"/>
          <w:szCs w:val="24"/>
          <w:highlight w:val="none"/>
        </w:rPr>
      </w:pP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供应商名称（公章）：</w:t>
      </w:r>
    </w:p>
    <w:p>
      <w:pPr>
        <w:spacing w:line="380" w:lineRule="exact"/>
        <w:ind w:right="480" w:firstLine="6480" w:firstLineChars="2700"/>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p>
      <w:pPr>
        <w:widowControl/>
        <w:spacing w:line="380" w:lineRule="exact"/>
        <w:jc w:val="left"/>
        <w:rPr>
          <w:rFonts w:hint="eastAsia" w:ascii="仿宋" w:hAnsi="仿宋" w:eastAsia="仿宋" w:cs="仿宋"/>
          <w:sz w:val="24"/>
          <w:szCs w:val="24"/>
          <w:highlight w:val="none"/>
          <w:bdr w:val="single" w:color="auto" w:sz="4" w:space="0"/>
        </w:rPr>
        <w:sectPr>
          <w:pgSz w:w="11907" w:h="16840"/>
          <w:pgMar w:top="1134" w:right="1191" w:bottom="1134" w:left="1304" w:header="851" w:footer="992" w:gutter="0"/>
          <w:pgNumType w:fmt="numberInDash"/>
          <w:cols w:space="720" w:num="1"/>
        </w:sectPr>
      </w:pPr>
    </w:p>
    <w:p>
      <w:pPr>
        <w:pStyle w:val="5"/>
        <w:spacing w:before="0" w:after="0" w:line="380" w:lineRule="exact"/>
        <w:rPr>
          <w:rFonts w:hint="eastAsia" w:ascii="仿宋" w:hAnsi="仿宋" w:eastAsia="仿宋" w:cs="仿宋"/>
          <w:sz w:val="24"/>
          <w:szCs w:val="24"/>
          <w:highlight w:val="none"/>
        </w:rPr>
      </w:pPr>
      <w:bookmarkStart w:id="171" w:name="_Toc486608278"/>
      <w:bookmarkStart w:id="172" w:name="_Toc3545"/>
      <w:bookmarkStart w:id="173" w:name="_Toc487204798"/>
      <w:bookmarkStart w:id="174" w:name="_Toc486585241"/>
      <w:bookmarkStart w:id="175" w:name="_Toc521318193"/>
      <w:bookmarkStart w:id="176" w:name="_Toc2710"/>
      <w:bookmarkStart w:id="177" w:name="_Toc21455"/>
      <w:r>
        <w:rPr>
          <w:rFonts w:hint="eastAsia" w:ascii="仿宋" w:hAnsi="仿宋" w:eastAsia="仿宋" w:cs="仿宋"/>
          <w:sz w:val="24"/>
          <w:szCs w:val="24"/>
          <w:highlight w:val="none"/>
        </w:rPr>
        <w:t>二、技术部分</w:t>
      </w:r>
      <w:bookmarkEnd w:id="171"/>
      <w:bookmarkEnd w:id="172"/>
      <w:bookmarkEnd w:id="173"/>
      <w:bookmarkEnd w:id="174"/>
      <w:bookmarkEnd w:id="175"/>
      <w:bookmarkEnd w:id="176"/>
      <w:bookmarkEnd w:id="177"/>
    </w:p>
    <w:p>
      <w:pPr>
        <w:snapToGrid w:val="0"/>
        <w:spacing w:line="3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（一）技术响应偏离表</w:t>
      </w:r>
    </w:p>
    <w:p>
      <w:pPr>
        <w:pStyle w:val="243"/>
        <w:jc w:val="left"/>
        <w:rPr>
          <w:rFonts w:hint="eastAsia" w:ascii="仿宋" w:hAnsi="仿宋" w:eastAsia="仿宋" w:cs="仿宋"/>
          <w:highlight w:val="none"/>
        </w:rPr>
      </w:pPr>
      <w:r>
        <w:rPr>
          <w:rFonts w:hint="eastAsia" w:ascii="仿宋" w:hAnsi="仿宋" w:eastAsia="仿宋" w:cs="仿宋"/>
          <w:highlight w:val="none"/>
        </w:rPr>
        <w:t>项目名称：</w:t>
      </w:r>
    </w:p>
    <w:tbl>
      <w:tblPr>
        <w:tblStyle w:val="6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265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采购需求</w:t>
            </w:r>
          </w:p>
        </w:tc>
        <w:tc>
          <w:tcPr>
            <w:tcW w:w="27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响应情况</w:t>
            </w:r>
          </w:p>
        </w:tc>
        <w:tc>
          <w:tcPr>
            <w:tcW w:w="2067"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58"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75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06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bl>
    <w:p>
      <w:pPr>
        <w:spacing w:line="380" w:lineRule="exact"/>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供应商：                               法定代表人授权代表：</w:t>
      </w:r>
    </w:p>
    <w:p>
      <w:pPr>
        <w:spacing w:line="380" w:lineRule="exact"/>
        <w:rPr>
          <w:rFonts w:hint="eastAsia" w:ascii="仿宋" w:hAnsi="仿宋" w:eastAsia="仿宋" w:cs="仿宋"/>
          <w:sz w:val="24"/>
          <w:szCs w:val="24"/>
          <w:highlight w:val="none"/>
        </w:rPr>
      </w:pP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                             （签字或盖章）</w:t>
      </w:r>
    </w:p>
    <w:p>
      <w:pPr>
        <w:tabs>
          <w:tab w:val="left" w:pos="6300"/>
        </w:tabs>
        <w:snapToGrid w:val="0"/>
        <w:spacing w:line="380" w:lineRule="exact"/>
        <w:ind w:firstLine="57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年     月     日</w:t>
      </w:r>
    </w:p>
    <w:p>
      <w:pPr>
        <w:tabs>
          <w:tab w:val="left" w:pos="6300"/>
        </w:tabs>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注：</w:t>
      </w:r>
    </w:p>
    <w:p>
      <w:pPr>
        <w:tabs>
          <w:tab w:val="left" w:pos="6300"/>
        </w:tabs>
        <w:snapToGrid w:val="0"/>
        <w:spacing w:line="380" w:lineRule="exact"/>
        <w:ind w:firstLine="480" w:firstLineChars="2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1.本表必须按照“第三篇  询价项目技术需求”中所列内容逐条进行比较和响应，根据响应情况在“差异说明”项填写正偏离或负偏离及原因，完全符合的填写“无差异”。</w:t>
      </w:r>
      <w:r>
        <w:rPr>
          <w:rFonts w:hint="eastAsia" w:ascii="仿宋" w:hAnsi="仿宋" w:eastAsia="仿宋" w:cs="仿宋"/>
          <w:sz w:val="24"/>
          <w:szCs w:val="24"/>
          <w:highlight w:val="none"/>
          <w:u w:val="single"/>
        </w:rPr>
        <w:t>未按照规定要求填写的，视为无效响应。</w:t>
      </w:r>
    </w:p>
    <w:p>
      <w:pPr>
        <w:tabs>
          <w:tab w:val="left" w:pos="6300"/>
        </w:tabs>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 本表“响应情况”栏应针对所投产品的性能、质量等作实质性参数描述，</w:t>
      </w:r>
      <w:r>
        <w:rPr>
          <w:rFonts w:hint="eastAsia" w:ascii="仿宋" w:hAnsi="仿宋" w:eastAsia="仿宋" w:cs="仿宋"/>
          <w:sz w:val="24"/>
          <w:szCs w:val="24"/>
          <w:highlight w:val="none"/>
          <w:u w:val="single"/>
        </w:rPr>
        <w:t>表中未作实质性参数描述的，视为无效响应。</w:t>
      </w:r>
    </w:p>
    <w:p>
      <w:pPr>
        <w:tabs>
          <w:tab w:val="left" w:pos="6300"/>
        </w:tabs>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3.供应商应按询价通知书的要求（如有）提供相关技术支撑材料。（格式自定）</w:t>
      </w:r>
    </w:p>
    <w:p>
      <w:pPr>
        <w:tabs>
          <w:tab w:val="left" w:pos="6300"/>
        </w:tabs>
        <w:snapToGrid w:val="0"/>
        <w:spacing w:line="380" w:lineRule="exact"/>
        <w:ind w:firstLine="480" w:firstLineChars="2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4.</w:t>
      </w:r>
      <w:r>
        <w:rPr>
          <w:rFonts w:hint="eastAsia" w:ascii="仿宋" w:hAnsi="仿宋" w:eastAsia="仿宋" w:cs="仿宋"/>
          <w:sz w:val="24"/>
          <w:szCs w:val="24"/>
          <w:highlight w:val="none"/>
          <w:u w:val="single"/>
        </w:rPr>
        <w:t>供应商在“差异说明”项填写为“正偏离”的，必须提供相关技术支撑材料予以证明，否则不予认可。</w:t>
      </w:r>
    </w:p>
    <w:p>
      <w:pPr>
        <w:tabs>
          <w:tab w:val="left" w:pos="6300"/>
        </w:tabs>
        <w:snapToGrid w:val="0"/>
        <w:spacing w:line="380" w:lineRule="exact"/>
        <w:ind w:firstLine="480" w:firstLineChars="200"/>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5.</w:t>
      </w:r>
      <w:r>
        <w:rPr>
          <w:rFonts w:hint="eastAsia" w:ascii="仿宋" w:hAnsi="仿宋" w:eastAsia="仿宋" w:cs="仿宋"/>
          <w:sz w:val="24"/>
          <w:szCs w:val="24"/>
          <w:highlight w:val="none"/>
          <w:u w:val="single"/>
        </w:rPr>
        <w:t>本表可扩展，并逐页签字或盖章，否则视为无效响应。</w:t>
      </w:r>
    </w:p>
    <w:p>
      <w:pPr>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br w:type="page"/>
      </w:r>
    </w:p>
    <w:p>
      <w:pPr>
        <w:spacing w:line="38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二</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其他技术资料</w:t>
      </w:r>
    </w:p>
    <w:p>
      <w:pPr>
        <w:pStyle w:val="2"/>
        <w:rPr>
          <w:rFonts w:hint="eastAsia"/>
        </w:rPr>
      </w:pPr>
    </w:p>
    <w:p>
      <w:pPr>
        <w:pStyle w:val="5"/>
        <w:spacing w:before="0" w:after="0"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br w:type="page"/>
      </w:r>
      <w:bookmarkStart w:id="178" w:name="_Toc11448"/>
      <w:bookmarkStart w:id="179" w:name="_Toc1713"/>
      <w:bookmarkStart w:id="180" w:name="_Toc486585242"/>
      <w:bookmarkStart w:id="181" w:name="_Toc521318194"/>
      <w:bookmarkStart w:id="182" w:name="_Toc486608279"/>
      <w:bookmarkStart w:id="183" w:name="_Toc140"/>
      <w:bookmarkStart w:id="184" w:name="_Toc487204799"/>
      <w:r>
        <w:rPr>
          <w:rFonts w:hint="eastAsia" w:ascii="仿宋" w:hAnsi="仿宋" w:eastAsia="仿宋" w:cs="仿宋"/>
          <w:sz w:val="24"/>
          <w:szCs w:val="24"/>
          <w:highlight w:val="none"/>
        </w:rPr>
        <w:t>三、商务部分</w:t>
      </w:r>
      <w:bookmarkEnd w:id="178"/>
      <w:bookmarkEnd w:id="179"/>
      <w:bookmarkEnd w:id="180"/>
      <w:bookmarkEnd w:id="181"/>
      <w:bookmarkEnd w:id="182"/>
      <w:bookmarkEnd w:id="183"/>
      <w:bookmarkEnd w:id="184"/>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（一）商务响应偏离表</w:t>
      </w:r>
    </w:p>
    <w:p>
      <w:pPr>
        <w:snapToGrid w:val="0"/>
        <w:spacing w:line="380" w:lineRule="exact"/>
        <w:jc w:val="center"/>
        <w:rPr>
          <w:rFonts w:hint="eastAsia" w:ascii="仿宋" w:hAnsi="仿宋" w:eastAsia="仿宋" w:cs="仿宋"/>
          <w:b/>
          <w:sz w:val="24"/>
          <w:szCs w:val="24"/>
          <w:highlight w:val="none"/>
        </w:rPr>
      </w:pPr>
    </w:p>
    <w:p>
      <w:pPr>
        <w:snapToGrid w:val="0"/>
        <w:spacing w:line="380" w:lineRule="exact"/>
        <w:jc w:val="center"/>
        <w:rPr>
          <w:rFonts w:hint="eastAsia" w:ascii="仿宋" w:hAnsi="仿宋" w:eastAsia="仿宋" w:cs="仿宋"/>
          <w:b/>
          <w:sz w:val="24"/>
          <w:szCs w:val="24"/>
          <w:highlight w:val="none"/>
        </w:rPr>
      </w:pPr>
      <w:r>
        <w:rPr>
          <w:rFonts w:hint="eastAsia" w:ascii="仿宋" w:hAnsi="仿宋" w:eastAsia="仿宋" w:cs="仿宋"/>
          <w:b/>
          <w:sz w:val="24"/>
          <w:szCs w:val="24"/>
          <w:highlight w:val="none"/>
        </w:rPr>
        <w:t>商务响应偏离表</w:t>
      </w:r>
    </w:p>
    <w:p>
      <w:pPr>
        <w:snapToGrid w:val="0"/>
        <w:spacing w:line="380" w:lineRule="exact"/>
        <w:ind w:firstLine="465"/>
        <w:rPr>
          <w:rFonts w:hint="eastAsia" w:ascii="仿宋" w:hAnsi="仿宋" w:eastAsia="仿宋" w:cs="仿宋"/>
          <w:sz w:val="24"/>
          <w:szCs w:val="24"/>
          <w:highlight w:val="none"/>
        </w:rPr>
      </w:pPr>
    </w:p>
    <w:p>
      <w:pPr>
        <w:snapToGrid w:val="0"/>
        <w:spacing w:line="380" w:lineRule="exact"/>
        <w:ind w:firstLine="465"/>
        <w:rPr>
          <w:rFonts w:hint="eastAsia" w:ascii="仿宋" w:hAnsi="仿宋" w:eastAsia="仿宋" w:cs="仿宋"/>
          <w:sz w:val="24"/>
          <w:szCs w:val="24"/>
          <w:highlight w:val="none"/>
        </w:rPr>
      </w:pPr>
      <w:r>
        <w:rPr>
          <w:rFonts w:hint="eastAsia" w:ascii="仿宋" w:hAnsi="仿宋" w:eastAsia="仿宋" w:cs="仿宋"/>
          <w:sz w:val="24"/>
          <w:szCs w:val="24"/>
          <w:highlight w:val="none"/>
        </w:rPr>
        <w:t>对于询价通知书的商务要求，如有任何偏离请如实填写下表：</w:t>
      </w:r>
    </w:p>
    <w:tbl>
      <w:tblPr>
        <w:tblStyle w:val="6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询价项目需求</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响应情况</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hint="eastAsia" w:ascii="仿宋" w:hAnsi="仿宋" w:eastAsia="仿宋" w:cs="仿宋"/>
                <w:sz w:val="24"/>
                <w:szCs w:val="24"/>
                <w:highlight w:val="none"/>
              </w:rPr>
            </w:pPr>
            <w:r>
              <w:rPr>
                <w:rFonts w:hint="eastAsia" w:ascii="仿宋" w:hAnsi="仿宋" w:eastAsia="仿宋" w:cs="仿宋"/>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69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highlight w:val="none"/>
              </w:rPr>
            </w:pPr>
          </w:p>
        </w:tc>
      </w:tr>
    </w:tbl>
    <w:p>
      <w:pPr>
        <w:snapToGrid w:val="0"/>
        <w:spacing w:line="380" w:lineRule="exact"/>
        <w:ind w:firstLine="465"/>
        <w:rPr>
          <w:rFonts w:hint="eastAsia" w:ascii="仿宋" w:hAnsi="仿宋" w:eastAsia="仿宋" w:cs="仿宋"/>
          <w:sz w:val="24"/>
          <w:szCs w:val="24"/>
          <w:highlight w:val="none"/>
        </w:rPr>
      </w:pPr>
    </w:p>
    <w:p>
      <w:pPr>
        <w:spacing w:line="380" w:lineRule="exact"/>
        <w:ind w:firstLine="600" w:firstLineChars="250"/>
        <w:rPr>
          <w:rFonts w:hint="eastAsia" w:ascii="仿宋" w:hAnsi="仿宋" w:eastAsia="仿宋" w:cs="仿宋"/>
          <w:sz w:val="24"/>
          <w:szCs w:val="24"/>
          <w:highlight w:val="none"/>
        </w:rPr>
      </w:pPr>
      <w:r>
        <w:rPr>
          <w:rFonts w:hint="eastAsia" w:ascii="仿宋" w:hAnsi="仿宋" w:eastAsia="仿宋" w:cs="仿宋"/>
          <w:sz w:val="24"/>
          <w:szCs w:val="24"/>
          <w:highlight w:val="none"/>
        </w:rPr>
        <w:t>供应商：法定代表人授权代表：</w:t>
      </w:r>
    </w:p>
    <w:p>
      <w:pPr>
        <w:spacing w:line="38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（供应商公章）（签字或盖章）</w:t>
      </w:r>
    </w:p>
    <w:p>
      <w:pPr>
        <w:spacing w:line="380" w:lineRule="exact"/>
        <w:rPr>
          <w:rFonts w:hint="eastAsia" w:ascii="仿宋" w:hAnsi="仿宋" w:eastAsia="仿宋" w:cs="仿宋"/>
          <w:sz w:val="24"/>
          <w:szCs w:val="24"/>
          <w:highlight w:val="none"/>
        </w:rPr>
      </w:pPr>
    </w:p>
    <w:p>
      <w:pPr>
        <w:spacing w:line="380" w:lineRule="exact"/>
        <w:rPr>
          <w:rFonts w:hint="eastAsia" w:ascii="仿宋" w:hAnsi="仿宋" w:eastAsia="仿宋" w:cs="仿宋"/>
          <w:sz w:val="24"/>
          <w:szCs w:val="24"/>
          <w:highlight w:val="none"/>
        </w:rPr>
      </w:pPr>
    </w:p>
    <w:p>
      <w:pPr>
        <w:tabs>
          <w:tab w:val="left" w:pos="6300"/>
        </w:tabs>
        <w:snapToGrid w:val="0"/>
        <w:spacing w:line="380" w:lineRule="exact"/>
        <w:ind w:firstLine="57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年     月     日</w:t>
      </w:r>
    </w:p>
    <w:p>
      <w:pPr>
        <w:tabs>
          <w:tab w:val="left" w:pos="6300"/>
        </w:tabs>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注：</w:t>
      </w:r>
    </w:p>
    <w:p>
      <w:pPr>
        <w:tabs>
          <w:tab w:val="left" w:pos="6300"/>
        </w:tabs>
        <w:snapToGrid w:val="0"/>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1.本表必须按照“第四篇 询价项目商务需求”中所列内容逐条进行比较和响应，根据响应情况在“差异说明”项填写正偏离或负偏离及原因，完全符合的填写“无差异”。</w:t>
      </w:r>
      <w:r>
        <w:rPr>
          <w:rFonts w:hint="eastAsia" w:ascii="仿宋" w:hAnsi="仿宋" w:eastAsia="仿宋" w:cs="仿宋"/>
          <w:sz w:val="24"/>
          <w:szCs w:val="24"/>
          <w:highlight w:val="none"/>
          <w:u w:val="single"/>
        </w:rPr>
        <w:t>未按照规定要求填写的，视为无效响应。</w:t>
      </w:r>
    </w:p>
    <w:p>
      <w:pPr>
        <w:tabs>
          <w:tab w:val="left" w:pos="6300"/>
        </w:tabs>
        <w:snapToGrid w:val="0"/>
        <w:spacing w:line="380" w:lineRule="exact"/>
        <w:ind w:firstLine="480" w:firstLineChars="200"/>
        <w:rPr>
          <w:rFonts w:hint="eastAsia" w:ascii="仿宋" w:hAnsi="仿宋" w:eastAsia="仿宋" w:cs="仿宋"/>
          <w:sz w:val="24"/>
          <w:szCs w:val="24"/>
          <w:highlight w:val="none"/>
          <w:u w:val="single"/>
        </w:rPr>
      </w:pPr>
      <w:r>
        <w:rPr>
          <w:rFonts w:hint="eastAsia" w:ascii="仿宋" w:hAnsi="仿宋" w:eastAsia="仿宋" w:cs="仿宋"/>
          <w:sz w:val="24"/>
          <w:szCs w:val="24"/>
          <w:highlight w:val="none"/>
          <w:u w:val="single"/>
        </w:rPr>
        <w:t>3.本表可扩展，并逐页签字或盖章，否则视为无效响应。</w:t>
      </w:r>
    </w:p>
    <w:p>
      <w:pPr>
        <w:spacing w:line="38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br w:type="page"/>
      </w:r>
      <w:r>
        <w:rPr>
          <w:rFonts w:hint="eastAsia" w:ascii="仿宋" w:hAnsi="仿宋" w:eastAsia="仿宋" w:cs="仿宋"/>
          <w:sz w:val="24"/>
          <w:szCs w:val="24"/>
          <w:highlight w:val="none"/>
        </w:rPr>
        <w:t>（二）其它优惠承诺（格式自定）</w:t>
      </w:r>
    </w:p>
    <w:p>
      <w:pPr>
        <w:pStyle w:val="5"/>
        <w:spacing w:before="0" w:after="0" w:line="380" w:lineRule="exact"/>
        <w:rPr>
          <w:rFonts w:hint="eastAsia" w:ascii="仿宋" w:hAnsi="仿宋" w:eastAsia="仿宋" w:cs="仿宋"/>
          <w:sz w:val="24"/>
          <w:szCs w:val="24"/>
          <w:highlight w:val="none"/>
        </w:rPr>
      </w:pPr>
      <w:r>
        <w:rPr>
          <w:rFonts w:hint="eastAsia" w:ascii="仿宋" w:hAnsi="仿宋" w:eastAsia="仿宋" w:cs="仿宋"/>
          <w:b w:val="0"/>
          <w:sz w:val="24"/>
          <w:szCs w:val="24"/>
          <w:highlight w:val="none"/>
        </w:rPr>
        <w:br w:type="page"/>
      </w:r>
      <w:bookmarkStart w:id="185" w:name="_Toc5003"/>
      <w:bookmarkStart w:id="186" w:name="_Toc29782"/>
      <w:bookmarkStart w:id="187" w:name="_Toc19654"/>
      <w:bookmarkStart w:id="188" w:name="_Toc521318195"/>
      <w:bookmarkStart w:id="189" w:name="_Toc486585243"/>
      <w:bookmarkStart w:id="190" w:name="_Toc486608280"/>
      <w:bookmarkStart w:id="191" w:name="_Toc487204800"/>
      <w:r>
        <w:rPr>
          <w:rFonts w:hint="eastAsia" w:ascii="仿宋" w:hAnsi="仿宋" w:eastAsia="仿宋" w:cs="仿宋"/>
          <w:sz w:val="24"/>
          <w:szCs w:val="24"/>
          <w:highlight w:val="none"/>
        </w:rPr>
        <w:t>四、资格条件及其他</w:t>
      </w:r>
      <w:bookmarkEnd w:id="185"/>
      <w:bookmarkEnd w:id="186"/>
      <w:bookmarkEnd w:id="187"/>
      <w:bookmarkEnd w:id="188"/>
      <w:bookmarkEnd w:id="189"/>
      <w:bookmarkEnd w:id="190"/>
      <w:bookmarkEnd w:id="191"/>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rPr>
      </w:pPr>
    </w:p>
    <w:p>
      <w:pPr>
        <w:tabs>
          <w:tab w:val="left" w:pos="6300"/>
        </w:tabs>
        <w:snapToGrid w:val="0"/>
        <w:spacing w:line="500" w:lineRule="exact"/>
        <w:ind w:firstLine="570"/>
        <w:rPr>
          <w:rFonts w:hint="eastAsia" w:ascii="仿宋" w:hAnsi="仿宋" w:eastAsia="仿宋" w:cs="仿宋"/>
        </w:rPr>
      </w:pPr>
    </w:p>
    <w:p>
      <w:pPr>
        <w:tabs>
          <w:tab w:val="left" w:pos="6300"/>
        </w:tabs>
        <w:snapToGrid w:val="0"/>
        <w:spacing w:line="500" w:lineRule="exact"/>
        <w:ind w:firstLine="570"/>
        <w:rPr>
          <w:rFonts w:hint="eastAsia" w:ascii="仿宋" w:hAnsi="仿宋" w:eastAsia="仿宋" w:cs="仿宋"/>
        </w:rPr>
      </w:pPr>
    </w:p>
    <w:p>
      <w:pPr>
        <w:tabs>
          <w:tab w:val="left" w:pos="6300"/>
        </w:tabs>
        <w:snapToGrid w:val="0"/>
        <w:spacing w:line="500" w:lineRule="exact"/>
        <w:ind w:firstLine="570"/>
        <w:rPr>
          <w:rFonts w:hint="eastAsia" w:ascii="仿宋" w:hAnsi="仿宋" w:eastAsia="仿宋" w:cs="仿宋"/>
        </w:rPr>
      </w:pP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page"/>
      </w:r>
      <w:r>
        <w:rPr>
          <w:rFonts w:hint="eastAsia" w:ascii="仿宋" w:hAnsi="仿宋" w:eastAsia="仿宋" w:cs="仿宋"/>
          <w:sz w:val="24"/>
          <w:szCs w:val="24"/>
        </w:rPr>
        <w:t>（二）法定代表人身份证明书（格式）</w:t>
      </w:r>
    </w:p>
    <w:p>
      <w:pPr>
        <w:tabs>
          <w:tab w:val="left" w:pos="6300"/>
        </w:tabs>
        <w:snapToGrid w:val="0"/>
        <w:spacing w:line="500" w:lineRule="exact"/>
        <w:ind w:firstLine="570"/>
        <w:jc w:val="center"/>
        <w:rPr>
          <w:rFonts w:hint="eastAsia" w:ascii="仿宋" w:hAnsi="仿宋" w:eastAsia="仿宋" w:cs="仿宋"/>
          <w:sz w:val="24"/>
          <w:szCs w:val="24"/>
        </w:rPr>
      </w:pPr>
      <w:r>
        <w:rPr>
          <w:rFonts w:hint="eastAsia" w:ascii="仿宋" w:hAnsi="仿宋" w:eastAsia="仿宋" w:cs="仿宋"/>
          <w:b/>
          <w:bCs/>
          <w:sz w:val="24"/>
          <w:szCs w:val="24"/>
        </w:rPr>
        <w:t>法定代表人身份证明书</w:t>
      </w:r>
    </w:p>
    <w:p>
      <w:pPr>
        <w:tabs>
          <w:tab w:val="left" w:pos="6300"/>
        </w:tabs>
        <w:snapToGrid w:val="0"/>
        <w:spacing w:line="500" w:lineRule="exact"/>
        <w:ind w:firstLine="570"/>
        <w:jc w:val="center"/>
        <w:rPr>
          <w:rFonts w:hint="eastAsia" w:ascii="仿宋" w:hAnsi="仿宋" w:eastAsia="仿宋" w:cs="仿宋"/>
          <w:sz w:val="24"/>
          <w:szCs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谈判项目名称：</w:t>
      </w:r>
      <w:r>
        <w:rPr>
          <w:rFonts w:hint="eastAsia" w:ascii="仿宋" w:hAnsi="仿宋" w:eastAsia="仿宋" w:cs="仿宋"/>
          <w:sz w:val="24"/>
          <w:u w:val="single"/>
        </w:rPr>
        <w:t xml:space="preserve">                                                </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（法定代表人姓名）在</w:t>
      </w:r>
      <w:r>
        <w:rPr>
          <w:rFonts w:hint="eastAsia" w:ascii="仿宋" w:hAnsi="仿宋" w:eastAsia="仿宋" w:cs="仿宋"/>
          <w:sz w:val="24"/>
          <w:u w:val="single"/>
        </w:rPr>
        <w:t xml:space="preserve">                       </w:t>
      </w:r>
      <w:r>
        <w:rPr>
          <w:rFonts w:hint="eastAsia" w:ascii="仿宋" w:hAnsi="仿宋" w:eastAsia="仿宋" w:cs="仿宋"/>
          <w:sz w:val="24"/>
        </w:rPr>
        <w:t>（供应商名称）任</w:t>
      </w:r>
      <w:r>
        <w:rPr>
          <w:rFonts w:hint="eastAsia" w:ascii="仿宋" w:hAnsi="仿宋" w:eastAsia="仿宋" w:cs="仿宋"/>
          <w:sz w:val="24"/>
          <w:u w:val="single"/>
        </w:rPr>
        <w:t xml:space="preserve">    </w:t>
      </w:r>
      <w:r>
        <w:rPr>
          <w:rFonts w:hint="eastAsia" w:ascii="仿宋" w:hAnsi="仿宋" w:eastAsia="仿宋" w:cs="仿宋"/>
          <w:sz w:val="24"/>
        </w:rPr>
        <w:t>（职务名称）职务，是（供应商名称）</w:t>
      </w:r>
      <w:r>
        <w:rPr>
          <w:rFonts w:hint="eastAsia" w:ascii="仿宋" w:hAnsi="仿宋" w:eastAsia="仿宋" w:cs="仿宋"/>
          <w:sz w:val="24"/>
          <w:u w:val="single"/>
        </w:rPr>
        <w:t xml:space="preserve">              </w:t>
      </w:r>
      <w:r>
        <w:rPr>
          <w:rFonts w:hint="eastAsia" w:ascii="仿宋" w:hAnsi="仿宋" w:eastAsia="仿宋" w:cs="仿宋"/>
          <w:sz w:val="24"/>
        </w:rPr>
        <w:t>的法定代表人。</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特此证明。</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 xml:space="preserve">                                             （供应商公章）</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 xml:space="preserve">                                             年   月   日</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法定代表人电话：XXXXXXX      电子邮箱：XXXXXX@XXXXX（若授权他人办理并签署响应文件的可不填写）</w:t>
      </w: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（附：法定代表人身份证正反面复印件）</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column"/>
      </w:r>
      <w:r>
        <w:rPr>
          <w:rFonts w:hint="eastAsia" w:ascii="仿宋" w:hAnsi="仿宋" w:eastAsia="仿宋" w:cs="仿宋"/>
          <w:sz w:val="24"/>
          <w:szCs w:val="24"/>
        </w:rPr>
        <w:t>（三）法定代表人授权委托书（格式）</w:t>
      </w:r>
    </w:p>
    <w:p>
      <w:pPr>
        <w:tabs>
          <w:tab w:val="left" w:pos="6300"/>
        </w:tabs>
        <w:snapToGrid w:val="0"/>
        <w:spacing w:line="500" w:lineRule="exact"/>
        <w:ind w:firstLine="570"/>
        <w:jc w:val="center"/>
        <w:rPr>
          <w:rFonts w:hint="eastAsia" w:ascii="仿宋" w:hAnsi="仿宋" w:eastAsia="仿宋" w:cs="仿宋"/>
          <w:sz w:val="24"/>
          <w:szCs w:val="24"/>
        </w:rPr>
      </w:pPr>
      <w:r>
        <w:rPr>
          <w:rFonts w:hint="eastAsia" w:ascii="仿宋" w:hAnsi="仿宋" w:eastAsia="仿宋" w:cs="仿宋"/>
          <w:b/>
          <w:bCs/>
          <w:sz w:val="24"/>
          <w:szCs w:val="24"/>
        </w:rPr>
        <w:t>法定代表人授权委托书</w:t>
      </w:r>
    </w:p>
    <w:p>
      <w:pPr>
        <w:tabs>
          <w:tab w:val="left" w:pos="6300"/>
        </w:tabs>
        <w:snapToGrid w:val="0"/>
        <w:spacing w:line="500" w:lineRule="exact"/>
        <w:ind w:firstLine="570"/>
        <w:jc w:val="center"/>
        <w:rPr>
          <w:rFonts w:hint="eastAsia" w:ascii="仿宋" w:hAnsi="仿宋" w:eastAsia="仿宋" w:cs="仿宋"/>
          <w:sz w:val="24"/>
          <w:szCs w:val="24"/>
        </w:rPr>
      </w:pP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szCs w:val="28"/>
        </w:rPr>
        <w:t>谈判项目名称</w:t>
      </w:r>
      <w:r>
        <w:rPr>
          <w:rFonts w:hint="eastAsia" w:ascii="仿宋" w:hAnsi="仿宋" w:eastAsia="仿宋" w:cs="仿宋"/>
          <w:sz w:val="24"/>
        </w:rPr>
        <w:t>：</w:t>
      </w:r>
      <w:r>
        <w:rPr>
          <w:rFonts w:hint="eastAsia" w:ascii="仿宋" w:hAnsi="仿宋" w:eastAsia="仿宋" w:cs="仿宋"/>
          <w:sz w:val="24"/>
          <w:u w:val="single"/>
        </w:rPr>
        <w:t xml:space="preserve">                                                </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（供应商法定代表人名称）是</w:t>
      </w:r>
      <w:r>
        <w:rPr>
          <w:rFonts w:hint="eastAsia" w:ascii="仿宋" w:hAnsi="仿宋" w:eastAsia="仿宋" w:cs="仿宋"/>
          <w:sz w:val="24"/>
          <w:u w:val="single"/>
        </w:rPr>
        <w:t xml:space="preserve">                    </w:t>
      </w:r>
      <w:r>
        <w:rPr>
          <w:rFonts w:hint="eastAsia" w:ascii="仿宋" w:hAnsi="仿宋" w:eastAsia="仿宋" w:cs="仿宋"/>
          <w:sz w:val="24"/>
        </w:rPr>
        <w:t>（供应商名称）的法定代表人，特授权</w:t>
      </w:r>
      <w:r>
        <w:rPr>
          <w:rFonts w:hint="eastAsia" w:ascii="仿宋" w:hAnsi="仿宋" w:eastAsia="仿宋" w:cs="仿宋"/>
          <w:sz w:val="24"/>
          <w:u w:val="single"/>
        </w:rPr>
        <w:t xml:space="preserve">          </w:t>
      </w:r>
      <w:r>
        <w:rPr>
          <w:rFonts w:hint="eastAsia" w:ascii="仿宋" w:hAnsi="仿宋" w:eastAsia="仿宋" w:cs="仿宋"/>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我单位对被授权人的</w:t>
      </w:r>
      <w:r>
        <w:rPr>
          <w:rFonts w:hint="eastAsia" w:ascii="仿宋" w:hAnsi="仿宋" w:eastAsia="仿宋" w:cs="仿宋"/>
          <w:sz w:val="24"/>
          <w:szCs w:val="28"/>
        </w:rPr>
        <w:t>签署</w:t>
      </w:r>
      <w:r>
        <w:rPr>
          <w:rFonts w:hint="eastAsia" w:ascii="仿宋" w:hAnsi="仿宋" w:eastAsia="仿宋" w:cs="仿宋"/>
          <w:sz w:val="24"/>
        </w:rPr>
        <w:t>负全部责任。</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被授权人：                                 供应商法定代表人：</w:t>
      </w:r>
    </w:p>
    <w:p>
      <w:pPr>
        <w:tabs>
          <w:tab w:val="left" w:pos="6300"/>
        </w:tabs>
        <w:snapToGrid w:val="0"/>
        <w:spacing w:line="500" w:lineRule="exact"/>
        <w:ind w:firstLine="570"/>
        <w:rPr>
          <w:rFonts w:hint="eastAsia" w:ascii="仿宋" w:hAnsi="仿宋" w:eastAsia="仿宋" w:cs="仿宋"/>
          <w:sz w:val="24"/>
          <w:szCs w:val="28"/>
        </w:rPr>
      </w:pPr>
      <w:r>
        <w:rPr>
          <w:rFonts w:hint="eastAsia" w:ascii="仿宋" w:hAnsi="仿宋" w:eastAsia="仿宋" w:cs="仿宋"/>
          <w:sz w:val="24"/>
          <w:szCs w:val="28"/>
        </w:rPr>
        <w:t>（签署或盖章）                                （签署或盖章）</w:t>
      </w:r>
    </w:p>
    <w:p>
      <w:pPr>
        <w:tabs>
          <w:tab w:val="left" w:pos="6300"/>
        </w:tabs>
        <w:snapToGrid w:val="0"/>
        <w:spacing w:line="500" w:lineRule="exact"/>
        <w:ind w:firstLine="570"/>
        <w:rPr>
          <w:rFonts w:hint="eastAsia" w:ascii="仿宋" w:hAnsi="仿宋" w:eastAsia="仿宋" w:cs="仿宋"/>
          <w:sz w:val="24"/>
          <w:szCs w:val="28"/>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（附：被授权人身份证正反面复印件）</w:t>
      </w:r>
    </w:p>
    <w:p>
      <w:pPr>
        <w:tabs>
          <w:tab w:val="left" w:pos="6300"/>
        </w:tabs>
        <w:snapToGrid w:val="0"/>
        <w:spacing w:line="500" w:lineRule="exact"/>
        <w:ind w:firstLine="570"/>
        <w:rPr>
          <w:rFonts w:hint="eastAsia" w:ascii="仿宋" w:hAnsi="仿宋" w:eastAsia="仿宋" w:cs="仿宋"/>
          <w:sz w:val="24"/>
        </w:rPr>
      </w:pPr>
      <w:r>
        <w:rPr>
          <w:rFonts w:hint="eastAsia" w:ascii="仿宋" w:hAnsi="仿宋" w:eastAsia="仿宋" w:cs="仿宋"/>
          <w:sz w:val="24"/>
        </w:rPr>
        <w:t xml:space="preserve">                                          </w:t>
      </w: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firstLine="570"/>
        <w:rPr>
          <w:rFonts w:hint="eastAsia" w:ascii="仿宋" w:hAnsi="仿宋" w:eastAsia="仿宋" w:cs="仿宋"/>
          <w:sz w:val="24"/>
        </w:rPr>
      </w:pPr>
    </w:p>
    <w:p>
      <w:pPr>
        <w:tabs>
          <w:tab w:val="left" w:pos="6300"/>
        </w:tabs>
        <w:snapToGrid w:val="0"/>
        <w:spacing w:line="500" w:lineRule="exact"/>
        <w:ind w:right="480" w:firstLine="570"/>
        <w:jc w:val="right"/>
        <w:rPr>
          <w:rFonts w:hint="eastAsia" w:ascii="仿宋" w:hAnsi="仿宋" w:eastAsia="仿宋" w:cs="仿宋"/>
          <w:sz w:val="24"/>
        </w:rPr>
      </w:pPr>
      <w:r>
        <w:rPr>
          <w:rFonts w:hint="eastAsia" w:ascii="仿宋" w:hAnsi="仿宋" w:eastAsia="仿宋" w:cs="仿宋"/>
          <w:sz w:val="24"/>
        </w:rPr>
        <w:t>（供应商公章）</w:t>
      </w:r>
    </w:p>
    <w:p>
      <w:pPr>
        <w:tabs>
          <w:tab w:val="left" w:pos="6300"/>
        </w:tabs>
        <w:snapToGrid w:val="0"/>
        <w:spacing w:line="500" w:lineRule="exact"/>
        <w:ind w:right="480" w:firstLine="570"/>
        <w:jc w:val="right"/>
        <w:rPr>
          <w:rFonts w:hint="eastAsia" w:ascii="仿宋" w:hAnsi="仿宋" w:eastAsia="仿宋" w:cs="仿宋"/>
          <w:sz w:val="24"/>
        </w:rPr>
      </w:pPr>
      <w:r>
        <w:rPr>
          <w:rFonts w:hint="eastAsia" w:ascii="仿宋" w:hAnsi="仿宋" w:eastAsia="仿宋" w:cs="仿宋"/>
          <w:sz w:val="24"/>
        </w:rPr>
        <w:t>年   月   日</w:t>
      </w:r>
    </w:p>
    <w:p>
      <w:pPr>
        <w:tabs>
          <w:tab w:val="left" w:pos="6300"/>
        </w:tabs>
        <w:snapToGrid w:val="0"/>
        <w:spacing w:line="500" w:lineRule="exact"/>
        <w:ind w:right="480" w:firstLine="570"/>
        <w:jc w:val="left"/>
        <w:rPr>
          <w:rFonts w:hint="eastAsia" w:ascii="仿宋" w:hAnsi="仿宋" w:eastAsia="仿宋" w:cs="仿宋"/>
          <w:sz w:val="24"/>
        </w:rPr>
      </w:pPr>
      <w:r>
        <w:rPr>
          <w:rFonts w:hint="eastAsia" w:ascii="仿宋" w:hAnsi="仿宋" w:eastAsia="仿宋" w:cs="仿宋"/>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仿宋" w:hAnsi="仿宋" w:eastAsia="仿宋" w:cs="仿宋"/>
          <w:sz w:val="24"/>
        </w:rPr>
      </w:pPr>
      <w:r>
        <w:rPr>
          <w:rFonts w:hint="eastAsia" w:ascii="仿宋" w:hAnsi="仿宋" w:eastAsia="仿宋" w:cs="仿宋"/>
          <w:sz w:val="24"/>
        </w:rPr>
        <w:t>注：</w:t>
      </w:r>
    </w:p>
    <w:p>
      <w:pPr>
        <w:tabs>
          <w:tab w:val="left" w:pos="6300"/>
        </w:tabs>
        <w:snapToGrid w:val="0"/>
        <w:spacing w:line="500" w:lineRule="exact"/>
        <w:ind w:right="480" w:firstLine="570"/>
        <w:jc w:val="left"/>
        <w:rPr>
          <w:rFonts w:hint="eastAsia" w:ascii="仿宋" w:hAnsi="仿宋" w:eastAsia="仿宋" w:cs="仿宋"/>
          <w:sz w:val="24"/>
        </w:rPr>
      </w:pPr>
      <w:r>
        <w:rPr>
          <w:rFonts w:hint="eastAsia" w:ascii="仿宋" w:hAnsi="仿宋" w:eastAsia="仿宋" w:cs="仿宋"/>
          <w:sz w:val="24"/>
        </w:rPr>
        <w:t>1.若为法定代表人办理并签署响应文件的，不提供此文件。</w:t>
      </w:r>
    </w:p>
    <w:p>
      <w:pPr>
        <w:tabs>
          <w:tab w:val="left" w:pos="6300"/>
        </w:tabs>
        <w:snapToGrid w:val="0"/>
        <w:spacing w:line="400" w:lineRule="exact"/>
        <w:ind w:firstLine="573"/>
        <w:rPr>
          <w:rFonts w:hint="eastAsia" w:ascii="仿宋" w:hAnsi="仿宋" w:eastAsia="仿宋" w:cs="仿宋"/>
          <w:sz w:val="24"/>
        </w:rPr>
      </w:pPr>
      <w:r>
        <w:rPr>
          <w:rFonts w:hint="eastAsia" w:ascii="仿宋" w:hAnsi="仿宋" w:eastAsia="仿宋" w:cs="仿宋"/>
          <w:sz w:val="24"/>
        </w:rPr>
        <w:t>2.若为联合体参与的，法定代表人授权委托书由联合体主办方</w:t>
      </w:r>
      <w:r>
        <w:rPr>
          <w:rFonts w:hint="eastAsia" w:ascii="仿宋" w:hAnsi="仿宋" w:eastAsia="仿宋" w:cs="仿宋"/>
          <w:kern w:val="0"/>
          <w:sz w:val="24"/>
          <w:szCs w:val="24"/>
        </w:rPr>
        <w:t>（主体）</w:t>
      </w:r>
      <w:r>
        <w:rPr>
          <w:rFonts w:hint="eastAsia" w:ascii="仿宋" w:hAnsi="仿宋" w:eastAsia="仿宋" w:cs="仿宋"/>
          <w:sz w:val="24"/>
        </w:rPr>
        <w:t>出具。</w:t>
      </w: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column"/>
      </w:r>
      <w:r>
        <w:rPr>
          <w:rFonts w:hint="eastAsia" w:ascii="仿宋" w:hAnsi="仿宋" w:eastAsia="仿宋" w:cs="仿宋"/>
          <w:sz w:val="24"/>
          <w:szCs w:val="24"/>
        </w:rPr>
        <w:t>（四）基本资格条件承诺函（格式）</w:t>
      </w:r>
    </w:p>
    <w:p>
      <w:pPr>
        <w:tabs>
          <w:tab w:val="left" w:pos="6300"/>
        </w:tabs>
        <w:snapToGrid w:val="0"/>
        <w:spacing w:line="500" w:lineRule="exact"/>
        <w:ind w:firstLine="643" w:firstLineChars="200"/>
        <w:jc w:val="center"/>
        <w:rPr>
          <w:rFonts w:hint="eastAsia" w:ascii="仿宋" w:hAnsi="仿宋" w:eastAsia="仿宋" w:cs="仿宋"/>
          <w:b/>
          <w:bCs/>
          <w:sz w:val="32"/>
          <w:szCs w:val="32"/>
        </w:rPr>
      </w:pPr>
      <w:r>
        <w:rPr>
          <w:rFonts w:hint="eastAsia" w:ascii="仿宋" w:hAnsi="仿宋" w:eastAsia="仿宋" w:cs="仿宋"/>
          <w:b/>
          <w:bCs/>
          <w:sz w:val="32"/>
          <w:szCs w:val="32"/>
        </w:rPr>
        <w:t>基本资格条件承诺函</w:t>
      </w:r>
    </w:p>
    <w:p>
      <w:pPr>
        <w:tabs>
          <w:tab w:val="left" w:pos="6300"/>
        </w:tabs>
        <w:snapToGrid w:val="0"/>
        <w:spacing w:line="530" w:lineRule="exact"/>
        <w:rPr>
          <w:rFonts w:hint="eastAsia" w:ascii="仿宋" w:hAnsi="仿宋" w:eastAsia="仿宋" w:cs="仿宋"/>
          <w:sz w:val="24"/>
        </w:rPr>
      </w:pP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致</w:t>
      </w:r>
      <w:r>
        <w:rPr>
          <w:rFonts w:hint="eastAsia" w:ascii="仿宋" w:hAnsi="仿宋" w:eastAsia="仿宋" w:cs="仿宋"/>
          <w:sz w:val="24"/>
          <w:u w:val="single"/>
        </w:rPr>
        <w:t xml:space="preserve">                   </w:t>
      </w:r>
      <w:r>
        <w:rPr>
          <w:rFonts w:hint="eastAsia" w:ascii="仿宋" w:hAnsi="仿宋" w:eastAsia="仿宋" w:cs="仿宋"/>
          <w:sz w:val="24"/>
        </w:rPr>
        <w:t>（采购代理机构名称）：</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（供应商名称）郑重承诺：</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1.我方具有良好的商业信誉和健全的财务会计制度，具有履行合同所必需的设备和专业技术能力，具</w:t>
      </w:r>
      <w:r>
        <w:rPr>
          <w:rFonts w:hint="eastAsia" w:ascii="仿宋" w:hAnsi="仿宋" w:eastAsia="仿宋" w:cs="仿宋"/>
          <w:sz w:val="24"/>
          <w:lang w:val="zh-CN"/>
        </w:rPr>
        <w:t>有依法缴纳税收和社会保障金的良好记录</w:t>
      </w:r>
      <w:r>
        <w:rPr>
          <w:rFonts w:hint="eastAsia" w:ascii="仿宋" w:hAnsi="仿宋" w:eastAsia="仿宋" w:cs="仿宋"/>
          <w:sz w:val="24"/>
        </w:rPr>
        <w:t>，参加本项目采购活动前三年内无重大违法活动记录。</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我方对以上承诺负全部法律责任。</w:t>
      </w:r>
    </w:p>
    <w:p>
      <w:pPr>
        <w:tabs>
          <w:tab w:val="left" w:pos="6300"/>
        </w:tabs>
        <w:snapToGrid w:val="0"/>
        <w:spacing w:line="500" w:lineRule="exact"/>
        <w:ind w:firstLine="480" w:firstLineChars="200"/>
        <w:rPr>
          <w:rFonts w:hint="eastAsia" w:ascii="仿宋" w:hAnsi="仿宋" w:eastAsia="仿宋" w:cs="仿宋"/>
          <w:sz w:val="24"/>
        </w:rPr>
      </w:pPr>
      <w:r>
        <w:rPr>
          <w:rFonts w:hint="eastAsia" w:ascii="仿宋" w:hAnsi="仿宋" w:eastAsia="仿宋" w:cs="仿宋"/>
          <w:sz w:val="24"/>
        </w:rPr>
        <w:t>特此承诺。</w:t>
      </w:r>
    </w:p>
    <w:p>
      <w:pPr>
        <w:tabs>
          <w:tab w:val="left" w:pos="6300"/>
        </w:tabs>
        <w:snapToGrid w:val="0"/>
        <w:spacing w:line="500" w:lineRule="exact"/>
        <w:ind w:firstLine="480" w:firstLineChars="200"/>
        <w:rPr>
          <w:rFonts w:hint="eastAsia" w:ascii="仿宋" w:hAnsi="仿宋" w:eastAsia="仿宋" w:cs="仿宋"/>
          <w:sz w:val="24"/>
        </w:rPr>
      </w:pPr>
    </w:p>
    <w:p>
      <w:pPr>
        <w:tabs>
          <w:tab w:val="left" w:pos="6300"/>
        </w:tabs>
        <w:snapToGrid w:val="0"/>
        <w:spacing w:line="500" w:lineRule="exact"/>
        <w:ind w:firstLine="480" w:firstLineChars="200"/>
        <w:jc w:val="right"/>
        <w:rPr>
          <w:rFonts w:hint="eastAsia" w:ascii="仿宋" w:hAnsi="仿宋" w:eastAsia="仿宋" w:cs="仿宋"/>
          <w:sz w:val="24"/>
        </w:rPr>
      </w:pPr>
      <w:r>
        <w:rPr>
          <w:rFonts w:hint="eastAsia" w:ascii="仿宋" w:hAnsi="仿宋" w:eastAsia="仿宋" w:cs="仿宋"/>
          <w:sz w:val="24"/>
        </w:rPr>
        <w:t>（供应商公章）</w:t>
      </w:r>
    </w:p>
    <w:p>
      <w:pPr>
        <w:widowControl/>
        <w:spacing w:line="400" w:lineRule="exact"/>
        <w:ind w:firstLine="6720" w:firstLineChars="2800"/>
        <w:jc w:val="left"/>
        <w:rPr>
          <w:rFonts w:hint="eastAsia" w:ascii="仿宋" w:hAnsi="仿宋" w:eastAsia="仿宋" w:cs="仿宋"/>
          <w:sz w:val="24"/>
          <w:szCs w:val="24"/>
        </w:rPr>
      </w:pPr>
      <w:r>
        <w:rPr>
          <w:rFonts w:hint="eastAsia" w:ascii="仿宋" w:hAnsi="仿宋" w:eastAsia="仿宋" w:cs="仿宋"/>
          <w:sz w:val="24"/>
        </w:rPr>
        <w:t>年   月   日</w:t>
      </w:r>
    </w:p>
    <w:p>
      <w:pPr>
        <w:widowControl/>
        <w:spacing w:line="400" w:lineRule="exact"/>
        <w:ind w:firstLine="560" w:firstLineChars="200"/>
        <w:jc w:val="left"/>
        <w:rPr>
          <w:rFonts w:hint="eastAsia" w:ascii="仿宋" w:hAnsi="仿宋" w:eastAsia="仿宋" w:cs="仿宋"/>
          <w:sz w:val="24"/>
          <w:szCs w:val="24"/>
        </w:rPr>
      </w:pPr>
      <w:r>
        <w:rPr>
          <w:rFonts w:hint="eastAsia" w:ascii="仿宋" w:hAnsi="仿宋" w:eastAsia="仿宋" w:cs="仿宋"/>
        </w:rPr>
        <w:br w:type="page"/>
      </w:r>
      <w:r>
        <w:rPr>
          <w:rFonts w:hint="eastAsia" w:ascii="仿宋" w:hAnsi="仿宋" w:eastAsia="仿宋" w:cs="仿宋"/>
          <w:sz w:val="24"/>
          <w:szCs w:val="24"/>
        </w:rPr>
        <w:t>（五）特定资格条件证书或证明文件</w:t>
      </w:r>
    </w:p>
    <w:p>
      <w:pPr>
        <w:tabs>
          <w:tab w:val="left" w:pos="6300"/>
        </w:tabs>
        <w:snapToGrid w:val="0"/>
        <w:spacing w:line="380" w:lineRule="exact"/>
        <w:ind w:firstLine="6120" w:firstLineChars="2550"/>
        <w:rPr>
          <w:rFonts w:hint="eastAsia" w:ascii="仿宋" w:hAnsi="仿宋" w:eastAsia="仿宋" w:cs="仿宋"/>
          <w:sz w:val="24"/>
          <w:szCs w:val="24"/>
          <w:highlight w:val="none"/>
        </w:rPr>
      </w:pPr>
    </w:p>
    <w:p>
      <w:pPr>
        <w:tabs>
          <w:tab w:val="left" w:pos="6300"/>
        </w:tabs>
        <w:snapToGrid w:val="0"/>
        <w:spacing w:line="380" w:lineRule="exact"/>
        <w:rPr>
          <w:rFonts w:hint="eastAsia" w:ascii="仿宋" w:hAnsi="仿宋" w:eastAsia="仿宋" w:cs="仿宋"/>
          <w:sz w:val="24"/>
          <w:szCs w:val="24"/>
          <w:highlight w:val="none"/>
        </w:rPr>
      </w:pPr>
    </w:p>
    <w:p>
      <w:pPr>
        <w:snapToGrid w:val="0"/>
        <w:spacing w:line="380" w:lineRule="exact"/>
        <w:rPr>
          <w:rFonts w:hint="eastAsia" w:ascii="仿宋" w:hAnsi="仿宋" w:eastAsia="仿宋" w:cs="仿宋"/>
          <w:sz w:val="24"/>
          <w:szCs w:val="24"/>
          <w:highlight w:val="none"/>
        </w:rPr>
      </w:pPr>
    </w:p>
    <w:p>
      <w:pPr>
        <w:spacing w:line="380" w:lineRule="exact"/>
        <w:ind w:firstLine="480" w:firstLineChars="200"/>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（结束）</w:t>
      </w:r>
    </w:p>
    <w:p>
      <w:pPr>
        <w:spacing w:line="380" w:lineRule="exact"/>
        <w:rPr>
          <w:rFonts w:hint="eastAsia" w:ascii="仿宋" w:hAnsi="仿宋" w:eastAsia="仿宋" w:cs="仿宋"/>
          <w:b/>
          <w:sz w:val="24"/>
          <w:szCs w:val="24"/>
          <w:highlight w:val="none"/>
        </w:rPr>
      </w:pPr>
    </w:p>
    <w:p>
      <w:pPr>
        <w:spacing w:line="380" w:lineRule="exact"/>
        <w:rPr>
          <w:rFonts w:hint="eastAsia" w:ascii="仿宋" w:hAnsi="仿宋" w:eastAsia="仿宋" w:cs="仿宋"/>
          <w:sz w:val="24"/>
          <w:szCs w:val="24"/>
          <w:highlight w:val="none"/>
        </w:rPr>
      </w:pPr>
    </w:p>
    <w:p>
      <w:pPr>
        <w:rPr>
          <w:rFonts w:hint="eastAsia" w:ascii="仿宋" w:hAnsi="仿宋" w:eastAsia="仿宋" w:cs="仿宋"/>
          <w:highlight w:val="none"/>
        </w:rPr>
      </w:pPr>
    </w:p>
    <w:sectPr>
      <w:headerReference r:id="rId6" w:type="default"/>
      <w:pgSz w:w="11906" w:h="16838"/>
      <w:pgMar w:top="1134"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9543D0C1-AC7B-4129-B513-39BFE6F0EBD5}"/>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Futura Bk">
    <w:altName w:val="Courier New"/>
    <w:panose1 w:val="00000000000000000000"/>
    <w:charset w:val="00"/>
    <w:family w:val="swiss"/>
    <w:pitch w:val="default"/>
    <w:sig w:usb0="00000000" w:usb1="00000000" w:usb2="00000000" w:usb3="00000000" w:csb0="00000001"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jc w:val="center"/>
      <w:rPr>
        <w:rStyle w:val="59"/>
        <w:rFonts w:ascii="宋体"/>
        <w:sz w:val="21"/>
        <w:szCs w:val="21"/>
      </w:rPr>
    </w:pPr>
    <w:r>
      <w:rPr>
        <w:rStyle w:val="59"/>
        <w:rFonts w:ascii="宋体" w:cs="宋体"/>
        <w:sz w:val="21"/>
        <w:szCs w:val="21"/>
      </w:rPr>
      <w:fldChar w:fldCharType="begin"/>
    </w:r>
    <w:r>
      <w:rPr>
        <w:rStyle w:val="59"/>
        <w:rFonts w:ascii="宋体" w:cs="宋体"/>
        <w:sz w:val="21"/>
        <w:szCs w:val="21"/>
      </w:rPr>
      <w:instrText xml:space="preserve">PAGE  </w:instrText>
    </w:r>
    <w:r>
      <w:rPr>
        <w:rStyle w:val="59"/>
        <w:rFonts w:ascii="宋体" w:cs="宋体"/>
        <w:sz w:val="21"/>
        <w:szCs w:val="21"/>
      </w:rPr>
      <w:fldChar w:fldCharType="separate"/>
    </w:r>
    <w:r>
      <w:rPr>
        <w:rStyle w:val="59"/>
        <w:rFonts w:ascii="宋体" w:cs="宋体"/>
        <w:sz w:val="21"/>
        <w:szCs w:val="21"/>
      </w:rPr>
      <w:t>- 17 -</w:t>
    </w:r>
    <w:r>
      <w:rPr>
        <w:rStyle w:val="59"/>
        <w:rFonts w:ascii="宋体" w:cs="宋体"/>
        <w:sz w:val="21"/>
        <w:szCs w:val="21"/>
      </w:rP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宋体"/>
        <w:sz w:val="21"/>
        <w:szCs w:val="21"/>
      </w:rPr>
    </w:pPr>
    <w:r>
      <w:rPr>
        <w:rStyle w:val="59"/>
        <w:rFonts w:ascii="宋体" w:hAnsi="宋体" w:cs="宋体"/>
        <w:sz w:val="21"/>
        <w:szCs w:val="21"/>
      </w:rPr>
      <w:fldChar w:fldCharType="begin"/>
    </w:r>
    <w:r>
      <w:rPr>
        <w:rStyle w:val="59"/>
        <w:rFonts w:ascii="宋体" w:hAnsi="宋体" w:cs="宋体"/>
        <w:sz w:val="21"/>
        <w:szCs w:val="21"/>
      </w:rPr>
      <w:instrText xml:space="preserve"> PAGE </w:instrText>
    </w:r>
    <w:r>
      <w:rPr>
        <w:rStyle w:val="59"/>
        <w:rFonts w:ascii="宋体" w:hAnsi="宋体" w:cs="宋体"/>
        <w:sz w:val="21"/>
        <w:szCs w:val="21"/>
      </w:rPr>
      <w:fldChar w:fldCharType="separate"/>
    </w:r>
    <w:r>
      <w:rPr>
        <w:rStyle w:val="59"/>
        <w:rFonts w:ascii="宋体" w:hAnsi="宋体" w:cs="宋体"/>
        <w:sz w:val="21"/>
        <w:szCs w:val="21"/>
      </w:rPr>
      <w:t>22</w:t>
    </w:r>
    <w:r>
      <w:rPr>
        <w:rStyle w:val="59"/>
        <w:rFonts w:ascii="宋体" w:hAnsi="宋体" w:cs="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ascii="仿宋" w:hAnsi="仿宋" w:eastAsia="仿宋"/>
      </w:rPr>
    </w:pPr>
    <w:r>
      <w:rPr>
        <w:rFonts w:hint="eastAsia" w:ascii="仿宋" w:hAnsi="仿宋" w:eastAsia="仿宋" w:cs="宋体"/>
        <w:sz w:val="21"/>
        <w:szCs w:val="21"/>
      </w:rPr>
      <w:t>重庆</w:t>
    </w:r>
    <w:r>
      <w:rPr>
        <w:rFonts w:hint="eastAsia" w:ascii="仿宋" w:hAnsi="仿宋" w:eastAsia="仿宋" w:cs="宋体"/>
        <w:sz w:val="21"/>
        <w:szCs w:val="21"/>
        <w:lang w:val="en-US" w:eastAsia="zh-CN"/>
      </w:rPr>
      <w:t>市聚创招标代理</w:t>
    </w:r>
    <w:r>
      <w:rPr>
        <w:rFonts w:hint="eastAsia" w:ascii="仿宋" w:hAnsi="仿宋" w:eastAsia="仿宋" w:cs="宋体"/>
        <w:sz w:val="21"/>
        <w:szCs w:val="21"/>
      </w:rPr>
      <w:t>有限公司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仿宋" w:hAnsi="仿宋" w:eastAsia="仿宋"/>
      </w:rPr>
    </w:pPr>
    <w:r>
      <w:rPr>
        <w:rFonts w:hint="eastAsia" w:ascii="仿宋" w:hAnsi="仿宋" w:eastAsia="仿宋" w:cs="宋体"/>
        <w:sz w:val="21"/>
        <w:szCs w:val="21"/>
      </w:rPr>
      <w:t>重庆</w:t>
    </w:r>
    <w:r>
      <w:rPr>
        <w:rFonts w:hint="eastAsia" w:ascii="仿宋" w:hAnsi="仿宋" w:eastAsia="仿宋" w:cs="宋体"/>
        <w:sz w:val="21"/>
        <w:szCs w:val="21"/>
        <w:lang w:val="en-US" w:eastAsia="zh-CN"/>
      </w:rPr>
      <w:t>市聚创招标代理</w:t>
    </w:r>
    <w:r>
      <w:rPr>
        <w:rFonts w:hint="eastAsia" w:ascii="仿宋" w:hAnsi="仿宋" w:eastAsia="仿宋" w:cs="宋体"/>
        <w:sz w:val="21"/>
        <w:szCs w:val="21"/>
      </w:rPr>
      <w:t xml:space="preserve">有限公司                                          </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询价通知书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TrueTypeFonts/>
  <w:saveSubset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hNWVhN2MxNDI5NDhmNDMyZDZlMDc5ZmNiYWU0NDEifQ=="/>
  </w:docVars>
  <w:rsids>
    <w:rsidRoot w:val="005E0719"/>
    <w:rsid w:val="00000319"/>
    <w:rsid w:val="00004653"/>
    <w:rsid w:val="00004688"/>
    <w:rsid w:val="00014D07"/>
    <w:rsid w:val="000161F3"/>
    <w:rsid w:val="000231FA"/>
    <w:rsid w:val="0002327E"/>
    <w:rsid w:val="00024FE2"/>
    <w:rsid w:val="0002670C"/>
    <w:rsid w:val="00036FDE"/>
    <w:rsid w:val="00045C12"/>
    <w:rsid w:val="00053B69"/>
    <w:rsid w:val="000602B3"/>
    <w:rsid w:val="00072D3E"/>
    <w:rsid w:val="00081091"/>
    <w:rsid w:val="0008426E"/>
    <w:rsid w:val="00090BB5"/>
    <w:rsid w:val="00097894"/>
    <w:rsid w:val="000A44A7"/>
    <w:rsid w:val="000B4BAE"/>
    <w:rsid w:val="000B73CF"/>
    <w:rsid w:val="000C4540"/>
    <w:rsid w:val="000D76B2"/>
    <w:rsid w:val="000E286E"/>
    <w:rsid w:val="000E5890"/>
    <w:rsid w:val="000F06E3"/>
    <w:rsid w:val="000F0AA3"/>
    <w:rsid w:val="00101A85"/>
    <w:rsid w:val="00105BA1"/>
    <w:rsid w:val="00116234"/>
    <w:rsid w:val="001354A1"/>
    <w:rsid w:val="00141C4A"/>
    <w:rsid w:val="001562E2"/>
    <w:rsid w:val="00164096"/>
    <w:rsid w:val="001749C0"/>
    <w:rsid w:val="001766C4"/>
    <w:rsid w:val="001837DA"/>
    <w:rsid w:val="00185F6E"/>
    <w:rsid w:val="001A0253"/>
    <w:rsid w:val="001B2EBE"/>
    <w:rsid w:val="001C5812"/>
    <w:rsid w:val="001C60F9"/>
    <w:rsid w:val="001D4DA4"/>
    <w:rsid w:val="001E16A4"/>
    <w:rsid w:val="001E16EC"/>
    <w:rsid w:val="001E338F"/>
    <w:rsid w:val="001E53D4"/>
    <w:rsid w:val="001F056A"/>
    <w:rsid w:val="002160E8"/>
    <w:rsid w:val="00216B44"/>
    <w:rsid w:val="00217AA5"/>
    <w:rsid w:val="0022095B"/>
    <w:rsid w:val="00220D27"/>
    <w:rsid w:val="00222A36"/>
    <w:rsid w:val="00224383"/>
    <w:rsid w:val="00242EE4"/>
    <w:rsid w:val="00243026"/>
    <w:rsid w:val="00247138"/>
    <w:rsid w:val="002521A3"/>
    <w:rsid w:val="00252AF9"/>
    <w:rsid w:val="002730B6"/>
    <w:rsid w:val="002770A8"/>
    <w:rsid w:val="002901FD"/>
    <w:rsid w:val="00293D75"/>
    <w:rsid w:val="002A5DFC"/>
    <w:rsid w:val="002B6605"/>
    <w:rsid w:val="002C1A92"/>
    <w:rsid w:val="002C1DCD"/>
    <w:rsid w:val="002C1F68"/>
    <w:rsid w:val="002C3BAB"/>
    <w:rsid w:val="002C61AE"/>
    <w:rsid w:val="002F2E00"/>
    <w:rsid w:val="002F33B6"/>
    <w:rsid w:val="00301DED"/>
    <w:rsid w:val="00342ADC"/>
    <w:rsid w:val="00354ABB"/>
    <w:rsid w:val="00354E5A"/>
    <w:rsid w:val="00374994"/>
    <w:rsid w:val="00374CCE"/>
    <w:rsid w:val="00375E72"/>
    <w:rsid w:val="003769F4"/>
    <w:rsid w:val="003800FC"/>
    <w:rsid w:val="00382210"/>
    <w:rsid w:val="0038563A"/>
    <w:rsid w:val="003A30E3"/>
    <w:rsid w:val="003A5E69"/>
    <w:rsid w:val="003A7AEA"/>
    <w:rsid w:val="003B35BB"/>
    <w:rsid w:val="003B6F14"/>
    <w:rsid w:val="003C7261"/>
    <w:rsid w:val="00410D67"/>
    <w:rsid w:val="004137D4"/>
    <w:rsid w:val="00427D28"/>
    <w:rsid w:val="004336E6"/>
    <w:rsid w:val="00445F82"/>
    <w:rsid w:val="00446102"/>
    <w:rsid w:val="004620AC"/>
    <w:rsid w:val="00462B10"/>
    <w:rsid w:val="00464F4D"/>
    <w:rsid w:val="00477392"/>
    <w:rsid w:val="004848AD"/>
    <w:rsid w:val="00485387"/>
    <w:rsid w:val="00493B77"/>
    <w:rsid w:val="004A474F"/>
    <w:rsid w:val="004B3154"/>
    <w:rsid w:val="004B6E6E"/>
    <w:rsid w:val="004D30C4"/>
    <w:rsid w:val="00504F37"/>
    <w:rsid w:val="00513BFD"/>
    <w:rsid w:val="00516BAA"/>
    <w:rsid w:val="00531BD7"/>
    <w:rsid w:val="005330FB"/>
    <w:rsid w:val="005365D1"/>
    <w:rsid w:val="005412B1"/>
    <w:rsid w:val="00550FE8"/>
    <w:rsid w:val="0055428F"/>
    <w:rsid w:val="00565584"/>
    <w:rsid w:val="00565742"/>
    <w:rsid w:val="005905C7"/>
    <w:rsid w:val="005A1CF9"/>
    <w:rsid w:val="005B1826"/>
    <w:rsid w:val="005B6ABC"/>
    <w:rsid w:val="005C1136"/>
    <w:rsid w:val="005C7BA5"/>
    <w:rsid w:val="005D5C9F"/>
    <w:rsid w:val="005E0719"/>
    <w:rsid w:val="005E4C6D"/>
    <w:rsid w:val="005F67E7"/>
    <w:rsid w:val="0060512C"/>
    <w:rsid w:val="00620700"/>
    <w:rsid w:val="00624D14"/>
    <w:rsid w:val="00634BF8"/>
    <w:rsid w:val="00636291"/>
    <w:rsid w:val="006369D7"/>
    <w:rsid w:val="006701EE"/>
    <w:rsid w:val="00674A8E"/>
    <w:rsid w:val="0069075C"/>
    <w:rsid w:val="00695377"/>
    <w:rsid w:val="006B1832"/>
    <w:rsid w:val="006B3BD6"/>
    <w:rsid w:val="006B5213"/>
    <w:rsid w:val="006C085D"/>
    <w:rsid w:val="006C1095"/>
    <w:rsid w:val="006D34D3"/>
    <w:rsid w:val="006D43C2"/>
    <w:rsid w:val="006D78EC"/>
    <w:rsid w:val="006E54C5"/>
    <w:rsid w:val="006F77F4"/>
    <w:rsid w:val="0071182A"/>
    <w:rsid w:val="00726BE6"/>
    <w:rsid w:val="007329A0"/>
    <w:rsid w:val="00766A9E"/>
    <w:rsid w:val="00771881"/>
    <w:rsid w:val="00772DA9"/>
    <w:rsid w:val="00786C96"/>
    <w:rsid w:val="007913F1"/>
    <w:rsid w:val="007D5D7F"/>
    <w:rsid w:val="008162BD"/>
    <w:rsid w:val="0082139E"/>
    <w:rsid w:val="00824CE9"/>
    <w:rsid w:val="00840681"/>
    <w:rsid w:val="00841441"/>
    <w:rsid w:val="00844F17"/>
    <w:rsid w:val="00850B74"/>
    <w:rsid w:val="00854B1F"/>
    <w:rsid w:val="00877145"/>
    <w:rsid w:val="008815BE"/>
    <w:rsid w:val="008870AA"/>
    <w:rsid w:val="00893F57"/>
    <w:rsid w:val="00895479"/>
    <w:rsid w:val="008C4B69"/>
    <w:rsid w:val="008F20BF"/>
    <w:rsid w:val="008F3AF0"/>
    <w:rsid w:val="00902D13"/>
    <w:rsid w:val="0090749D"/>
    <w:rsid w:val="00907A7F"/>
    <w:rsid w:val="00907F19"/>
    <w:rsid w:val="00916A9E"/>
    <w:rsid w:val="0092296B"/>
    <w:rsid w:val="00927078"/>
    <w:rsid w:val="009336FF"/>
    <w:rsid w:val="009340F7"/>
    <w:rsid w:val="00934180"/>
    <w:rsid w:val="0094017D"/>
    <w:rsid w:val="0094065F"/>
    <w:rsid w:val="009525B0"/>
    <w:rsid w:val="00955815"/>
    <w:rsid w:val="00960F6B"/>
    <w:rsid w:val="00964AF9"/>
    <w:rsid w:val="009655FC"/>
    <w:rsid w:val="009732B2"/>
    <w:rsid w:val="0097609E"/>
    <w:rsid w:val="009844EB"/>
    <w:rsid w:val="0098799A"/>
    <w:rsid w:val="009949DB"/>
    <w:rsid w:val="009A2BF9"/>
    <w:rsid w:val="009B34F0"/>
    <w:rsid w:val="009B74E8"/>
    <w:rsid w:val="009D18FF"/>
    <w:rsid w:val="009E74B9"/>
    <w:rsid w:val="009F58D7"/>
    <w:rsid w:val="00A142CA"/>
    <w:rsid w:val="00A20FB6"/>
    <w:rsid w:val="00A23346"/>
    <w:rsid w:val="00A51D1D"/>
    <w:rsid w:val="00A538E6"/>
    <w:rsid w:val="00A61352"/>
    <w:rsid w:val="00A70986"/>
    <w:rsid w:val="00A77F4B"/>
    <w:rsid w:val="00AA1336"/>
    <w:rsid w:val="00AA2561"/>
    <w:rsid w:val="00AA2B88"/>
    <w:rsid w:val="00AB754D"/>
    <w:rsid w:val="00AC18F3"/>
    <w:rsid w:val="00AC2CE9"/>
    <w:rsid w:val="00AD4B7F"/>
    <w:rsid w:val="00AE74BD"/>
    <w:rsid w:val="00AF3C2E"/>
    <w:rsid w:val="00AF5EB3"/>
    <w:rsid w:val="00B1191D"/>
    <w:rsid w:val="00B1438C"/>
    <w:rsid w:val="00B23E5B"/>
    <w:rsid w:val="00B24C52"/>
    <w:rsid w:val="00B27550"/>
    <w:rsid w:val="00B43574"/>
    <w:rsid w:val="00B45095"/>
    <w:rsid w:val="00B5175B"/>
    <w:rsid w:val="00B52381"/>
    <w:rsid w:val="00B64AC8"/>
    <w:rsid w:val="00B659D4"/>
    <w:rsid w:val="00B74585"/>
    <w:rsid w:val="00B75C10"/>
    <w:rsid w:val="00B778BC"/>
    <w:rsid w:val="00B91218"/>
    <w:rsid w:val="00B9307B"/>
    <w:rsid w:val="00B93856"/>
    <w:rsid w:val="00BA2FF4"/>
    <w:rsid w:val="00BA3C88"/>
    <w:rsid w:val="00BB16A3"/>
    <w:rsid w:val="00BC2E63"/>
    <w:rsid w:val="00BC2FCD"/>
    <w:rsid w:val="00BE1FBC"/>
    <w:rsid w:val="00C34CBE"/>
    <w:rsid w:val="00C44836"/>
    <w:rsid w:val="00C57273"/>
    <w:rsid w:val="00C71A64"/>
    <w:rsid w:val="00C721EC"/>
    <w:rsid w:val="00C757AD"/>
    <w:rsid w:val="00C9309C"/>
    <w:rsid w:val="00CA2DD8"/>
    <w:rsid w:val="00CA4729"/>
    <w:rsid w:val="00CA7DDF"/>
    <w:rsid w:val="00CB7C8C"/>
    <w:rsid w:val="00CE200B"/>
    <w:rsid w:val="00CE347B"/>
    <w:rsid w:val="00CE37CE"/>
    <w:rsid w:val="00CE7102"/>
    <w:rsid w:val="00CF1E73"/>
    <w:rsid w:val="00D00272"/>
    <w:rsid w:val="00D14D53"/>
    <w:rsid w:val="00D245E7"/>
    <w:rsid w:val="00D27883"/>
    <w:rsid w:val="00D373C9"/>
    <w:rsid w:val="00D37AA5"/>
    <w:rsid w:val="00D434A7"/>
    <w:rsid w:val="00D60A1B"/>
    <w:rsid w:val="00D6553F"/>
    <w:rsid w:val="00D70464"/>
    <w:rsid w:val="00D706C1"/>
    <w:rsid w:val="00D72CA9"/>
    <w:rsid w:val="00D75E7C"/>
    <w:rsid w:val="00D777C2"/>
    <w:rsid w:val="00D7797A"/>
    <w:rsid w:val="00D83096"/>
    <w:rsid w:val="00D84535"/>
    <w:rsid w:val="00D962A5"/>
    <w:rsid w:val="00DA359C"/>
    <w:rsid w:val="00DC2002"/>
    <w:rsid w:val="00DC4633"/>
    <w:rsid w:val="00DE0323"/>
    <w:rsid w:val="00DE42A4"/>
    <w:rsid w:val="00DF193D"/>
    <w:rsid w:val="00E02A1E"/>
    <w:rsid w:val="00E048F5"/>
    <w:rsid w:val="00E14913"/>
    <w:rsid w:val="00E37CDE"/>
    <w:rsid w:val="00E44C59"/>
    <w:rsid w:val="00E646D2"/>
    <w:rsid w:val="00E66BCC"/>
    <w:rsid w:val="00E7009D"/>
    <w:rsid w:val="00E90026"/>
    <w:rsid w:val="00E90470"/>
    <w:rsid w:val="00E9134B"/>
    <w:rsid w:val="00E94BC8"/>
    <w:rsid w:val="00EA5EC5"/>
    <w:rsid w:val="00EB08F6"/>
    <w:rsid w:val="00EB5957"/>
    <w:rsid w:val="00EC1D52"/>
    <w:rsid w:val="00F112E2"/>
    <w:rsid w:val="00F2138F"/>
    <w:rsid w:val="00F4506B"/>
    <w:rsid w:val="00F5019D"/>
    <w:rsid w:val="00F73001"/>
    <w:rsid w:val="00F84D5B"/>
    <w:rsid w:val="00F96177"/>
    <w:rsid w:val="00F977A6"/>
    <w:rsid w:val="00FA4B57"/>
    <w:rsid w:val="00FB5BE8"/>
    <w:rsid w:val="00FC2A00"/>
    <w:rsid w:val="00FC4552"/>
    <w:rsid w:val="00FC4FDF"/>
    <w:rsid w:val="00FC76C0"/>
    <w:rsid w:val="00FC77FC"/>
    <w:rsid w:val="00FD6094"/>
    <w:rsid w:val="00FE6232"/>
    <w:rsid w:val="01737C3B"/>
    <w:rsid w:val="0717375D"/>
    <w:rsid w:val="0733430F"/>
    <w:rsid w:val="099217C1"/>
    <w:rsid w:val="0B0C7351"/>
    <w:rsid w:val="0BD936D7"/>
    <w:rsid w:val="0BDB44DF"/>
    <w:rsid w:val="0CE716A4"/>
    <w:rsid w:val="0CFB5105"/>
    <w:rsid w:val="0D950782"/>
    <w:rsid w:val="0DD250D6"/>
    <w:rsid w:val="0EEC4B67"/>
    <w:rsid w:val="0F247BCA"/>
    <w:rsid w:val="0F421DA6"/>
    <w:rsid w:val="141352AC"/>
    <w:rsid w:val="15074E97"/>
    <w:rsid w:val="16691AFB"/>
    <w:rsid w:val="167A5AB7"/>
    <w:rsid w:val="18817829"/>
    <w:rsid w:val="188C387F"/>
    <w:rsid w:val="18E216F1"/>
    <w:rsid w:val="19874772"/>
    <w:rsid w:val="1A283152"/>
    <w:rsid w:val="1A9829AF"/>
    <w:rsid w:val="1B414DF5"/>
    <w:rsid w:val="1B910A48"/>
    <w:rsid w:val="1CD53A47"/>
    <w:rsid w:val="1D1D719C"/>
    <w:rsid w:val="1DC675AB"/>
    <w:rsid w:val="1E300AD5"/>
    <w:rsid w:val="1F841754"/>
    <w:rsid w:val="22056B7C"/>
    <w:rsid w:val="24A65CC9"/>
    <w:rsid w:val="29132B20"/>
    <w:rsid w:val="296251C6"/>
    <w:rsid w:val="2C251BC9"/>
    <w:rsid w:val="2CF44AC2"/>
    <w:rsid w:val="2D5E35E4"/>
    <w:rsid w:val="2E465897"/>
    <w:rsid w:val="2F6D5D61"/>
    <w:rsid w:val="2FBD21B0"/>
    <w:rsid w:val="2FC00C43"/>
    <w:rsid w:val="31360C82"/>
    <w:rsid w:val="31A82CAF"/>
    <w:rsid w:val="322F554F"/>
    <w:rsid w:val="34602CB5"/>
    <w:rsid w:val="34B00BC9"/>
    <w:rsid w:val="353F3CFB"/>
    <w:rsid w:val="38417D8A"/>
    <w:rsid w:val="39541A79"/>
    <w:rsid w:val="3A1514CF"/>
    <w:rsid w:val="3B0A014A"/>
    <w:rsid w:val="3B1D688D"/>
    <w:rsid w:val="3E143F2C"/>
    <w:rsid w:val="3E1D6BA4"/>
    <w:rsid w:val="3EC60FE9"/>
    <w:rsid w:val="40104F59"/>
    <w:rsid w:val="43FE2FD4"/>
    <w:rsid w:val="45717F01"/>
    <w:rsid w:val="4733145A"/>
    <w:rsid w:val="47DB36BD"/>
    <w:rsid w:val="47E10C42"/>
    <w:rsid w:val="48A533B2"/>
    <w:rsid w:val="48F826E7"/>
    <w:rsid w:val="4A0D00E9"/>
    <w:rsid w:val="4A4E6A63"/>
    <w:rsid w:val="4ACA1E61"/>
    <w:rsid w:val="511A1BE8"/>
    <w:rsid w:val="51C26390"/>
    <w:rsid w:val="546F32E8"/>
    <w:rsid w:val="55023A07"/>
    <w:rsid w:val="552D54C7"/>
    <w:rsid w:val="55E10725"/>
    <w:rsid w:val="58EB5961"/>
    <w:rsid w:val="5A827ACD"/>
    <w:rsid w:val="5DFE5C52"/>
    <w:rsid w:val="5ED56729"/>
    <w:rsid w:val="5EFD0BAE"/>
    <w:rsid w:val="5F0C25F1"/>
    <w:rsid w:val="5FC609F2"/>
    <w:rsid w:val="601D2D07"/>
    <w:rsid w:val="611F624D"/>
    <w:rsid w:val="63966935"/>
    <w:rsid w:val="66A42410"/>
    <w:rsid w:val="674C3ED2"/>
    <w:rsid w:val="67BF3022"/>
    <w:rsid w:val="69E71C90"/>
    <w:rsid w:val="6EC407F2"/>
    <w:rsid w:val="6EE40E94"/>
    <w:rsid w:val="706C1141"/>
    <w:rsid w:val="723D4B43"/>
    <w:rsid w:val="74C111F0"/>
    <w:rsid w:val="776504EB"/>
    <w:rsid w:val="7A86157E"/>
    <w:rsid w:val="7EFB0260"/>
    <w:rsid w:val="7F1906E6"/>
    <w:rsid w:val="7F2C666B"/>
    <w:rsid w:val="7FDA7E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3">
    <w:name w:val="heading 1"/>
    <w:basedOn w:val="1"/>
    <w:next w:val="1"/>
    <w:link w:val="67"/>
    <w:qFormat/>
    <w:uiPriority w:val="0"/>
    <w:pPr>
      <w:keepNext/>
      <w:snapToGrid w:val="0"/>
      <w:spacing w:line="360" w:lineRule="atLeast"/>
      <w:outlineLvl w:val="0"/>
    </w:pPr>
    <w:rPr>
      <w:b/>
      <w:kern w:val="44"/>
      <w:sz w:val="44"/>
      <w:szCs w:val="20"/>
    </w:rPr>
  </w:style>
  <w:style w:type="paragraph" w:styleId="4">
    <w:name w:val="heading 2"/>
    <w:basedOn w:val="1"/>
    <w:next w:val="1"/>
    <w:link w:val="68"/>
    <w:qFormat/>
    <w:uiPriority w:val="0"/>
    <w:pPr>
      <w:keepNext/>
      <w:keepLines/>
      <w:spacing w:before="260" w:after="260" w:line="413" w:lineRule="auto"/>
      <w:outlineLvl w:val="1"/>
    </w:pPr>
    <w:rPr>
      <w:rFonts w:ascii="Arial" w:hAnsi="Arial" w:eastAsia="黑体"/>
      <w:b/>
      <w:sz w:val="32"/>
      <w:szCs w:val="20"/>
    </w:rPr>
  </w:style>
  <w:style w:type="paragraph" w:styleId="5">
    <w:name w:val="heading 3"/>
    <w:basedOn w:val="1"/>
    <w:next w:val="1"/>
    <w:link w:val="69"/>
    <w:qFormat/>
    <w:uiPriority w:val="0"/>
    <w:pPr>
      <w:keepNext/>
      <w:keepLines/>
      <w:spacing w:before="260" w:after="260" w:line="413" w:lineRule="auto"/>
      <w:outlineLvl w:val="2"/>
    </w:pPr>
    <w:rPr>
      <w:b/>
      <w:sz w:val="32"/>
      <w:szCs w:val="20"/>
    </w:rPr>
  </w:style>
  <w:style w:type="paragraph" w:styleId="6">
    <w:name w:val="heading 4"/>
    <w:basedOn w:val="1"/>
    <w:next w:val="1"/>
    <w:link w:val="70"/>
    <w:qFormat/>
    <w:uiPriority w:val="0"/>
    <w:pPr>
      <w:keepNext/>
      <w:keepLines/>
      <w:spacing w:before="280" w:after="290" w:line="372" w:lineRule="auto"/>
      <w:outlineLvl w:val="3"/>
    </w:pPr>
    <w:rPr>
      <w:rFonts w:ascii="Cambria" w:hAnsi="Cambria"/>
      <w:b/>
      <w:kern w:val="0"/>
      <w:szCs w:val="20"/>
    </w:rPr>
  </w:style>
  <w:style w:type="paragraph" w:styleId="7">
    <w:name w:val="heading 5"/>
    <w:basedOn w:val="1"/>
    <w:next w:val="1"/>
    <w:link w:val="71"/>
    <w:qFormat/>
    <w:uiPriority w:val="0"/>
    <w:pPr>
      <w:keepNext/>
      <w:keepLines/>
      <w:tabs>
        <w:tab w:val="left" w:pos="2551"/>
      </w:tabs>
      <w:spacing w:before="280" w:after="290" w:line="372" w:lineRule="auto"/>
      <w:ind w:left="2551" w:hanging="850"/>
      <w:outlineLvl w:val="4"/>
    </w:pPr>
    <w:rPr>
      <w:b/>
      <w:kern w:val="0"/>
      <w:szCs w:val="20"/>
    </w:rPr>
  </w:style>
  <w:style w:type="paragraph" w:styleId="8">
    <w:name w:val="heading 6"/>
    <w:basedOn w:val="1"/>
    <w:next w:val="1"/>
    <w:link w:val="72"/>
    <w:qFormat/>
    <w:uiPriority w:val="0"/>
    <w:pPr>
      <w:keepNext/>
      <w:keepLines/>
      <w:tabs>
        <w:tab w:val="left" w:pos="1152"/>
      </w:tabs>
      <w:adjustRightInd w:val="0"/>
      <w:snapToGrid w:val="0"/>
      <w:spacing w:before="240" w:after="64" w:line="317" w:lineRule="auto"/>
      <w:ind w:left="1152" w:hanging="1152"/>
      <w:outlineLvl w:val="5"/>
    </w:pPr>
    <w:rPr>
      <w:rFonts w:ascii="Cambria" w:hAnsi="Cambria"/>
      <w:b/>
      <w:kern w:val="0"/>
      <w:sz w:val="24"/>
      <w:szCs w:val="20"/>
    </w:rPr>
  </w:style>
  <w:style w:type="paragraph" w:styleId="9">
    <w:name w:val="heading 7"/>
    <w:basedOn w:val="1"/>
    <w:next w:val="1"/>
    <w:link w:val="73"/>
    <w:qFormat/>
    <w:uiPriority w:val="0"/>
    <w:pPr>
      <w:keepNext/>
      <w:keepLines/>
      <w:tabs>
        <w:tab w:val="left" w:pos="1296"/>
      </w:tabs>
      <w:adjustRightInd w:val="0"/>
      <w:snapToGrid w:val="0"/>
      <w:spacing w:before="240" w:after="64" w:line="317" w:lineRule="auto"/>
      <w:ind w:left="1296" w:hanging="1296"/>
      <w:outlineLvl w:val="6"/>
    </w:pPr>
    <w:rPr>
      <w:b/>
      <w:kern w:val="0"/>
      <w:sz w:val="24"/>
      <w:szCs w:val="20"/>
    </w:rPr>
  </w:style>
  <w:style w:type="paragraph" w:styleId="10">
    <w:name w:val="heading 8"/>
    <w:basedOn w:val="1"/>
    <w:next w:val="1"/>
    <w:link w:val="74"/>
    <w:qFormat/>
    <w:uiPriority w:val="0"/>
    <w:pPr>
      <w:keepNext/>
      <w:keepLines/>
      <w:tabs>
        <w:tab w:val="left" w:pos="1440"/>
      </w:tabs>
      <w:adjustRightInd w:val="0"/>
      <w:snapToGrid w:val="0"/>
      <w:spacing w:before="240" w:after="64" w:line="317" w:lineRule="auto"/>
      <w:ind w:left="1440" w:hanging="1440"/>
      <w:outlineLvl w:val="7"/>
    </w:pPr>
    <w:rPr>
      <w:rFonts w:ascii="Cambria" w:hAnsi="Cambria"/>
      <w:kern w:val="0"/>
      <w:sz w:val="24"/>
      <w:szCs w:val="20"/>
    </w:rPr>
  </w:style>
  <w:style w:type="paragraph" w:styleId="11">
    <w:name w:val="heading 9"/>
    <w:basedOn w:val="1"/>
    <w:next w:val="1"/>
    <w:link w:val="75"/>
    <w:qFormat/>
    <w:uiPriority w:val="0"/>
    <w:pPr>
      <w:keepNext/>
      <w:keepLines/>
      <w:tabs>
        <w:tab w:val="left" w:pos="1584"/>
      </w:tabs>
      <w:adjustRightInd w:val="0"/>
      <w:snapToGrid w:val="0"/>
      <w:spacing w:before="240" w:after="64" w:line="317" w:lineRule="auto"/>
      <w:ind w:left="1584" w:hanging="1584"/>
      <w:outlineLvl w:val="8"/>
    </w:pPr>
    <w:rPr>
      <w:rFonts w:ascii="Cambria" w:hAnsi="Cambria"/>
      <w:kern w:val="0"/>
      <w:sz w:val="21"/>
      <w:szCs w:val="20"/>
    </w:rPr>
  </w:style>
  <w:style w:type="character" w:default="1" w:styleId="57">
    <w:name w:val="Default Paragraph Font"/>
    <w:unhideWhenUsed/>
    <w:qFormat/>
    <w:uiPriority w:val="1"/>
  </w:style>
  <w:style w:type="table" w:default="1" w:styleId="6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78"/>
    <w:unhideWhenUsed/>
    <w:qFormat/>
    <w:uiPriority w:val="0"/>
    <w:pPr>
      <w:spacing w:after="120"/>
    </w:pPr>
  </w:style>
  <w:style w:type="paragraph" w:styleId="12">
    <w:name w:val="List 3"/>
    <w:basedOn w:val="1"/>
    <w:qFormat/>
    <w:uiPriority w:val="0"/>
    <w:pPr>
      <w:adjustRightInd w:val="0"/>
      <w:snapToGrid w:val="0"/>
      <w:spacing w:line="360" w:lineRule="auto"/>
      <w:ind w:left="100" w:leftChars="400" w:hanging="200" w:hangingChars="200"/>
    </w:pPr>
    <w:rPr>
      <w:sz w:val="24"/>
      <w:szCs w:val="24"/>
    </w:rPr>
  </w:style>
  <w:style w:type="paragraph" w:styleId="13">
    <w:name w:val="annotation subject"/>
    <w:basedOn w:val="14"/>
    <w:next w:val="14"/>
    <w:link w:val="77"/>
    <w:qFormat/>
    <w:uiPriority w:val="0"/>
    <w:rPr>
      <w:szCs w:val="20"/>
    </w:rPr>
  </w:style>
  <w:style w:type="paragraph" w:styleId="14">
    <w:name w:val="annotation text"/>
    <w:basedOn w:val="1"/>
    <w:link w:val="76"/>
    <w:unhideWhenUsed/>
    <w:qFormat/>
    <w:uiPriority w:val="0"/>
    <w:pPr>
      <w:jc w:val="left"/>
    </w:pPr>
  </w:style>
  <w:style w:type="paragraph" w:styleId="15">
    <w:name w:val="toc 7"/>
    <w:basedOn w:val="1"/>
    <w:next w:val="1"/>
    <w:qFormat/>
    <w:uiPriority w:val="0"/>
    <w:pPr>
      <w:ind w:left="2520" w:leftChars="1200"/>
    </w:pPr>
  </w:style>
  <w:style w:type="paragraph" w:styleId="16">
    <w:name w:val="Body Text First Indent"/>
    <w:basedOn w:val="1"/>
    <w:link w:val="79"/>
    <w:qFormat/>
    <w:uiPriority w:val="0"/>
    <w:pPr>
      <w:spacing w:line="360" w:lineRule="auto"/>
      <w:ind w:firstLine="420"/>
    </w:pPr>
    <w:rPr>
      <w:kern w:val="0"/>
      <w:sz w:val="20"/>
      <w:szCs w:val="20"/>
    </w:rPr>
  </w:style>
  <w:style w:type="paragraph" w:styleId="17">
    <w:name w:val="List Number 2"/>
    <w:basedOn w:val="1"/>
    <w:qFormat/>
    <w:uiPriority w:val="0"/>
    <w:pPr>
      <w:tabs>
        <w:tab w:val="left" w:pos="780"/>
      </w:tabs>
      <w:spacing w:line="360" w:lineRule="auto"/>
      <w:ind w:left="425" w:hanging="425"/>
    </w:pPr>
    <w:rPr>
      <w:sz w:val="24"/>
      <w:szCs w:val="24"/>
    </w:rPr>
  </w:style>
  <w:style w:type="paragraph" w:styleId="18">
    <w:name w:val="List Bullet 4"/>
    <w:basedOn w:val="1"/>
    <w:qFormat/>
    <w:uiPriority w:val="0"/>
    <w:pPr>
      <w:widowControl/>
      <w:tabs>
        <w:tab w:val="left" w:pos="1134"/>
      </w:tabs>
      <w:adjustRightInd w:val="0"/>
      <w:snapToGrid w:val="0"/>
      <w:spacing w:before="120" w:line="280" w:lineRule="atLeast"/>
      <w:ind w:left="1418" w:hanging="284"/>
      <w:jc w:val="left"/>
    </w:pPr>
    <w:rPr>
      <w:rFonts w:ascii="宋体" w:cs="宋体"/>
      <w:kern w:val="0"/>
      <w:sz w:val="22"/>
      <w:szCs w:val="22"/>
    </w:rPr>
  </w:style>
  <w:style w:type="paragraph" w:styleId="19">
    <w:name w:val="Normal Indent"/>
    <w:basedOn w:val="1"/>
    <w:qFormat/>
    <w:uiPriority w:val="0"/>
    <w:pPr>
      <w:adjustRightInd w:val="0"/>
      <w:snapToGrid w:val="0"/>
      <w:spacing w:line="360" w:lineRule="auto"/>
      <w:ind w:firstLine="420"/>
    </w:pPr>
    <w:rPr>
      <w:sz w:val="24"/>
      <w:szCs w:val="24"/>
    </w:rPr>
  </w:style>
  <w:style w:type="paragraph" w:styleId="20">
    <w:name w:val="caption"/>
    <w:basedOn w:val="1"/>
    <w:next w:val="1"/>
    <w:qFormat/>
    <w:uiPriority w:val="0"/>
    <w:pPr>
      <w:widowControl/>
      <w:tabs>
        <w:tab w:val="left" w:pos="1134"/>
      </w:tabs>
      <w:adjustRightInd w:val="0"/>
      <w:snapToGrid w:val="0"/>
      <w:spacing w:line="280" w:lineRule="atLeast"/>
      <w:jc w:val="left"/>
    </w:pPr>
    <w:rPr>
      <w:rFonts w:eastAsia="PMingLiUfalt"/>
      <w:b/>
      <w:bCs/>
      <w:kern w:val="0"/>
      <w:sz w:val="24"/>
      <w:szCs w:val="24"/>
      <w:lang w:eastAsia="zh-TW"/>
    </w:rPr>
  </w:style>
  <w:style w:type="paragraph" w:styleId="21">
    <w:name w:val="Document Map"/>
    <w:basedOn w:val="1"/>
    <w:link w:val="80"/>
    <w:qFormat/>
    <w:uiPriority w:val="0"/>
    <w:pPr>
      <w:shd w:val="clear" w:color="auto" w:fill="000080"/>
    </w:pPr>
    <w:rPr>
      <w:kern w:val="0"/>
      <w:sz w:val="2"/>
      <w:szCs w:val="20"/>
    </w:rPr>
  </w:style>
  <w:style w:type="paragraph" w:styleId="22">
    <w:name w:val="toa heading"/>
    <w:basedOn w:val="1"/>
    <w:next w:val="1"/>
    <w:qFormat/>
    <w:uiPriority w:val="0"/>
    <w:pPr>
      <w:spacing w:before="120"/>
    </w:pPr>
    <w:rPr>
      <w:rFonts w:ascii="Arial" w:hAnsi="Arial" w:cs="Arial"/>
      <w:sz w:val="24"/>
      <w:szCs w:val="24"/>
    </w:rPr>
  </w:style>
  <w:style w:type="paragraph" w:styleId="23">
    <w:name w:val="Body Text 3"/>
    <w:basedOn w:val="1"/>
    <w:link w:val="81"/>
    <w:qFormat/>
    <w:uiPriority w:val="0"/>
    <w:pPr>
      <w:adjustRightInd w:val="0"/>
      <w:snapToGrid w:val="0"/>
      <w:spacing w:after="120" w:line="360" w:lineRule="auto"/>
    </w:pPr>
    <w:rPr>
      <w:kern w:val="0"/>
      <w:sz w:val="16"/>
      <w:szCs w:val="20"/>
    </w:rPr>
  </w:style>
  <w:style w:type="paragraph" w:styleId="24">
    <w:name w:val="List Bullet 3"/>
    <w:basedOn w:val="1"/>
    <w:qFormat/>
    <w:uiPriority w:val="0"/>
    <w:pPr>
      <w:tabs>
        <w:tab w:val="left" w:pos="1200"/>
      </w:tabs>
      <w:adjustRightInd w:val="0"/>
      <w:snapToGrid w:val="0"/>
      <w:spacing w:line="360" w:lineRule="auto"/>
      <w:ind w:left="1200" w:hanging="360"/>
    </w:pPr>
    <w:rPr>
      <w:sz w:val="24"/>
      <w:szCs w:val="24"/>
    </w:rPr>
  </w:style>
  <w:style w:type="paragraph" w:styleId="25">
    <w:name w:val="Body Text Indent"/>
    <w:basedOn w:val="1"/>
    <w:link w:val="82"/>
    <w:qFormat/>
    <w:uiPriority w:val="0"/>
    <w:pPr>
      <w:spacing w:line="700" w:lineRule="exact"/>
      <w:ind w:left="960"/>
    </w:pPr>
    <w:rPr>
      <w:sz w:val="44"/>
      <w:szCs w:val="20"/>
    </w:rPr>
  </w:style>
  <w:style w:type="paragraph" w:styleId="26">
    <w:name w:val="List Number 3"/>
    <w:basedOn w:val="1"/>
    <w:qFormat/>
    <w:uiPriority w:val="0"/>
    <w:pPr>
      <w:tabs>
        <w:tab w:val="left" w:pos="2120"/>
      </w:tabs>
      <w:adjustRightInd w:val="0"/>
      <w:snapToGrid w:val="0"/>
      <w:spacing w:line="360" w:lineRule="auto"/>
      <w:ind w:left="2120" w:hanging="720"/>
    </w:pPr>
    <w:rPr>
      <w:sz w:val="24"/>
      <w:szCs w:val="24"/>
    </w:rPr>
  </w:style>
  <w:style w:type="paragraph" w:styleId="27">
    <w:name w:val="List 2"/>
    <w:basedOn w:val="1"/>
    <w:qFormat/>
    <w:uiPriority w:val="0"/>
    <w:pPr>
      <w:adjustRightInd w:val="0"/>
      <w:snapToGrid w:val="0"/>
      <w:spacing w:line="360" w:lineRule="auto"/>
      <w:ind w:left="100" w:leftChars="200" w:hanging="200" w:hangingChars="200"/>
    </w:pPr>
    <w:rPr>
      <w:sz w:val="24"/>
      <w:szCs w:val="24"/>
    </w:rPr>
  </w:style>
  <w:style w:type="paragraph" w:styleId="28">
    <w:name w:val="List Continue"/>
    <w:basedOn w:val="1"/>
    <w:qFormat/>
    <w:uiPriority w:val="0"/>
    <w:pPr>
      <w:adjustRightInd w:val="0"/>
      <w:snapToGrid w:val="0"/>
      <w:spacing w:after="120" w:line="360" w:lineRule="auto"/>
      <w:ind w:left="420" w:leftChars="200"/>
    </w:pPr>
    <w:rPr>
      <w:sz w:val="24"/>
      <w:szCs w:val="24"/>
    </w:rPr>
  </w:style>
  <w:style w:type="paragraph" w:styleId="29">
    <w:name w:val="List Bullet 2"/>
    <w:basedOn w:val="1"/>
    <w:qFormat/>
    <w:uiPriority w:val="0"/>
    <w:pPr>
      <w:tabs>
        <w:tab w:val="left" w:pos="780"/>
      </w:tabs>
      <w:adjustRightInd w:val="0"/>
      <w:snapToGrid w:val="0"/>
      <w:spacing w:line="360" w:lineRule="auto"/>
      <w:ind w:left="780" w:hanging="360"/>
    </w:pPr>
    <w:rPr>
      <w:sz w:val="24"/>
      <w:szCs w:val="24"/>
    </w:rPr>
  </w:style>
  <w:style w:type="paragraph" w:styleId="30">
    <w:name w:val="toc 5"/>
    <w:basedOn w:val="1"/>
    <w:next w:val="1"/>
    <w:qFormat/>
    <w:uiPriority w:val="0"/>
    <w:pPr>
      <w:ind w:left="1680" w:leftChars="800"/>
    </w:pPr>
  </w:style>
  <w:style w:type="paragraph" w:styleId="31">
    <w:name w:val="toc 3"/>
    <w:basedOn w:val="1"/>
    <w:next w:val="1"/>
    <w:qFormat/>
    <w:uiPriority w:val="39"/>
    <w:pPr>
      <w:ind w:left="840" w:leftChars="400"/>
    </w:pPr>
  </w:style>
  <w:style w:type="paragraph" w:styleId="32">
    <w:name w:val="Plain Text"/>
    <w:basedOn w:val="1"/>
    <w:link w:val="83"/>
    <w:qFormat/>
    <w:uiPriority w:val="0"/>
    <w:rPr>
      <w:rFonts w:ascii="宋体" w:hAnsi="Courier New"/>
      <w:kern w:val="0"/>
      <w:sz w:val="21"/>
      <w:szCs w:val="20"/>
    </w:rPr>
  </w:style>
  <w:style w:type="paragraph" w:styleId="33">
    <w:name w:val="toc 8"/>
    <w:basedOn w:val="1"/>
    <w:next w:val="1"/>
    <w:qFormat/>
    <w:uiPriority w:val="0"/>
    <w:pPr>
      <w:ind w:left="2940" w:leftChars="1400"/>
    </w:pPr>
  </w:style>
  <w:style w:type="paragraph" w:styleId="34">
    <w:name w:val="Date"/>
    <w:basedOn w:val="1"/>
    <w:next w:val="1"/>
    <w:link w:val="84"/>
    <w:qFormat/>
    <w:uiPriority w:val="0"/>
    <w:rPr>
      <w:szCs w:val="20"/>
    </w:rPr>
  </w:style>
  <w:style w:type="paragraph" w:styleId="35">
    <w:name w:val="Body Text Indent 2"/>
    <w:basedOn w:val="1"/>
    <w:link w:val="85"/>
    <w:qFormat/>
    <w:uiPriority w:val="0"/>
    <w:pPr>
      <w:snapToGrid w:val="0"/>
      <w:spacing w:line="560" w:lineRule="atLeast"/>
      <w:ind w:firstLine="540"/>
    </w:pPr>
    <w:rPr>
      <w:szCs w:val="20"/>
    </w:rPr>
  </w:style>
  <w:style w:type="paragraph" w:styleId="36">
    <w:name w:val="Balloon Text"/>
    <w:basedOn w:val="1"/>
    <w:link w:val="86"/>
    <w:qFormat/>
    <w:uiPriority w:val="0"/>
    <w:rPr>
      <w:kern w:val="0"/>
      <w:sz w:val="21"/>
      <w:szCs w:val="20"/>
    </w:rPr>
  </w:style>
  <w:style w:type="paragraph" w:styleId="37">
    <w:name w:val="footer"/>
    <w:basedOn w:val="1"/>
    <w:link w:val="87"/>
    <w:qFormat/>
    <w:uiPriority w:val="0"/>
    <w:pPr>
      <w:tabs>
        <w:tab w:val="center" w:pos="4153"/>
        <w:tab w:val="right" w:pos="8306"/>
      </w:tabs>
      <w:snapToGrid w:val="0"/>
      <w:jc w:val="left"/>
    </w:pPr>
    <w:rPr>
      <w:kern w:val="0"/>
      <w:sz w:val="18"/>
      <w:szCs w:val="20"/>
    </w:rPr>
  </w:style>
  <w:style w:type="paragraph" w:styleId="38">
    <w:name w:val="Body Text First Indent 2"/>
    <w:basedOn w:val="25"/>
    <w:link w:val="88"/>
    <w:qFormat/>
    <w:uiPriority w:val="0"/>
    <w:pPr>
      <w:spacing w:after="120" w:line="240" w:lineRule="auto"/>
      <w:ind w:left="420" w:leftChars="200" w:firstLine="420" w:firstLineChars="200"/>
    </w:pPr>
  </w:style>
  <w:style w:type="paragraph" w:styleId="39">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40">
    <w:name w:val="toc 1"/>
    <w:basedOn w:val="1"/>
    <w:next w:val="1"/>
    <w:qFormat/>
    <w:uiPriority w:val="39"/>
    <w:pPr>
      <w:spacing w:line="180" w:lineRule="auto"/>
      <w:jc w:val="center"/>
    </w:pPr>
    <w:rPr>
      <w:sz w:val="30"/>
      <w:szCs w:val="30"/>
    </w:rPr>
  </w:style>
  <w:style w:type="paragraph" w:styleId="41">
    <w:name w:val="List Continue 4"/>
    <w:basedOn w:val="1"/>
    <w:qFormat/>
    <w:uiPriority w:val="0"/>
    <w:pPr>
      <w:adjustRightInd w:val="0"/>
      <w:snapToGrid w:val="0"/>
      <w:spacing w:after="120" w:line="360" w:lineRule="auto"/>
      <w:ind w:left="1680" w:leftChars="800"/>
    </w:pPr>
    <w:rPr>
      <w:sz w:val="24"/>
      <w:szCs w:val="24"/>
    </w:rPr>
  </w:style>
  <w:style w:type="paragraph" w:styleId="42">
    <w:name w:val="toc 4"/>
    <w:basedOn w:val="1"/>
    <w:next w:val="1"/>
    <w:qFormat/>
    <w:uiPriority w:val="0"/>
    <w:pPr>
      <w:ind w:left="1260" w:leftChars="600"/>
    </w:pPr>
  </w:style>
  <w:style w:type="paragraph" w:styleId="43">
    <w:name w:val="footnote text"/>
    <w:basedOn w:val="1"/>
    <w:link w:val="90"/>
    <w:qFormat/>
    <w:uiPriority w:val="0"/>
    <w:pPr>
      <w:spacing w:line="360" w:lineRule="auto"/>
    </w:pPr>
    <w:rPr>
      <w:sz w:val="18"/>
      <w:szCs w:val="20"/>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szCs w:val="24"/>
    </w:rPr>
  </w:style>
  <w:style w:type="paragraph" w:styleId="46">
    <w:name w:val="Body Text Indent 3"/>
    <w:basedOn w:val="1"/>
    <w:link w:val="91"/>
    <w:qFormat/>
    <w:uiPriority w:val="0"/>
    <w:pPr>
      <w:spacing w:line="360" w:lineRule="auto"/>
      <w:ind w:firstLine="632"/>
    </w:pPr>
    <w:rPr>
      <w:kern w:val="0"/>
      <w:sz w:val="16"/>
      <w:szCs w:val="20"/>
    </w:rPr>
  </w:style>
  <w:style w:type="paragraph" w:styleId="47">
    <w:name w:val="table of figures"/>
    <w:basedOn w:val="1"/>
    <w:next w:val="1"/>
    <w:qFormat/>
    <w:uiPriority w:val="0"/>
    <w:pPr>
      <w:tabs>
        <w:tab w:val="right" w:leader="dot" w:pos="8640"/>
      </w:tabs>
      <w:spacing w:line="360" w:lineRule="auto"/>
      <w:ind w:left="400" w:hanging="400"/>
    </w:pPr>
    <w:rPr>
      <w:sz w:val="24"/>
      <w:szCs w:val="24"/>
    </w:rPr>
  </w:style>
  <w:style w:type="paragraph" w:styleId="48">
    <w:name w:val="toc 2"/>
    <w:basedOn w:val="1"/>
    <w:next w:val="1"/>
    <w:qFormat/>
    <w:uiPriority w:val="39"/>
    <w:pPr>
      <w:ind w:left="420" w:leftChars="200"/>
    </w:pPr>
  </w:style>
  <w:style w:type="paragraph" w:styleId="49">
    <w:name w:val="toc 9"/>
    <w:basedOn w:val="1"/>
    <w:next w:val="1"/>
    <w:qFormat/>
    <w:uiPriority w:val="0"/>
    <w:pPr>
      <w:ind w:left="3360" w:leftChars="1600"/>
    </w:pPr>
  </w:style>
  <w:style w:type="paragraph" w:styleId="50">
    <w:name w:val="Body Text 2"/>
    <w:basedOn w:val="1"/>
    <w:link w:val="92"/>
    <w:qFormat/>
    <w:uiPriority w:val="0"/>
    <w:pPr>
      <w:adjustRightInd w:val="0"/>
      <w:snapToGrid w:val="0"/>
      <w:spacing w:after="120" w:line="480" w:lineRule="auto"/>
    </w:pPr>
    <w:rPr>
      <w:kern w:val="0"/>
      <w:sz w:val="20"/>
      <w:szCs w:val="20"/>
    </w:rPr>
  </w:style>
  <w:style w:type="paragraph" w:styleId="51">
    <w:name w:val="List 4"/>
    <w:basedOn w:val="1"/>
    <w:qFormat/>
    <w:uiPriority w:val="0"/>
    <w:pPr>
      <w:adjustRightInd w:val="0"/>
      <w:snapToGrid w:val="0"/>
      <w:spacing w:line="360" w:lineRule="auto"/>
      <w:ind w:left="100" w:leftChars="600" w:hanging="200" w:hangingChars="200"/>
    </w:pPr>
    <w:rPr>
      <w:sz w:val="24"/>
      <w:szCs w:val="24"/>
    </w:rPr>
  </w:style>
  <w:style w:type="paragraph" w:styleId="52">
    <w:name w:val="List Continue 2"/>
    <w:basedOn w:val="1"/>
    <w:qFormat/>
    <w:uiPriority w:val="0"/>
    <w:pPr>
      <w:adjustRightInd w:val="0"/>
      <w:snapToGrid w:val="0"/>
      <w:spacing w:after="120" w:line="360" w:lineRule="auto"/>
      <w:ind w:left="840" w:leftChars="400"/>
    </w:pPr>
    <w:rPr>
      <w:sz w:val="24"/>
      <w:szCs w:val="24"/>
    </w:rPr>
  </w:style>
  <w:style w:type="paragraph" w:styleId="5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4">
    <w:name w:val="List Continue 3"/>
    <w:basedOn w:val="1"/>
    <w:qFormat/>
    <w:uiPriority w:val="0"/>
    <w:pPr>
      <w:adjustRightInd w:val="0"/>
      <w:snapToGrid w:val="0"/>
      <w:spacing w:after="120" w:line="360" w:lineRule="auto"/>
      <w:ind w:left="1260" w:leftChars="600"/>
    </w:pPr>
    <w:rPr>
      <w:sz w:val="24"/>
      <w:szCs w:val="24"/>
    </w:rPr>
  </w:style>
  <w:style w:type="paragraph" w:styleId="55">
    <w:name w:val="index 1"/>
    <w:basedOn w:val="1"/>
    <w:next w:val="1"/>
    <w:qFormat/>
    <w:uiPriority w:val="0"/>
    <w:pPr>
      <w:adjustRightInd w:val="0"/>
      <w:spacing w:line="240" w:lineRule="atLeast"/>
      <w:textAlignment w:val="baseline"/>
    </w:pPr>
    <w:rPr>
      <w:rFonts w:ascii="宋体" w:cs="宋体"/>
      <w:kern w:val="0"/>
      <w:sz w:val="21"/>
      <w:szCs w:val="21"/>
    </w:rPr>
  </w:style>
  <w:style w:type="paragraph" w:styleId="56">
    <w:name w:val="Title"/>
    <w:basedOn w:val="1"/>
    <w:link w:val="93"/>
    <w:qFormat/>
    <w:uiPriority w:val="0"/>
    <w:pPr>
      <w:widowControl/>
      <w:spacing w:after="240" w:line="360" w:lineRule="auto"/>
      <w:jc w:val="center"/>
    </w:pPr>
    <w:rPr>
      <w:rFonts w:ascii="Cambria" w:hAnsi="Cambria"/>
      <w:b/>
      <w:kern w:val="0"/>
      <w:sz w:val="32"/>
      <w:szCs w:val="20"/>
    </w:rPr>
  </w:style>
  <w:style w:type="character" w:styleId="58">
    <w:name w:val="Strong"/>
    <w:qFormat/>
    <w:uiPriority w:val="22"/>
    <w:rPr>
      <w:rFonts w:cs="Times New Roman"/>
      <w:b/>
    </w:rPr>
  </w:style>
  <w:style w:type="character" w:styleId="59">
    <w:name w:val="page number"/>
    <w:qFormat/>
    <w:uiPriority w:val="0"/>
    <w:rPr>
      <w:rFonts w:cs="Times New Roman"/>
    </w:rPr>
  </w:style>
  <w:style w:type="character" w:styleId="60">
    <w:name w:val="FollowedHyperlink"/>
    <w:qFormat/>
    <w:uiPriority w:val="99"/>
    <w:rPr>
      <w:rFonts w:cs="Times New Roman"/>
      <w:color w:val="800080"/>
      <w:u w:val="single"/>
    </w:rPr>
  </w:style>
  <w:style w:type="character" w:styleId="61">
    <w:name w:val="Emphasis"/>
    <w:qFormat/>
    <w:uiPriority w:val="0"/>
    <w:rPr>
      <w:rFonts w:cs="Times New Roman"/>
      <w:i/>
    </w:rPr>
  </w:style>
  <w:style w:type="character" w:styleId="62">
    <w:name w:val="Hyperlink"/>
    <w:qFormat/>
    <w:uiPriority w:val="99"/>
    <w:rPr>
      <w:rFonts w:cs="Times New Roman"/>
      <w:color w:val="0000FF"/>
      <w:u w:val="single"/>
    </w:rPr>
  </w:style>
  <w:style w:type="character" w:styleId="63">
    <w:name w:val="annotation reference"/>
    <w:qFormat/>
    <w:uiPriority w:val="0"/>
    <w:rPr>
      <w:rFonts w:eastAsia="宋体" w:cs="Times New Roman"/>
      <w:sz w:val="28"/>
    </w:rPr>
  </w:style>
  <w:style w:type="character" w:styleId="64">
    <w:name w:val="footnote reference"/>
    <w:qFormat/>
    <w:uiPriority w:val="0"/>
    <w:rPr>
      <w:rFonts w:cs="Times New Roman"/>
      <w:position w:val="6"/>
      <w:sz w:val="14"/>
      <w:vertAlign w:val="superscript"/>
    </w:rPr>
  </w:style>
  <w:style w:type="table" w:styleId="66">
    <w:name w:val="Table Grid"/>
    <w:basedOn w:val="6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7">
    <w:name w:val="标题 1 字符"/>
    <w:basedOn w:val="57"/>
    <w:link w:val="3"/>
    <w:qFormat/>
    <w:uiPriority w:val="0"/>
    <w:rPr>
      <w:rFonts w:ascii="Times New Roman" w:hAnsi="Times New Roman" w:eastAsia="宋体" w:cs="Times New Roman"/>
      <w:b/>
      <w:kern w:val="44"/>
      <w:sz w:val="44"/>
      <w:szCs w:val="20"/>
    </w:rPr>
  </w:style>
  <w:style w:type="character" w:customStyle="1" w:styleId="68">
    <w:name w:val="标题 2 字符"/>
    <w:basedOn w:val="57"/>
    <w:link w:val="4"/>
    <w:qFormat/>
    <w:uiPriority w:val="0"/>
    <w:rPr>
      <w:rFonts w:ascii="Arial" w:hAnsi="Arial" w:eastAsia="黑体" w:cs="Times New Roman"/>
      <w:b/>
      <w:sz w:val="32"/>
      <w:szCs w:val="20"/>
    </w:rPr>
  </w:style>
  <w:style w:type="character" w:customStyle="1" w:styleId="69">
    <w:name w:val="标题 3 字符"/>
    <w:basedOn w:val="57"/>
    <w:link w:val="5"/>
    <w:qFormat/>
    <w:uiPriority w:val="0"/>
    <w:rPr>
      <w:rFonts w:ascii="Times New Roman" w:hAnsi="Times New Roman" w:eastAsia="宋体" w:cs="Times New Roman"/>
      <w:b/>
      <w:sz w:val="32"/>
      <w:szCs w:val="20"/>
    </w:rPr>
  </w:style>
  <w:style w:type="character" w:customStyle="1" w:styleId="70">
    <w:name w:val="标题 4 字符"/>
    <w:basedOn w:val="57"/>
    <w:link w:val="6"/>
    <w:qFormat/>
    <w:uiPriority w:val="0"/>
    <w:rPr>
      <w:rFonts w:ascii="Cambria" w:hAnsi="Cambria" w:eastAsia="宋体" w:cs="Times New Roman"/>
      <w:b/>
      <w:kern w:val="0"/>
      <w:sz w:val="28"/>
      <w:szCs w:val="20"/>
    </w:rPr>
  </w:style>
  <w:style w:type="character" w:customStyle="1" w:styleId="71">
    <w:name w:val="标题 5 字符"/>
    <w:basedOn w:val="57"/>
    <w:link w:val="7"/>
    <w:qFormat/>
    <w:uiPriority w:val="0"/>
    <w:rPr>
      <w:rFonts w:ascii="Times New Roman" w:hAnsi="Times New Roman" w:eastAsia="宋体" w:cs="Times New Roman"/>
      <w:b/>
      <w:kern w:val="0"/>
      <w:sz w:val="28"/>
      <w:szCs w:val="20"/>
    </w:rPr>
  </w:style>
  <w:style w:type="character" w:customStyle="1" w:styleId="72">
    <w:name w:val="标题 6 字符"/>
    <w:basedOn w:val="57"/>
    <w:link w:val="8"/>
    <w:qFormat/>
    <w:uiPriority w:val="0"/>
    <w:rPr>
      <w:rFonts w:ascii="Cambria" w:hAnsi="Cambria" w:eastAsia="宋体" w:cs="Times New Roman"/>
      <w:b/>
      <w:kern w:val="0"/>
      <w:sz w:val="24"/>
      <w:szCs w:val="20"/>
    </w:rPr>
  </w:style>
  <w:style w:type="character" w:customStyle="1" w:styleId="73">
    <w:name w:val="标题 7 字符"/>
    <w:basedOn w:val="57"/>
    <w:link w:val="9"/>
    <w:qFormat/>
    <w:uiPriority w:val="0"/>
    <w:rPr>
      <w:rFonts w:ascii="Times New Roman" w:hAnsi="Times New Roman" w:eastAsia="宋体" w:cs="Times New Roman"/>
      <w:b/>
      <w:kern w:val="0"/>
      <w:sz w:val="24"/>
      <w:szCs w:val="20"/>
    </w:rPr>
  </w:style>
  <w:style w:type="character" w:customStyle="1" w:styleId="74">
    <w:name w:val="标题 8 字符"/>
    <w:basedOn w:val="57"/>
    <w:link w:val="10"/>
    <w:qFormat/>
    <w:uiPriority w:val="0"/>
    <w:rPr>
      <w:rFonts w:ascii="Cambria" w:hAnsi="Cambria" w:eastAsia="宋体" w:cs="Times New Roman"/>
      <w:kern w:val="0"/>
      <w:sz w:val="24"/>
      <w:szCs w:val="20"/>
    </w:rPr>
  </w:style>
  <w:style w:type="character" w:customStyle="1" w:styleId="75">
    <w:name w:val="标题 9 字符"/>
    <w:basedOn w:val="57"/>
    <w:link w:val="11"/>
    <w:qFormat/>
    <w:uiPriority w:val="0"/>
    <w:rPr>
      <w:rFonts w:ascii="Cambria" w:hAnsi="Cambria" w:eastAsia="宋体" w:cs="Times New Roman"/>
      <w:kern w:val="0"/>
      <w:szCs w:val="20"/>
    </w:rPr>
  </w:style>
  <w:style w:type="character" w:customStyle="1" w:styleId="76">
    <w:name w:val="批注文字 字符"/>
    <w:basedOn w:val="57"/>
    <w:link w:val="14"/>
    <w:qFormat/>
    <w:uiPriority w:val="0"/>
    <w:rPr>
      <w:rFonts w:ascii="Times New Roman" w:hAnsi="Times New Roman" w:eastAsia="宋体" w:cs="Times New Roman"/>
      <w:sz w:val="28"/>
      <w:szCs w:val="28"/>
    </w:rPr>
  </w:style>
  <w:style w:type="character" w:customStyle="1" w:styleId="77">
    <w:name w:val="批注主题 字符"/>
    <w:basedOn w:val="76"/>
    <w:link w:val="13"/>
    <w:qFormat/>
    <w:uiPriority w:val="0"/>
    <w:rPr>
      <w:rFonts w:ascii="Times New Roman" w:hAnsi="Times New Roman" w:eastAsia="宋体" w:cs="Times New Roman"/>
      <w:sz w:val="28"/>
      <w:szCs w:val="20"/>
    </w:rPr>
  </w:style>
  <w:style w:type="character" w:customStyle="1" w:styleId="78">
    <w:name w:val="正文文本 字符"/>
    <w:basedOn w:val="57"/>
    <w:link w:val="2"/>
    <w:semiHidden/>
    <w:qFormat/>
    <w:uiPriority w:val="99"/>
    <w:rPr>
      <w:rFonts w:ascii="Times New Roman" w:hAnsi="Times New Roman" w:eastAsia="宋体" w:cs="Times New Roman"/>
      <w:sz w:val="28"/>
      <w:szCs w:val="28"/>
    </w:rPr>
  </w:style>
  <w:style w:type="character" w:customStyle="1" w:styleId="79">
    <w:name w:val="正文文本首行缩进 字符"/>
    <w:basedOn w:val="78"/>
    <w:link w:val="16"/>
    <w:qFormat/>
    <w:uiPriority w:val="0"/>
    <w:rPr>
      <w:rFonts w:ascii="Times New Roman" w:hAnsi="Times New Roman" w:eastAsia="宋体" w:cs="Times New Roman"/>
      <w:kern w:val="0"/>
      <w:sz w:val="20"/>
      <w:szCs w:val="20"/>
    </w:rPr>
  </w:style>
  <w:style w:type="character" w:customStyle="1" w:styleId="80">
    <w:name w:val="文档结构图 字符"/>
    <w:basedOn w:val="57"/>
    <w:link w:val="21"/>
    <w:qFormat/>
    <w:uiPriority w:val="0"/>
    <w:rPr>
      <w:rFonts w:ascii="Times New Roman" w:hAnsi="Times New Roman" w:eastAsia="宋体" w:cs="Times New Roman"/>
      <w:kern w:val="0"/>
      <w:sz w:val="2"/>
      <w:szCs w:val="20"/>
      <w:shd w:val="clear" w:color="auto" w:fill="000080"/>
    </w:rPr>
  </w:style>
  <w:style w:type="character" w:customStyle="1" w:styleId="81">
    <w:name w:val="正文文本 3 字符"/>
    <w:basedOn w:val="57"/>
    <w:link w:val="23"/>
    <w:qFormat/>
    <w:uiPriority w:val="0"/>
    <w:rPr>
      <w:rFonts w:ascii="Times New Roman" w:hAnsi="Times New Roman" w:eastAsia="宋体" w:cs="Times New Roman"/>
      <w:kern w:val="0"/>
      <w:sz w:val="16"/>
      <w:szCs w:val="20"/>
    </w:rPr>
  </w:style>
  <w:style w:type="character" w:customStyle="1" w:styleId="82">
    <w:name w:val="正文文本缩进 字符"/>
    <w:basedOn w:val="57"/>
    <w:link w:val="25"/>
    <w:qFormat/>
    <w:uiPriority w:val="99"/>
    <w:rPr>
      <w:rFonts w:ascii="Times New Roman" w:hAnsi="Times New Roman" w:eastAsia="宋体" w:cs="Times New Roman"/>
      <w:sz w:val="44"/>
      <w:szCs w:val="20"/>
    </w:rPr>
  </w:style>
  <w:style w:type="character" w:customStyle="1" w:styleId="83">
    <w:name w:val="纯文本 字符"/>
    <w:basedOn w:val="57"/>
    <w:link w:val="32"/>
    <w:qFormat/>
    <w:uiPriority w:val="0"/>
    <w:rPr>
      <w:rFonts w:ascii="宋体" w:hAnsi="Courier New" w:eastAsia="宋体" w:cs="Times New Roman"/>
      <w:kern w:val="0"/>
      <w:szCs w:val="20"/>
    </w:rPr>
  </w:style>
  <w:style w:type="character" w:customStyle="1" w:styleId="84">
    <w:name w:val="日期 字符"/>
    <w:basedOn w:val="57"/>
    <w:link w:val="34"/>
    <w:qFormat/>
    <w:uiPriority w:val="0"/>
    <w:rPr>
      <w:rFonts w:ascii="Times New Roman" w:hAnsi="Times New Roman" w:eastAsia="宋体" w:cs="Times New Roman"/>
      <w:sz w:val="28"/>
      <w:szCs w:val="20"/>
    </w:rPr>
  </w:style>
  <w:style w:type="character" w:customStyle="1" w:styleId="85">
    <w:name w:val="正文文本缩进 2 字符"/>
    <w:basedOn w:val="57"/>
    <w:link w:val="35"/>
    <w:qFormat/>
    <w:uiPriority w:val="0"/>
    <w:rPr>
      <w:rFonts w:ascii="Times New Roman" w:hAnsi="Times New Roman" w:eastAsia="宋体" w:cs="Times New Roman"/>
      <w:sz w:val="28"/>
      <w:szCs w:val="20"/>
    </w:rPr>
  </w:style>
  <w:style w:type="character" w:customStyle="1" w:styleId="86">
    <w:name w:val="批注框文本 字符"/>
    <w:basedOn w:val="57"/>
    <w:link w:val="36"/>
    <w:qFormat/>
    <w:uiPriority w:val="0"/>
    <w:rPr>
      <w:rFonts w:ascii="Times New Roman" w:hAnsi="Times New Roman" w:eastAsia="宋体" w:cs="Times New Roman"/>
      <w:kern w:val="0"/>
      <w:szCs w:val="20"/>
    </w:rPr>
  </w:style>
  <w:style w:type="character" w:customStyle="1" w:styleId="87">
    <w:name w:val="页脚 字符"/>
    <w:basedOn w:val="57"/>
    <w:link w:val="37"/>
    <w:qFormat/>
    <w:uiPriority w:val="0"/>
    <w:rPr>
      <w:rFonts w:ascii="Times New Roman" w:hAnsi="Times New Roman" w:eastAsia="宋体" w:cs="Times New Roman"/>
      <w:kern w:val="0"/>
      <w:sz w:val="18"/>
      <w:szCs w:val="20"/>
    </w:rPr>
  </w:style>
  <w:style w:type="character" w:customStyle="1" w:styleId="88">
    <w:name w:val="正文文本首行缩进 2 字符"/>
    <w:basedOn w:val="82"/>
    <w:link w:val="38"/>
    <w:qFormat/>
    <w:uiPriority w:val="0"/>
    <w:rPr>
      <w:rFonts w:ascii="Times New Roman" w:hAnsi="Times New Roman" w:eastAsia="宋体" w:cs="Times New Roman"/>
      <w:sz w:val="44"/>
      <w:szCs w:val="20"/>
    </w:rPr>
  </w:style>
  <w:style w:type="character" w:customStyle="1" w:styleId="89">
    <w:name w:val="页眉 字符"/>
    <w:basedOn w:val="57"/>
    <w:link w:val="39"/>
    <w:qFormat/>
    <w:uiPriority w:val="0"/>
    <w:rPr>
      <w:rFonts w:ascii="Times New Roman" w:hAnsi="Times New Roman" w:eastAsia="宋体" w:cs="Times New Roman"/>
      <w:sz w:val="18"/>
      <w:szCs w:val="20"/>
    </w:rPr>
  </w:style>
  <w:style w:type="character" w:customStyle="1" w:styleId="90">
    <w:name w:val="脚注文本 字符"/>
    <w:basedOn w:val="57"/>
    <w:link w:val="43"/>
    <w:qFormat/>
    <w:uiPriority w:val="0"/>
    <w:rPr>
      <w:rFonts w:ascii="Times New Roman" w:hAnsi="Times New Roman" w:eastAsia="宋体" w:cs="Times New Roman"/>
      <w:sz w:val="18"/>
      <w:szCs w:val="20"/>
    </w:rPr>
  </w:style>
  <w:style w:type="character" w:customStyle="1" w:styleId="91">
    <w:name w:val="正文文本缩进 3 字符"/>
    <w:basedOn w:val="57"/>
    <w:link w:val="46"/>
    <w:qFormat/>
    <w:uiPriority w:val="0"/>
    <w:rPr>
      <w:rFonts w:ascii="Times New Roman" w:hAnsi="Times New Roman" w:eastAsia="宋体" w:cs="Times New Roman"/>
      <w:kern w:val="0"/>
      <w:sz w:val="16"/>
      <w:szCs w:val="20"/>
    </w:rPr>
  </w:style>
  <w:style w:type="character" w:customStyle="1" w:styleId="92">
    <w:name w:val="正文文本 2 字符"/>
    <w:basedOn w:val="57"/>
    <w:link w:val="50"/>
    <w:qFormat/>
    <w:uiPriority w:val="0"/>
    <w:rPr>
      <w:rFonts w:ascii="Times New Roman" w:hAnsi="Times New Roman" w:eastAsia="宋体" w:cs="Times New Roman"/>
      <w:kern w:val="0"/>
      <w:sz w:val="20"/>
      <w:szCs w:val="20"/>
    </w:rPr>
  </w:style>
  <w:style w:type="character" w:customStyle="1" w:styleId="93">
    <w:name w:val="标题 字符"/>
    <w:basedOn w:val="57"/>
    <w:link w:val="56"/>
    <w:qFormat/>
    <w:uiPriority w:val="0"/>
    <w:rPr>
      <w:rFonts w:ascii="Cambria" w:hAnsi="Cambria" w:eastAsia="宋体" w:cs="Times New Roman"/>
      <w:b/>
      <w:kern w:val="0"/>
      <w:sz w:val="32"/>
      <w:szCs w:val="20"/>
    </w:rPr>
  </w:style>
  <w:style w:type="character" w:customStyle="1" w:styleId="94">
    <w:name w:val="Char Char3"/>
    <w:qFormat/>
    <w:uiPriority w:val="0"/>
    <w:rPr>
      <w:rFonts w:eastAsia="宋体"/>
      <w:kern w:val="2"/>
      <w:sz w:val="18"/>
      <w:lang w:val="en-US" w:eastAsia="zh-CN"/>
    </w:rPr>
  </w:style>
  <w:style w:type="character" w:customStyle="1" w:styleId="95">
    <w:name w:val="top-det1"/>
    <w:qFormat/>
    <w:uiPriority w:val="0"/>
    <w:rPr>
      <w:b/>
      <w:color w:val="000000"/>
    </w:rPr>
  </w:style>
  <w:style w:type="character" w:customStyle="1" w:styleId="96">
    <w:name w:val="font51"/>
    <w:qFormat/>
    <w:uiPriority w:val="99"/>
    <w:rPr>
      <w:rFonts w:ascii="宋体" w:hAnsi="宋体" w:eastAsia="宋体"/>
      <w:color w:val="000000"/>
      <w:sz w:val="32"/>
      <w:u w:val="none"/>
    </w:rPr>
  </w:style>
  <w:style w:type="character" w:customStyle="1" w:styleId="97">
    <w:name w:val="文字 Char Char"/>
    <w:link w:val="98"/>
    <w:qFormat/>
    <w:locked/>
    <w:uiPriority w:val="99"/>
    <w:rPr>
      <w:rFonts w:ascii="宋体"/>
      <w:sz w:val="28"/>
    </w:rPr>
  </w:style>
  <w:style w:type="paragraph" w:customStyle="1" w:styleId="98">
    <w:name w:val="文字"/>
    <w:basedOn w:val="1"/>
    <w:link w:val="97"/>
    <w:qFormat/>
    <w:uiPriority w:val="0"/>
    <w:pPr>
      <w:tabs>
        <w:tab w:val="left" w:pos="8520"/>
      </w:tabs>
      <w:spacing w:line="312" w:lineRule="auto"/>
      <w:ind w:right="-210" w:firstLine="556"/>
    </w:pPr>
    <w:rPr>
      <w:rFonts w:ascii="宋体" w:hAnsiTheme="minorHAnsi" w:eastAsiaTheme="minorEastAsia" w:cstheme="minorBidi"/>
      <w:szCs w:val="22"/>
    </w:rPr>
  </w:style>
  <w:style w:type="character" w:customStyle="1" w:styleId="99">
    <w:name w:val="正文 + 三号 Char"/>
    <w:qFormat/>
    <w:uiPriority w:val="0"/>
    <w:rPr>
      <w:rFonts w:eastAsia="宋体"/>
      <w:kern w:val="2"/>
      <w:sz w:val="21"/>
      <w:lang w:val="en-US" w:eastAsia="zh-CN"/>
    </w:rPr>
  </w:style>
  <w:style w:type="character" w:customStyle="1" w:styleId="100">
    <w:name w:val="样式 宋体"/>
    <w:qFormat/>
    <w:uiPriority w:val="0"/>
    <w:rPr>
      <w:rFonts w:ascii="宋体" w:hAnsi="宋体" w:eastAsia="宋体"/>
      <w:sz w:val="28"/>
    </w:rPr>
  </w:style>
  <w:style w:type="character" w:customStyle="1" w:styleId="101">
    <w:name w:val="Char Char4"/>
    <w:qFormat/>
    <w:uiPriority w:val="0"/>
    <w:rPr>
      <w:rFonts w:eastAsia="宋体"/>
      <w:b/>
      <w:kern w:val="2"/>
      <w:sz w:val="21"/>
      <w:lang w:val="en-US" w:eastAsia="zh-CN"/>
    </w:rPr>
  </w:style>
  <w:style w:type="character" w:customStyle="1" w:styleId="102">
    <w:name w:val="apple-converted-space"/>
    <w:qFormat/>
    <w:uiPriority w:val="99"/>
  </w:style>
  <w:style w:type="character" w:customStyle="1" w:styleId="103">
    <w:name w:val="Table Heading Char Char"/>
    <w:qFormat/>
    <w:uiPriority w:val="0"/>
    <w:rPr>
      <w:rFonts w:ascii="Arial" w:hAnsi="Arial" w:eastAsia="黑体"/>
      <w:kern w:val="2"/>
      <w:sz w:val="18"/>
      <w:lang w:val="en-US" w:eastAsia="zh-CN"/>
    </w:rPr>
  </w:style>
  <w:style w:type="character" w:customStyle="1" w:styleId="104">
    <w:name w:val="未命名11"/>
    <w:qFormat/>
    <w:uiPriority w:val="0"/>
    <w:rPr>
      <w:color w:val="auto"/>
      <w:sz w:val="24"/>
    </w:rPr>
  </w:style>
  <w:style w:type="character" w:customStyle="1" w:styleId="105">
    <w:name w:val="font31"/>
    <w:qFormat/>
    <w:uiPriority w:val="99"/>
    <w:rPr>
      <w:rFonts w:ascii="Times New Roman" w:hAnsi="Times New Roman"/>
      <w:color w:val="000000"/>
      <w:sz w:val="36"/>
      <w:u w:val="none"/>
    </w:rPr>
  </w:style>
  <w:style w:type="character" w:customStyle="1" w:styleId="106">
    <w:name w:val="font61"/>
    <w:qFormat/>
    <w:uiPriority w:val="99"/>
    <w:rPr>
      <w:rFonts w:ascii="宋体" w:hAnsi="宋体" w:eastAsia="宋体"/>
      <w:color w:val="000000"/>
      <w:sz w:val="30"/>
      <w:u w:val="none"/>
    </w:rPr>
  </w:style>
  <w:style w:type="character" w:customStyle="1" w:styleId="107">
    <w:name w:val="crowed11"/>
    <w:qFormat/>
    <w:uiPriority w:val="0"/>
    <w:rPr>
      <w:sz w:val="24"/>
    </w:rPr>
  </w:style>
  <w:style w:type="character" w:customStyle="1" w:styleId="108">
    <w:name w:val="content-white1"/>
    <w:qFormat/>
    <w:uiPriority w:val="0"/>
    <w:rPr>
      <w:color w:val="auto"/>
      <w:sz w:val="18"/>
      <w:u w:val="none"/>
    </w:rPr>
  </w:style>
  <w:style w:type="character" w:customStyle="1" w:styleId="109">
    <w:name w:val="title_emph1"/>
    <w:qFormat/>
    <w:uiPriority w:val="99"/>
    <w:rPr>
      <w:rFonts w:ascii="Arial" w:hAnsi="Arial"/>
      <w:b/>
      <w:sz w:val="20"/>
    </w:rPr>
  </w:style>
  <w:style w:type="character" w:customStyle="1" w:styleId="110">
    <w:name w:val="Table Text Char1 Char Char"/>
    <w:qFormat/>
    <w:uiPriority w:val="99"/>
    <w:rPr>
      <w:rFonts w:ascii="Arial" w:hAnsi="Arial"/>
      <w:kern w:val="2"/>
      <w:sz w:val="18"/>
      <w:lang w:val="en-US" w:eastAsia="zh-CN"/>
    </w:rPr>
  </w:style>
  <w:style w:type="character" w:customStyle="1" w:styleId="111">
    <w:name w:val="Char Char Char Char Char Char Char Char Char"/>
    <w:qFormat/>
    <w:uiPriority w:val="99"/>
    <w:rPr>
      <w:rFonts w:ascii="宋体" w:hAnsi="宋体" w:eastAsia="宋体"/>
      <w:kern w:val="2"/>
      <w:sz w:val="24"/>
      <w:lang w:val="en-US" w:eastAsia="zh-CN"/>
    </w:rPr>
  </w:style>
  <w:style w:type="character" w:customStyle="1" w:styleId="112">
    <w:name w:val="font11"/>
    <w:qFormat/>
    <w:uiPriority w:val="99"/>
    <w:rPr>
      <w:rFonts w:ascii="宋体" w:hAnsi="宋体" w:eastAsia="宋体"/>
      <w:color w:val="000000"/>
      <w:sz w:val="36"/>
      <w:u w:val="none"/>
    </w:rPr>
  </w:style>
  <w:style w:type="character" w:customStyle="1" w:styleId="113">
    <w:name w:val="Table Text Char Char Char Char"/>
    <w:link w:val="114"/>
    <w:qFormat/>
    <w:locked/>
    <w:uiPriority w:val="0"/>
    <w:rPr>
      <w:rFonts w:ascii="Arial" w:hAnsi="Arial"/>
      <w:sz w:val="18"/>
    </w:rPr>
  </w:style>
  <w:style w:type="paragraph" w:customStyle="1" w:styleId="114">
    <w:name w:val="Table Text"/>
    <w:link w:val="113"/>
    <w:qFormat/>
    <w:uiPriority w:val="0"/>
    <w:pPr>
      <w:snapToGrid w:val="0"/>
      <w:spacing w:before="80" w:after="80"/>
    </w:pPr>
    <w:rPr>
      <w:rFonts w:ascii="Arial" w:hAnsi="Arial" w:eastAsiaTheme="minorEastAsia" w:cstheme="minorBidi"/>
      <w:kern w:val="2"/>
      <w:sz w:val="18"/>
      <w:szCs w:val="22"/>
      <w:lang w:val="en-US" w:eastAsia="zh-CN" w:bidi="ar-SA"/>
    </w:rPr>
  </w:style>
  <w:style w:type="character" w:customStyle="1" w:styleId="115">
    <w:name w:val="font41"/>
    <w:qFormat/>
    <w:uiPriority w:val="99"/>
    <w:rPr>
      <w:rFonts w:ascii="宋体" w:hAnsi="宋体" w:eastAsia="宋体"/>
      <w:color w:val="000000"/>
      <w:sz w:val="36"/>
      <w:u w:val="none"/>
    </w:rPr>
  </w:style>
  <w:style w:type="character" w:customStyle="1" w:styleId="116">
    <w:name w:val="Char Char2"/>
    <w:qFormat/>
    <w:uiPriority w:val="0"/>
    <w:rPr>
      <w:rFonts w:eastAsia="宋体"/>
      <w:kern w:val="2"/>
      <w:sz w:val="18"/>
      <w:lang w:val="en-US" w:eastAsia="zh-CN"/>
    </w:rPr>
  </w:style>
  <w:style w:type="character" w:customStyle="1" w:styleId="117">
    <w:name w:val="Char Char6"/>
    <w:qFormat/>
    <w:uiPriority w:val="0"/>
    <w:rPr>
      <w:rFonts w:ascii="仿宋_GB2312" w:eastAsia="仿宋_GB2312"/>
      <w:kern w:val="2"/>
      <w:sz w:val="32"/>
    </w:rPr>
  </w:style>
  <w:style w:type="character" w:customStyle="1" w:styleId="118">
    <w:name w:val="Char Char5"/>
    <w:qFormat/>
    <w:uiPriority w:val="0"/>
    <w:rPr>
      <w:rFonts w:ascii="Arial" w:hAnsi="Arial" w:eastAsia="宋体"/>
      <w:b/>
      <w:smallCaps/>
      <w:kern w:val="28"/>
      <w:sz w:val="36"/>
      <w:lang w:val="en-US" w:eastAsia="en-US"/>
    </w:rPr>
  </w:style>
  <w:style w:type="character" w:customStyle="1" w:styleId="119">
    <w:name w:val="param-name1"/>
    <w:qFormat/>
    <w:uiPriority w:val="99"/>
    <w:rPr>
      <w:b/>
    </w:rPr>
  </w:style>
  <w:style w:type="character" w:customStyle="1" w:styleId="120">
    <w:name w:val="v151"/>
    <w:qFormat/>
    <w:uiPriority w:val="0"/>
    <w:rPr>
      <w:sz w:val="18"/>
    </w:rPr>
  </w:style>
  <w:style w:type="character" w:customStyle="1" w:styleId="121">
    <w:name w:val="H2 Char"/>
    <w:qFormat/>
    <w:uiPriority w:val="99"/>
    <w:rPr>
      <w:rFonts w:ascii="Arial" w:hAnsi="Arial" w:eastAsia="宋体"/>
      <w:kern w:val="2"/>
      <w:sz w:val="28"/>
      <w:lang w:val="en-US" w:eastAsia="zh-CN"/>
    </w:rPr>
  </w:style>
  <w:style w:type="character" w:customStyle="1" w:styleId="122">
    <w:name w:val="小 Char"/>
    <w:qFormat/>
    <w:uiPriority w:val="0"/>
    <w:rPr>
      <w:rFonts w:ascii="宋体" w:hAnsi="Courier New" w:eastAsia="宋体"/>
      <w:kern w:val="2"/>
      <w:sz w:val="21"/>
      <w:lang w:val="en-US" w:eastAsia="zh-CN"/>
    </w:rPr>
  </w:style>
  <w:style w:type="character" w:customStyle="1" w:styleId="123">
    <w:name w:val="Char Char11"/>
    <w:qFormat/>
    <w:uiPriority w:val="99"/>
    <w:rPr>
      <w:rFonts w:ascii="宋体"/>
      <w:kern w:val="2"/>
      <w:sz w:val="28"/>
    </w:rPr>
  </w:style>
  <w:style w:type="character" w:customStyle="1" w:styleId="124">
    <w:name w:val="font1"/>
    <w:qFormat/>
    <w:uiPriority w:val="0"/>
    <w:rPr>
      <w:color w:val="000000"/>
      <w:sz w:val="18"/>
    </w:rPr>
  </w:style>
  <w:style w:type="character" w:customStyle="1" w:styleId="125">
    <w:name w:val="标书正文:  0.74 厘米 Char1"/>
    <w:qFormat/>
    <w:uiPriority w:val="0"/>
    <w:rPr>
      <w:rFonts w:eastAsia="宋体"/>
      <w:kern w:val="2"/>
      <w:sz w:val="24"/>
      <w:lang w:val="en-US" w:eastAsia="zh-CN"/>
    </w:rPr>
  </w:style>
  <w:style w:type="character" w:customStyle="1" w:styleId="126">
    <w:name w:val="Char Char7"/>
    <w:qFormat/>
    <w:uiPriority w:val="0"/>
    <w:rPr>
      <w:rFonts w:ascii="宋体" w:hAnsi="宋体" w:eastAsia="宋体"/>
      <w:kern w:val="2"/>
      <w:sz w:val="28"/>
    </w:rPr>
  </w:style>
  <w:style w:type="paragraph" w:customStyle="1" w:styleId="127">
    <w:name w:val="正文文本 21"/>
    <w:basedOn w:val="1"/>
    <w:qFormat/>
    <w:uiPriority w:val="0"/>
    <w:pPr>
      <w:adjustRightInd w:val="0"/>
      <w:spacing w:before="120" w:line="360" w:lineRule="auto"/>
      <w:ind w:firstLine="480"/>
      <w:textAlignment w:val="baseline"/>
    </w:pPr>
    <w:rPr>
      <w:sz w:val="24"/>
      <w:szCs w:val="24"/>
    </w:rPr>
  </w:style>
  <w:style w:type="paragraph" w:customStyle="1" w:styleId="12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szCs w:val="24"/>
    </w:rPr>
  </w:style>
  <w:style w:type="paragraph" w:customStyle="1" w:styleId="129">
    <w:name w:val="可研正文"/>
    <w:basedOn w:val="2"/>
    <w:qFormat/>
    <w:uiPriority w:val="0"/>
    <w:pPr>
      <w:adjustRightInd w:val="0"/>
      <w:snapToGrid w:val="0"/>
      <w:spacing w:after="0" w:line="440" w:lineRule="exact"/>
      <w:ind w:firstLine="567"/>
    </w:pPr>
    <w:rPr>
      <w:rFonts w:ascii="仿宋_GB2312" w:eastAsia="仿宋_GB2312" w:cs="仿宋_GB2312"/>
      <w:kern w:val="0"/>
      <w:sz w:val="20"/>
      <w:szCs w:val="20"/>
    </w:rPr>
  </w:style>
  <w:style w:type="paragraph" w:customStyle="1" w:styleId="130">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bCs/>
      <w:i/>
      <w:iCs/>
      <w:sz w:val="24"/>
      <w:szCs w:val="24"/>
    </w:rPr>
  </w:style>
  <w:style w:type="paragraph" w:customStyle="1" w:styleId="132">
    <w:name w:val="没有缩进（为图形使用）"/>
    <w:basedOn w:val="1"/>
    <w:qFormat/>
    <w:uiPriority w:val="0"/>
    <w:pPr>
      <w:spacing w:before="120" w:after="120" w:line="360" w:lineRule="auto"/>
    </w:pPr>
    <w:rPr>
      <w:sz w:val="24"/>
      <w:szCs w:val="24"/>
    </w:rPr>
  </w:style>
  <w:style w:type="paragraph" w:customStyle="1" w:styleId="133">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cs="Arial"/>
      <w:b/>
      <w:bCs/>
      <w:sz w:val="24"/>
      <w:szCs w:val="24"/>
    </w:rPr>
  </w:style>
  <w:style w:type="paragraph" w:customStyle="1" w:styleId="134">
    <w:name w:val="样式1xz"/>
    <w:basedOn w:val="1"/>
    <w:qFormat/>
    <w:uiPriority w:val="0"/>
    <w:pPr>
      <w:tabs>
        <w:tab w:val="left" w:pos="1050"/>
        <w:tab w:val="right" w:leader="dot" w:pos="8296"/>
      </w:tabs>
    </w:pPr>
    <w:rPr>
      <w:caps/>
      <w:spacing w:val="20"/>
      <w:sz w:val="24"/>
      <w:szCs w:val="24"/>
    </w:rPr>
  </w:style>
  <w:style w:type="paragraph" w:customStyle="1" w:styleId="135">
    <w:name w:val="简单回函地址"/>
    <w:basedOn w:val="1"/>
    <w:qFormat/>
    <w:uiPriority w:val="0"/>
    <w:pPr>
      <w:adjustRightInd w:val="0"/>
      <w:snapToGrid w:val="0"/>
      <w:spacing w:line="360" w:lineRule="auto"/>
    </w:pPr>
    <w:rPr>
      <w:sz w:val="24"/>
      <w:szCs w:val="24"/>
    </w:rPr>
  </w:style>
  <w:style w:type="paragraph" w:customStyle="1" w:styleId="136">
    <w:name w:val="Table Description"/>
    <w:next w:val="1"/>
    <w:qFormat/>
    <w:uiPriority w:val="0"/>
    <w:pPr>
      <w:keepNext/>
      <w:snapToGrid w:val="0"/>
      <w:spacing w:before="160" w:after="80"/>
      <w:ind w:left="1134"/>
      <w:jc w:val="center"/>
    </w:pPr>
    <w:rPr>
      <w:rFonts w:ascii="Arial" w:hAnsi="Arial" w:eastAsia="黑体" w:cs="Arial"/>
      <w:sz w:val="18"/>
      <w:szCs w:val="18"/>
      <w:lang w:val="en-US" w:eastAsia="zh-CN" w:bidi="ar-SA"/>
    </w:rPr>
  </w:style>
  <w:style w:type="paragraph" w:customStyle="1" w:styleId="137">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sz w:val="36"/>
      <w:szCs w:val="36"/>
    </w:rPr>
  </w:style>
  <w:style w:type="paragraph" w:customStyle="1" w:styleId="138">
    <w:name w:val="xl23"/>
    <w:basedOn w:val="1"/>
    <w:qFormat/>
    <w:uiPriority w:val="0"/>
    <w:pPr>
      <w:widowControl/>
      <w:spacing w:before="100" w:beforeAutospacing="1" w:after="100" w:afterAutospacing="1" w:line="360" w:lineRule="auto"/>
      <w:textAlignment w:val="top"/>
    </w:pPr>
    <w:rPr>
      <w:kern w:val="0"/>
      <w:sz w:val="24"/>
      <w:szCs w:val="24"/>
    </w:rPr>
  </w:style>
  <w:style w:type="paragraph" w:customStyle="1" w:styleId="139">
    <w:name w:val="Char Char14 Char Char"/>
    <w:basedOn w:val="1"/>
    <w:qFormat/>
    <w:uiPriority w:val="99"/>
    <w:rPr>
      <w:sz w:val="21"/>
      <w:szCs w:val="21"/>
    </w:rPr>
  </w:style>
  <w:style w:type="paragraph" w:customStyle="1" w:styleId="140">
    <w:name w:val="IN Feature"/>
    <w:next w:val="141"/>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141">
    <w:name w:val="IN Step"/>
    <w:basedOn w:val="1"/>
    <w:qFormat/>
    <w:uiPriority w:val="0"/>
    <w:pPr>
      <w:keepLines/>
      <w:widowControl/>
      <w:tabs>
        <w:tab w:val="left" w:pos="1134"/>
      </w:tabs>
      <w:spacing w:before="80" w:after="80" w:line="300" w:lineRule="auto"/>
      <w:ind w:left="1134" w:hanging="907"/>
      <w:outlineLvl w:val="8"/>
    </w:pPr>
    <w:rPr>
      <w:rFonts w:ascii="Arial" w:hAnsi="Arial" w:cs="Arial"/>
      <w:kern w:val="0"/>
      <w:sz w:val="21"/>
      <w:szCs w:val="21"/>
    </w:rPr>
  </w:style>
  <w:style w:type="paragraph" w:customStyle="1" w:styleId="142">
    <w:name w:val="正文4"/>
    <w:basedOn w:val="1"/>
    <w:qFormat/>
    <w:uiPriority w:val="0"/>
    <w:pPr>
      <w:tabs>
        <w:tab w:val="left" w:pos="1275"/>
      </w:tabs>
      <w:spacing w:before="60" w:after="60" w:line="360" w:lineRule="auto"/>
      <w:ind w:left="820" w:leftChars="400" w:hanging="705"/>
    </w:pPr>
    <w:rPr>
      <w:sz w:val="24"/>
      <w:szCs w:val="24"/>
    </w:rPr>
  </w:style>
  <w:style w:type="paragraph" w:customStyle="1" w:styleId="143">
    <w:name w:val="样式 样式 正文首行缩进 2 + 左  0 字符 + 首行缩进:  2.57 字符"/>
    <w:basedOn w:val="1"/>
    <w:next w:val="1"/>
    <w:qFormat/>
    <w:uiPriority w:val="0"/>
    <w:pPr>
      <w:adjustRightInd w:val="0"/>
      <w:snapToGrid w:val="0"/>
      <w:spacing w:after="120"/>
      <w:ind w:firstLine="540" w:firstLineChars="257"/>
    </w:pPr>
    <w:rPr>
      <w:sz w:val="21"/>
      <w:szCs w:val="21"/>
    </w:rPr>
  </w:style>
  <w:style w:type="paragraph" w:customStyle="1" w:styleId="144">
    <w:name w:val="一级条标题"/>
    <w:basedOn w:val="145"/>
    <w:next w:val="146"/>
    <w:qFormat/>
    <w:uiPriority w:val="99"/>
    <w:pPr>
      <w:spacing w:beforeLines="0" w:afterLines="0"/>
      <w:ind w:left="525"/>
      <w:outlineLvl w:val="2"/>
    </w:pPr>
    <w:rPr>
      <w:sz w:val="21"/>
      <w:szCs w:val="21"/>
    </w:rPr>
  </w:style>
  <w:style w:type="paragraph" w:customStyle="1" w:styleId="145">
    <w:name w:val="章标题"/>
    <w:next w:val="1"/>
    <w:qFormat/>
    <w:uiPriority w:val="0"/>
    <w:pPr>
      <w:spacing w:beforeLines="50" w:afterLines="50"/>
      <w:jc w:val="both"/>
      <w:outlineLvl w:val="1"/>
    </w:pPr>
    <w:rPr>
      <w:rFonts w:ascii="黑体" w:hAnsi="Times New Roman" w:eastAsia="黑体" w:cs="黑体"/>
      <w:sz w:val="24"/>
      <w:szCs w:val="24"/>
      <w:lang w:val="en-US" w:eastAsia="zh-CN" w:bidi="ar-SA"/>
    </w:rPr>
  </w:style>
  <w:style w:type="paragraph" w:customStyle="1" w:styleId="146">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47">
    <w:name w:val="文档正文"/>
    <w:basedOn w:val="1"/>
    <w:qFormat/>
    <w:uiPriority w:val="0"/>
    <w:pPr>
      <w:adjustRightInd w:val="0"/>
      <w:snapToGrid w:val="0"/>
      <w:spacing w:line="440" w:lineRule="exact"/>
      <w:ind w:firstLine="567"/>
      <w:textAlignment w:val="baseline"/>
    </w:pPr>
    <w:rPr>
      <w:rFonts w:ascii="Arial Narrow" w:hAnsi="Arial Narrow" w:cs="Arial Narrow"/>
      <w:kern w:val="0"/>
      <w:sz w:val="24"/>
      <w:szCs w:val="24"/>
    </w:rPr>
  </w:style>
  <w:style w:type="paragraph" w:customStyle="1" w:styleId="148">
    <w:name w:val="Note"/>
    <w:basedOn w:val="1"/>
    <w:qFormat/>
    <w:uiPriority w:val="0"/>
    <w:pPr>
      <w:pBdr>
        <w:top w:val="single" w:color="auto" w:sz="12" w:space="3"/>
        <w:bottom w:val="single" w:color="auto" w:sz="12" w:space="3"/>
      </w:pBdr>
      <w:spacing w:line="360" w:lineRule="auto"/>
    </w:pPr>
    <w:rPr>
      <w:sz w:val="24"/>
      <w:szCs w:val="24"/>
    </w:rPr>
  </w:style>
  <w:style w:type="paragraph" w:customStyle="1" w:styleId="149">
    <w:name w:val="图片文字"/>
    <w:basedOn w:val="1"/>
    <w:qFormat/>
    <w:uiPriority w:val="0"/>
    <w:pPr>
      <w:spacing w:line="240" w:lineRule="atLeast"/>
      <w:jc w:val="center"/>
    </w:pPr>
    <w:rPr>
      <w:sz w:val="21"/>
      <w:szCs w:val="21"/>
    </w:rPr>
  </w:style>
  <w:style w:type="paragraph" w:customStyle="1" w:styleId="150">
    <w:name w:val="二级条标题"/>
    <w:basedOn w:val="144"/>
    <w:next w:val="146"/>
    <w:qFormat/>
    <w:uiPriority w:val="99"/>
    <w:pPr>
      <w:ind w:left="840"/>
      <w:outlineLvl w:val="3"/>
    </w:pPr>
  </w:style>
  <w:style w:type="paragraph" w:customStyle="1" w:styleId="151">
    <w:name w:val="项目"/>
    <w:basedOn w:val="1"/>
    <w:qFormat/>
    <w:uiPriority w:val="0"/>
    <w:pPr>
      <w:tabs>
        <w:tab w:val="left" w:pos="1280"/>
      </w:tabs>
      <w:spacing w:before="120" w:after="120" w:line="360" w:lineRule="auto"/>
      <w:ind w:left="-7" w:firstLine="567"/>
      <w:jc w:val="left"/>
      <w:textAlignment w:val="baseline"/>
    </w:pPr>
    <w:rPr>
      <w:rFonts w:ascii="宋体" w:cs="宋体"/>
      <w:kern w:val="0"/>
      <w:sz w:val="24"/>
      <w:szCs w:val="24"/>
    </w:rPr>
  </w:style>
  <w:style w:type="paragraph" w:customStyle="1" w:styleId="152">
    <w:name w:val="表文字"/>
    <w:qFormat/>
    <w:uiPriority w:val="0"/>
    <w:rPr>
      <w:rFonts w:ascii="宋体" w:hAnsi="Times New Roman" w:eastAsia="宋体" w:cs="宋体"/>
      <w:kern w:val="2"/>
      <w:lang w:val="en-US" w:eastAsia="zh-CN" w:bidi="ar-SA"/>
    </w:rPr>
  </w:style>
  <w:style w:type="paragraph" w:customStyle="1" w:styleId="153">
    <w:name w:val="表头样式"/>
    <w:basedOn w:val="1"/>
    <w:qFormat/>
    <w:uiPriority w:val="0"/>
    <w:pPr>
      <w:autoSpaceDE w:val="0"/>
      <w:autoSpaceDN w:val="0"/>
      <w:adjustRightInd w:val="0"/>
      <w:spacing w:line="360" w:lineRule="auto"/>
      <w:jc w:val="left"/>
    </w:pPr>
    <w:rPr>
      <w:b/>
      <w:bCs/>
      <w:kern w:val="0"/>
      <w:sz w:val="21"/>
      <w:szCs w:val="21"/>
    </w:rPr>
  </w:style>
  <w:style w:type="paragraph" w:customStyle="1" w:styleId="154">
    <w:name w:val="Char Char Char1 Char Char Char Char Char Char Char Char Char Char Char Char Char"/>
    <w:basedOn w:val="1"/>
    <w:qFormat/>
    <w:uiPriority w:val="99"/>
    <w:pPr>
      <w:widowControl/>
      <w:spacing w:after="160" w:line="240" w:lineRule="exact"/>
      <w:jc w:val="left"/>
    </w:pPr>
    <w:rPr>
      <w:rFonts w:ascii="Verdana" w:hAnsi="Verdana" w:cs="Verdana"/>
      <w:kern w:val="0"/>
      <w:sz w:val="18"/>
      <w:szCs w:val="18"/>
      <w:lang w:eastAsia="en-US"/>
    </w:rPr>
  </w:style>
  <w:style w:type="paragraph" w:customStyle="1" w:styleId="155">
    <w:name w:val="标题5"/>
    <w:basedOn w:val="1"/>
    <w:qFormat/>
    <w:uiPriority w:val="0"/>
    <w:pPr>
      <w:tabs>
        <w:tab w:val="left" w:pos="0"/>
      </w:tabs>
      <w:autoSpaceDE w:val="0"/>
      <w:autoSpaceDN w:val="0"/>
      <w:adjustRightInd w:val="0"/>
      <w:snapToGrid w:val="0"/>
      <w:spacing w:line="320" w:lineRule="atLeast"/>
    </w:pPr>
    <w:rPr>
      <w:rFonts w:ascii="宋体" w:cs="宋体"/>
      <w:kern w:val="0"/>
      <w:sz w:val="21"/>
      <w:szCs w:val="21"/>
    </w:rPr>
  </w:style>
  <w:style w:type="paragraph" w:customStyle="1" w:styleId="156">
    <w:name w:val="标书正文:  0.74 厘米"/>
    <w:basedOn w:val="1"/>
    <w:qFormat/>
    <w:uiPriority w:val="0"/>
    <w:pPr>
      <w:snapToGrid w:val="0"/>
      <w:spacing w:line="360" w:lineRule="auto"/>
      <w:ind w:firstLine="420"/>
    </w:pPr>
    <w:rPr>
      <w:sz w:val="24"/>
      <w:szCs w:val="24"/>
    </w:rPr>
  </w:style>
  <w:style w:type="paragraph" w:customStyle="1" w:styleId="157">
    <w:name w:val="修订1"/>
    <w:qFormat/>
    <w:uiPriority w:val="0"/>
    <w:rPr>
      <w:rFonts w:ascii="Times New Roman" w:hAnsi="Times New Roman" w:eastAsia="宋体" w:cs="Times New Roman"/>
      <w:kern w:val="2"/>
      <w:sz w:val="21"/>
      <w:szCs w:val="21"/>
      <w:lang w:val="en-US" w:eastAsia="zh-CN" w:bidi="ar-SA"/>
    </w:rPr>
  </w:style>
  <w:style w:type="paragraph" w:customStyle="1" w:styleId="158">
    <w:name w:val="表号"/>
    <w:basedOn w:val="1"/>
    <w:qFormat/>
    <w:uiPriority w:val="0"/>
    <w:pPr>
      <w:tabs>
        <w:tab w:val="left" w:pos="648"/>
      </w:tabs>
      <w:autoSpaceDE w:val="0"/>
      <w:autoSpaceDN w:val="0"/>
      <w:adjustRightInd w:val="0"/>
      <w:spacing w:before="210" w:after="210"/>
      <w:ind w:left="425" w:hanging="137"/>
      <w:jc w:val="center"/>
    </w:pPr>
    <w:rPr>
      <w:kern w:val="0"/>
      <w:sz w:val="21"/>
      <w:szCs w:val="21"/>
      <w:lang w:eastAsia="en-US"/>
    </w:rPr>
  </w:style>
  <w:style w:type="paragraph" w:customStyle="1" w:styleId="159">
    <w:name w:val="列表项目"/>
    <w:basedOn w:val="1"/>
    <w:qFormat/>
    <w:uiPriority w:val="0"/>
    <w:pPr>
      <w:tabs>
        <w:tab w:val="left" w:pos="420"/>
      </w:tabs>
      <w:spacing w:line="288" w:lineRule="auto"/>
      <w:ind w:left="840" w:leftChars="200" w:hanging="420" w:hangingChars="200"/>
    </w:pPr>
    <w:rPr>
      <w:sz w:val="21"/>
      <w:szCs w:val="21"/>
    </w:rPr>
  </w:style>
  <w:style w:type="paragraph" w:customStyle="1" w:styleId="160">
    <w:name w:val="AA Numbering"/>
    <w:basedOn w:val="1"/>
    <w:qFormat/>
    <w:uiPriority w:val="0"/>
    <w:pPr>
      <w:widowControl/>
      <w:tabs>
        <w:tab w:val="left" w:pos="1134"/>
        <w:tab w:val="left" w:pos="1280"/>
      </w:tabs>
      <w:adjustRightInd w:val="0"/>
      <w:snapToGrid w:val="0"/>
      <w:spacing w:line="280" w:lineRule="atLeast"/>
      <w:jc w:val="left"/>
    </w:pPr>
    <w:rPr>
      <w:rFonts w:eastAsia="PMingLiUfalt"/>
      <w:kern w:val="0"/>
      <w:sz w:val="24"/>
      <w:szCs w:val="24"/>
      <w:lang w:eastAsia="zh-TW"/>
    </w:rPr>
  </w:style>
  <w:style w:type="paragraph" w:customStyle="1" w:styleId="161">
    <w:name w:val="样式 样式 首行缩进:  2 字符 + 首行缩进:  2 字符"/>
    <w:basedOn w:val="1"/>
    <w:qFormat/>
    <w:uiPriority w:val="0"/>
    <w:pPr>
      <w:spacing w:line="360" w:lineRule="auto"/>
      <w:ind w:firstLine="480" w:firstLineChars="200"/>
    </w:pPr>
    <w:rPr>
      <w:sz w:val="24"/>
      <w:szCs w:val="24"/>
    </w:rPr>
  </w:style>
  <w:style w:type="paragraph" w:customStyle="1" w:styleId="162">
    <w:name w:val="样式 标题 1 + 居中 段前: 6 磅 段后: 6 磅 行距: 1.5 倍行距"/>
    <w:basedOn w:val="3"/>
    <w:qFormat/>
    <w:uiPriority w:val="0"/>
    <w:pPr>
      <w:keepLines/>
      <w:adjustRightInd w:val="0"/>
      <w:spacing w:before="120" w:after="120" w:line="360" w:lineRule="auto"/>
      <w:jc w:val="center"/>
    </w:pPr>
    <w:rPr>
      <w:sz w:val="32"/>
      <w:szCs w:val="32"/>
    </w:rPr>
  </w:style>
  <w:style w:type="paragraph" w:customStyle="1" w:styleId="163">
    <w:name w:val="样式 标题 6第五层条 + 三号 段前: 0.5 行"/>
    <w:basedOn w:val="8"/>
    <w:qFormat/>
    <w:uiPriority w:val="0"/>
    <w:pPr>
      <w:widowControl/>
      <w:adjustRightInd/>
      <w:snapToGrid/>
      <w:spacing w:beforeLines="50"/>
      <w:jc w:val="left"/>
    </w:pPr>
    <w:rPr>
      <w:kern w:val="24"/>
      <w:sz w:val="28"/>
      <w:szCs w:val="28"/>
    </w:rPr>
  </w:style>
  <w:style w:type="paragraph" w:customStyle="1" w:styleId="164">
    <w:name w:val="关键词"/>
    <w:basedOn w:val="1"/>
    <w:next w:val="1"/>
    <w:qFormat/>
    <w:uiPriority w:val="0"/>
    <w:pPr>
      <w:spacing w:line="360" w:lineRule="auto"/>
    </w:pPr>
    <w:rPr>
      <w:rFonts w:eastAsia="黑体"/>
      <w:sz w:val="20"/>
      <w:szCs w:val="20"/>
    </w:rPr>
  </w:style>
  <w:style w:type="paragraph" w:customStyle="1" w:styleId="165">
    <w:name w:val="Char2 Char Char Char Char Char Char"/>
    <w:basedOn w:val="1"/>
    <w:qFormat/>
    <w:uiPriority w:val="99"/>
    <w:rPr>
      <w:rFonts w:ascii="仿宋_GB2312" w:cs="仿宋_GB2312"/>
      <w:b/>
      <w:bCs/>
      <w:sz w:val="30"/>
      <w:szCs w:val="30"/>
    </w:rPr>
  </w:style>
  <w:style w:type="paragraph" w:customStyle="1" w:styleId="166">
    <w:name w:val="Char Char Char"/>
    <w:basedOn w:val="1"/>
    <w:qFormat/>
    <w:uiPriority w:val="0"/>
    <w:rPr>
      <w:rFonts w:ascii="Tahoma" w:hAnsi="Tahoma" w:cs="Tahoma"/>
      <w:sz w:val="24"/>
      <w:szCs w:val="24"/>
    </w:rPr>
  </w:style>
  <w:style w:type="paragraph" w:customStyle="1" w:styleId="167">
    <w:name w:val="表头文本"/>
    <w:qFormat/>
    <w:uiPriority w:val="0"/>
    <w:pPr>
      <w:jc w:val="center"/>
    </w:pPr>
    <w:rPr>
      <w:rFonts w:ascii="Arial" w:hAnsi="Arial" w:eastAsia="宋体" w:cs="Arial"/>
      <w:b/>
      <w:bCs/>
      <w:sz w:val="21"/>
      <w:szCs w:val="21"/>
      <w:lang w:val="en-US" w:eastAsia="zh-CN" w:bidi="ar-SA"/>
    </w:rPr>
  </w:style>
  <w:style w:type="paragraph" w:customStyle="1" w:styleId="168">
    <w:name w:val="样式1"/>
    <w:basedOn w:val="6"/>
    <w:qFormat/>
    <w:uiPriority w:val="0"/>
    <w:pPr>
      <w:tabs>
        <w:tab w:val="left" w:pos="720"/>
      </w:tabs>
      <w:spacing w:before="500" w:after="260" w:line="560" w:lineRule="atLeast"/>
      <w:ind w:left="420" w:hanging="420"/>
    </w:pPr>
  </w:style>
  <w:style w:type="paragraph" w:customStyle="1" w:styleId="169">
    <w:name w:val="Char Char Char Char Char"/>
    <w:basedOn w:val="1"/>
    <w:qFormat/>
    <w:uiPriority w:val="0"/>
    <w:pPr>
      <w:tabs>
        <w:tab w:val="left" w:pos="425"/>
      </w:tabs>
      <w:ind w:left="1620" w:hanging="360"/>
    </w:pPr>
    <w:rPr>
      <w:rFonts w:ascii="Tahoma" w:hAnsi="Tahoma" w:cs="Tahoma"/>
      <w:sz w:val="24"/>
      <w:szCs w:val="24"/>
    </w:rPr>
  </w:style>
  <w:style w:type="paragraph" w:customStyle="1" w:styleId="170">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71">
    <w:name w:val="Char Char1 Char Char Char Char 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72">
    <w:name w:val="_Style 240"/>
    <w:basedOn w:val="1"/>
    <w:next w:val="1"/>
    <w:qFormat/>
    <w:uiPriority w:val="99"/>
    <w:pPr>
      <w:pBdr>
        <w:top w:val="single" w:color="auto" w:sz="6" w:space="1"/>
      </w:pBdr>
      <w:jc w:val="center"/>
    </w:pPr>
    <w:rPr>
      <w:rFonts w:ascii="Arial" w:cs="Arial"/>
      <w:vanish/>
      <w:sz w:val="16"/>
      <w:szCs w:val="16"/>
    </w:rPr>
  </w:style>
  <w:style w:type="paragraph" w:customStyle="1" w:styleId="173">
    <w:name w:val="Char"/>
    <w:basedOn w:val="1"/>
    <w:qFormat/>
    <w:uiPriority w:val="0"/>
    <w:pPr>
      <w:spacing w:line="240" w:lineRule="atLeast"/>
      <w:ind w:left="420" w:firstLine="420"/>
    </w:pPr>
    <w:rPr>
      <w:kern w:val="0"/>
      <w:sz w:val="21"/>
      <w:szCs w:val="21"/>
    </w:rPr>
  </w:style>
  <w:style w:type="paragraph" w:customStyle="1" w:styleId="174">
    <w:name w:val="摘要"/>
    <w:basedOn w:val="1"/>
    <w:next w:val="4"/>
    <w:qFormat/>
    <w:uiPriority w:val="0"/>
    <w:pPr>
      <w:spacing w:line="360" w:lineRule="auto"/>
    </w:pPr>
    <w:rPr>
      <w:rFonts w:eastAsia="黑体"/>
      <w:sz w:val="20"/>
      <w:szCs w:val="20"/>
    </w:rPr>
  </w:style>
  <w:style w:type="paragraph" w:customStyle="1" w:styleId="175">
    <w:name w:val="Char1"/>
    <w:basedOn w:val="1"/>
    <w:qFormat/>
    <w:uiPriority w:val="0"/>
    <w:rPr>
      <w:sz w:val="21"/>
      <w:szCs w:val="21"/>
    </w:rPr>
  </w:style>
  <w:style w:type="paragraph" w:customStyle="1" w:styleId="176">
    <w:name w:val="普通正文"/>
    <w:basedOn w:val="1"/>
    <w:qFormat/>
    <w:uiPriority w:val="0"/>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177">
    <w:name w:val="Style Heading 3h3Heading 3 - oldLevel 3 HeadH3level_3PIM 3se..."/>
    <w:basedOn w:val="5"/>
    <w:qFormat/>
    <w:uiPriority w:val="0"/>
    <w:pPr>
      <w:tabs>
        <w:tab w:val="left" w:pos="709"/>
        <w:tab w:val="left" w:pos="1620"/>
      </w:tabs>
      <w:ind w:left="1620" w:hanging="360"/>
    </w:pPr>
  </w:style>
  <w:style w:type="paragraph" w:customStyle="1" w:styleId="178">
    <w:name w:val="Title - Revision"/>
    <w:basedOn w:val="56"/>
    <w:qFormat/>
    <w:uiPriority w:val="0"/>
    <w:pPr>
      <w:spacing w:before="720"/>
    </w:pPr>
  </w:style>
  <w:style w:type="paragraph" w:customStyle="1" w:styleId="179">
    <w:name w:val="Char1 Char Char Char1"/>
    <w:basedOn w:val="1"/>
    <w:qFormat/>
    <w:uiPriority w:val="0"/>
    <w:rPr>
      <w:rFonts w:ascii="Tahoma" w:hAnsi="Tahoma" w:cs="Tahoma"/>
      <w:sz w:val="24"/>
      <w:szCs w:val="24"/>
    </w:rPr>
  </w:style>
  <w:style w:type="paragraph" w:customStyle="1" w:styleId="180">
    <w:name w:val="样式4"/>
    <w:basedOn w:val="6"/>
    <w:qFormat/>
    <w:uiPriority w:val="0"/>
    <w:pPr>
      <w:adjustRightInd w:val="0"/>
      <w:snapToGrid w:val="0"/>
    </w:pPr>
  </w:style>
  <w:style w:type="paragraph" w:customStyle="1" w:styleId="181">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cs="昆仑楷体"/>
      <w:kern w:val="0"/>
      <w:sz w:val="21"/>
      <w:szCs w:val="21"/>
    </w:rPr>
  </w:style>
  <w:style w:type="paragraph" w:customStyle="1" w:styleId="182">
    <w:name w:val="Char Char Char Char"/>
    <w:basedOn w:val="1"/>
    <w:qFormat/>
    <w:uiPriority w:val="0"/>
    <w:pPr>
      <w:pageBreakBefore/>
      <w:widowControl/>
      <w:spacing w:after="160" w:line="240" w:lineRule="exact"/>
      <w:jc w:val="left"/>
    </w:pPr>
    <w:rPr>
      <w:rFonts w:ascii="Verdana" w:hAnsi="Verdana" w:cs="Verdana"/>
      <w:kern w:val="0"/>
      <w:sz w:val="20"/>
      <w:szCs w:val="20"/>
      <w:lang w:eastAsia="en-US"/>
    </w:rPr>
  </w:style>
  <w:style w:type="paragraph" w:customStyle="1" w:styleId="183">
    <w:name w:val="首行缩进 1"/>
    <w:basedOn w:val="1"/>
    <w:qFormat/>
    <w:uiPriority w:val="0"/>
    <w:pPr>
      <w:spacing w:after="120" w:line="360" w:lineRule="auto"/>
      <w:ind w:firstLine="200" w:firstLineChars="200"/>
    </w:pPr>
    <w:rPr>
      <w:sz w:val="24"/>
      <w:szCs w:val="24"/>
    </w:rPr>
  </w:style>
  <w:style w:type="paragraph" w:customStyle="1" w:styleId="184">
    <w:name w:val="Char Char Char Char Char Char Char"/>
    <w:basedOn w:val="21"/>
    <w:qFormat/>
    <w:uiPriority w:val="0"/>
    <w:rPr>
      <w:rFonts w:ascii="宋体" w:hAnsi="Tahoma" w:cs="宋体"/>
    </w:rPr>
  </w:style>
  <w:style w:type="paragraph" w:customStyle="1" w:styleId="185">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s="宋体"/>
      <w:color w:val="000000"/>
      <w:kern w:val="0"/>
      <w:sz w:val="24"/>
      <w:szCs w:val="24"/>
    </w:rPr>
  </w:style>
  <w:style w:type="paragraph" w:customStyle="1" w:styleId="186">
    <w:name w:val="正文（首行不缩进）"/>
    <w:basedOn w:val="1"/>
    <w:qFormat/>
    <w:uiPriority w:val="0"/>
    <w:pPr>
      <w:autoSpaceDE w:val="0"/>
      <w:autoSpaceDN w:val="0"/>
      <w:adjustRightInd w:val="0"/>
      <w:spacing w:line="360" w:lineRule="auto"/>
      <w:jc w:val="left"/>
    </w:pPr>
    <w:rPr>
      <w:kern w:val="0"/>
      <w:sz w:val="21"/>
      <w:szCs w:val="21"/>
    </w:rPr>
  </w:style>
  <w:style w:type="paragraph" w:customStyle="1" w:styleId="187">
    <w:name w:val="默认段落字体 Para Char Char Char Char Char Char Char"/>
    <w:basedOn w:val="1"/>
    <w:qFormat/>
    <w:uiPriority w:val="0"/>
    <w:rPr>
      <w:rFonts w:ascii="Tahoma" w:hAnsi="Tahoma" w:cs="Tahoma"/>
      <w:sz w:val="24"/>
      <w:szCs w:val="24"/>
    </w:rPr>
  </w:style>
  <w:style w:type="paragraph" w:customStyle="1" w:styleId="188">
    <w:name w:val="段 Char"/>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189">
    <w:name w:val="正文表格"/>
    <w:basedOn w:val="1"/>
    <w:qFormat/>
    <w:uiPriority w:val="0"/>
    <w:pPr>
      <w:adjustRightInd w:val="0"/>
      <w:spacing w:before="40" w:after="40"/>
    </w:pPr>
    <w:rPr>
      <w:sz w:val="24"/>
      <w:szCs w:val="24"/>
    </w:rPr>
  </w:style>
  <w:style w:type="paragraph" w:customStyle="1" w:styleId="190">
    <w:name w:val="标题无"/>
    <w:basedOn w:val="1"/>
    <w:qFormat/>
    <w:uiPriority w:val="0"/>
    <w:pPr>
      <w:spacing w:line="360" w:lineRule="auto"/>
    </w:pPr>
    <w:rPr>
      <w:sz w:val="24"/>
      <w:szCs w:val="24"/>
    </w:rPr>
  </w:style>
  <w:style w:type="paragraph" w:customStyle="1" w:styleId="191">
    <w:name w:val="样式2"/>
    <w:basedOn w:val="6"/>
    <w:qFormat/>
    <w:uiPriority w:val="0"/>
    <w:pPr>
      <w:tabs>
        <w:tab w:val="left" w:pos="720"/>
      </w:tabs>
      <w:spacing w:before="560" w:line="400" w:lineRule="exact"/>
      <w:ind w:left="420" w:hanging="420"/>
      <w:jc w:val="center"/>
      <w:outlineLvl w:val="0"/>
    </w:pPr>
    <w:rPr>
      <w:b w:val="0"/>
      <w:sz w:val="44"/>
      <w:szCs w:val="44"/>
    </w:rPr>
  </w:style>
  <w:style w:type="paragraph" w:customStyle="1" w:styleId="192">
    <w:name w:val="正文 + 三号"/>
    <w:basedOn w:val="1"/>
    <w:qFormat/>
    <w:uiPriority w:val="0"/>
    <w:rPr>
      <w:sz w:val="21"/>
      <w:szCs w:val="21"/>
    </w:rPr>
  </w:style>
  <w:style w:type="paragraph" w:customStyle="1" w:styleId="193">
    <w:name w:val="1"/>
    <w:basedOn w:val="1"/>
    <w:next w:val="32"/>
    <w:qFormat/>
    <w:uiPriority w:val="0"/>
    <w:rPr>
      <w:rFonts w:ascii="宋体" w:hAnsi="Courier New" w:cs="宋体"/>
      <w:sz w:val="21"/>
      <w:szCs w:val="21"/>
    </w:rPr>
  </w:style>
  <w:style w:type="paragraph" w:customStyle="1" w:styleId="194">
    <w:name w:val="标题3——2"/>
    <w:basedOn w:val="5"/>
    <w:next w:val="16"/>
    <w:qFormat/>
    <w:uiPriority w:val="0"/>
    <w:pPr>
      <w:tabs>
        <w:tab w:val="left" w:pos="1280"/>
        <w:tab w:val="right" w:leader="dot" w:pos="8777"/>
      </w:tabs>
      <w:spacing w:beforeLines="100" w:after="0" w:line="240" w:lineRule="auto"/>
      <w:ind w:left="851" w:hanging="851"/>
      <w:outlineLvl w:val="9"/>
    </w:pPr>
    <w:rPr>
      <w:rFonts w:ascii="黑体" w:hAnsi="宋体" w:eastAsia="黑体" w:cs="黑体"/>
      <w:sz w:val="30"/>
      <w:szCs w:val="30"/>
    </w:rPr>
  </w:style>
  <w:style w:type="paragraph" w:customStyle="1" w:styleId="19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6">
    <w:name w:val="Table Contents"/>
    <w:basedOn w:val="2"/>
    <w:qFormat/>
    <w:uiPriority w:val="0"/>
    <w:pPr>
      <w:suppressAutoHyphens/>
      <w:spacing w:after="0"/>
      <w:jc w:val="left"/>
    </w:pPr>
    <w:rPr>
      <w:kern w:val="0"/>
      <w:sz w:val="24"/>
      <w:szCs w:val="24"/>
    </w:rPr>
  </w:style>
  <w:style w:type="paragraph" w:customStyle="1" w:styleId="197">
    <w:name w:val="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98">
    <w:name w:val="内容标题"/>
    <w:basedOn w:val="21"/>
    <w:qFormat/>
    <w:uiPriority w:val="0"/>
    <w:rPr>
      <w:rFonts w:ascii="Tahoma" w:hAnsi="Tahoma" w:cs="Tahoma"/>
      <w:sz w:val="24"/>
      <w:szCs w:val="24"/>
    </w:rPr>
  </w:style>
  <w:style w:type="paragraph" w:customStyle="1" w:styleId="199">
    <w:name w:val="段落正文"/>
    <w:basedOn w:val="1"/>
    <w:qFormat/>
    <w:uiPriority w:val="0"/>
    <w:pPr>
      <w:spacing w:beforeLines="50" w:line="360" w:lineRule="auto"/>
      <w:ind w:firstLine="200" w:firstLineChars="200"/>
    </w:pPr>
    <w:rPr>
      <w:spacing w:val="2"/>
      <w:sz w:val="24"/>
      <w:szCs w:val="24"/>
    </w:rPr>
  </w:style>
  <w:style w:type="paragraph" w:customStyle="1" w:styleId="200">
    <w:name w:val="Char Char 字元 字元 字元 Char Char Char Char"/>
    <w:basedOn w:val="1"/>
    <w:qFormat/>
    <w:uiPriority w:val="0"/>
    <w:pPr>
      <w:adjustRightInd w:val="0"/>
      <w:spacing w:line="360" w:lineRule="auto"/>
    </w:pPr>
    <w:rPr>
      <w:kern w:val="0"/>
      <w:sz w:val="24"/>
      <w:szCs w:val="24"/>
    </w:rPr>
  </w:style>
  <w:style w:type="paragraph" w:customStyle="1" w:styleId="201">
    <w:name w:val="附录3"/>
    <w:basedOn w:val="1"/>
    <w:next w:val="1"/>
    <w:qFormat/>
    <w:uiPriority w:val="0"/>
    <w:pPr>
      <w:tabs>
        <w:tab w:val="left" w:pos="851"/>
      </w:tabs>
      <w:ind w:left="425" w:hanging="425"/>
      <w:outlineLvl w:val="2"/>
    </w:pPr>
    <w:rPr>
      <w:rFonts w:eastAsia="黑体"/>
      <w:b/>
      <w:bCs/>
      <w:sz w:val="32"/>
      <w:szCs w:val="32"/>
    </w:rPr>
  </w:style>
  <w:style w:type="paragraph" w:customStyle="1" w:styleId="202">
    <w:name w:val="样式 首行缩进:  0.74 厘米"/>
    <w:basedOn w:val="1"/>
    <w:qFormat/>
    <w:uiPriority w:val="0"/>
    <w:pPr>
      <w:spacing w:line="360" w:lineRule="auto"/>
      <w:ind w:firstLine="420"/>
    </w:pPr>
    <w:rPr>
      <w:sz w:val="24"/>
      <w:szCs w:val="24"/>
    </w:rPr>
  </w:style>
  <w:style w:type="paragraph" w:customStyle="1" w:styleId="203">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cs="宋体"/>
      <w:kern w:val="0"/>
      <w:sz w:val="20"/>
      <w:szCs w:val="20"/>
    </w:rPr>
  </w:style>
  <w:style w:type="paragraph" w:customStyle="1" w:styleId="204">
    <w:name w:val="Char2"/>
    <w:basedOn w:val="1"/>
    <w:qFormat/>
    <w:uiPriority w:val="0"/>
    <w:pPr>
      <w:spacing w:line="240" w:lineRule="atLeast"/>
      <w:ind w:left="420" w:firstLine="420"/>
    </w:pPr>
    <w:rPr>
      <w:kern w:val="0"/>
      <w:sz w:val="21"/>
      <w:szCs w:val="21"/>
    </w:rPr>
  </w:style>
  <w:style w:type="paragraph" w:customStyle="1" w:styleId="205">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1"/>
      <w:szCs w:val="21"/>
    </w:rPr>
  </w:style>
  <w:style w:type="paragraph" w:customStyle="1" w:styleId="20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cs="宋体"/>
      <w:kern w:val="0"/>
      <w:sz w:val="18"/>
      <w:szCs w:val="18"/>
    </w:rPr>
  </w:style>
  <w:style w:type="paragraph" w:customStyle="1" w:styleId="207">
    <w:name w:val="首行缩进"/>
    <w:basedOn w:val="1"/>
    <w:qFormat/>
    <w:uiPriority w:val="0"/>
    <w:pPr>
      <w:tabs>
        <w:tab w:val="left" w:pos="540"/>
      </w:tabs>
      <w:spacing w:line="360" w:lineRule="auto"/>
      <w:ind w:left="540"/>
    </w:pPr>
    <w:rPr>
      <w:rFonts w:eastAsia="仿宋_GB2312"/>
    </w:rPr>
  </w:style>
  <w:style w:type="paragraph" w:customStyle="1" w:styleId="208">
    <w:name w:val="表格文本"/>
    <w:qFormat/>
    <w:uiPriority w:val="0"/>
    <w:pPr>
      <w:tabs>
        <w:tab w:val="decimal" w:pos="0"/>
      </w:tabs>
    </w:pPr>
    <w:rPr>
      <w:rFonts w:ascii="Arial" w:hAnsi="Arial" w:eastAsia="宋体" w:cs="Arial"/>
      <w:sz w:val="21"/>
      <w:szCs w:val="21"/>
      <w:lang w:val="en-US" w:eastAsia="zh-CN" w:bidi="ar-SA"/>
    </w:rPr>
  </w:style>
  <w:style w:type="paragraph" w:customStyle="1" w:styleId="209">
    <w:name w:val="文档正文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10">
    <w:name w:val="标题2"/>
    <w:basedOn w:val="4"/>
    <w:qFormat/>
    <w:uiPriority w:val="0"/>
    <w:pPr>
      <w:keepNext w:val="0"/>
      <w:keepLines w:val="0"/>
      <w:adjustRightInd w:val="0"/>
      <w:snapToGrid w:val="0"/>
      <w:spacing w:before="0" w:after="0" w:line="360" w:lineRule="auto"/>
      <w:ind w:firstLine="574" w:firstLineChars="196"/>
      <w:outlineLvl w:val="9"/>
    </w:pPr>
    <w:rPr>
      <w:rFonts w:ascii="宋体" w:hAnsi="宋体" w:eastAsia="宋体" w:cs="宋体"/>
      <w:spacing w:val="6"/>
      <w:sz w:val="28"/>
      <w:szCs w:val="28"/>
      <w:u w:val="single"/>
    </w:rPr>
  </w:style>
  <w:style w:type="paragraph" w:customStyle="1" w:styleId="211">
    <w:name w:val="Char Char1 Char"/>
    <w:basedOn w:val="1"/>
    <w:qFormat/>
    <w:uiPriority w:val="0"/>
    <w:rPr>
      <w:rFonts w:ascii="Tahoma" w:hAnsi="Tahoma" w:cs="Tahoma"/>
      <w:sz w:val="24"/>
      <w:szCs w:val="24"/>
    </w:rPr>
  </w:style>
  <w:style w:type="paragraph" w:customStyle="1" w:styleId="21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13">
    <w:name w:val="Table Text Char1"/>
    <w:qFormat/>
    <w:uiPriority w:val="0"/>
    <w:pPr>
      <w:snapToGrid w:val="0"/>
      <w:spacing w:before="80" w:after="80"/>
    </w:pPr>
    <w:rPr>
      <w:rFonts w:ascii="Arial" w:hAnsi="Arial" w:eastAsia="宋体" w:cs="Arial"/>
      <w:kern w:val="2"/>
      <w:sz w:val="18"/>
      <w:szCs w:val="18"/>
      <w:lang w:val="en-US" w:eastAsia="zh-CN" w:bidi="ar-SA"/>
    </w:rPr>
  </w:style>
  <w:style w:type="paragraph" w:customStyle="1" w:styleId="214">
    <w:name w:val="content"/>
    <w:basedOn w:val="1"/>
    <w:qFormat/>
    <w:uiPriority w:val="0"/>
    <w:pPr>
      <w:widowControl/>
      <w:spacing w:before="100" w:beforeAutospacing="1" w:after="100" w:afterAutospacing="1" w:line="280" w:lineRule="atLeast"/>
      <w:ind w:firstLine="375"/>
      <w:jc w:val="left"/>
    </w:pPr>
    <w:rPr>
      <w:rFonts w:ascii="宋体" w:hAnsi="宋体" w:cs="宋体"/>
      <w:color w:val="000000"/>
      <w:kern w:val="0"/>
      <w:sz w:val="18"/>
      <w:szCs w:val="18"/>
    </w:rPr>
  </w:style>
  <w:style w:type="paragraph" w:customStyle="1" w:styleId="215">
    <w:name w:val="正文文本缩进 21"/>
    <w:basedOn w:val="1"/>
    <w:qFormat/>
    <w:uiPriority w:val="0"/>
    <w:pPr>
      <w:adjustRightInd w:val="0"/>
      <w:spacing w:before="120"/>
      <w:ind w:firstLine="420"/>
      <w:textAlignment w:val="baseline"/>
    </w:pPr>
    <w:rPr>
      <w:sz w:val="24"/>
      <w:szCs w:val="24"/>
    </w:rPr>
  </w:style>
  <w:style w:type="paragraph" w:customStyle="1" w:styleId="216">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217">
    <w:name w:val="文本1"/>
    <w:basedOn w:val="1"/>
    <w:qFormat/>
    <w:uiPriority w:val="0"/>
    <w:pPr>
      <w:adjustRightInd w:val="0"/>
      <w:spacing w:line="312" w:lineRule="atLeast"/>
      <w:jc w:val="center"/>
      <w:textAlignment w:val="baseline"/>
    </w:pPr>
    <w:rPr>
      <w:kern w:val="0"/>
      <w:sz w:val="18"/>
      <w:szCs w:val="18"/>
    </w:rPr>
  </w:style>
  <w:style w:type="paragraph" w:customStyle="1" w:styleId="218">
    <w:name w:val="样式 宋体 五号 两端对齐 行距: 单倍行距"/>
    <w:basedOn w:val="1"/>
    <w:qFormat/>
    <w:uiPriority w:val="0"/>
    <w:pPr>
      <w:adjustRightInd w:val="0"/>
      <w:textAlignment w:val="baseline"/>
    </w:pPr>
    <w:rPr>
      <w:rFonts w:ascii="宋体" w:hAnsi="宋体" w:cs="宋体"/>
      <w:kern w:val="0"/>
      <w:sz w:val="21"/>
      <w:szCs w:val="21"/>
    </w:rPr>
  </w:style>
  <w:style w:type="paragraph" w:customStyle="1" w:styleId="219">
    <w:name w:val="Figure Description"/>
    <w:next w:val="1"/>
    <w:qFormat/>
    <w:uiPriority w:val="0"/>
    <w:pPr>
      <w:snapToGrid w:val="0"/>
      <w:spacing w:before="80" w:after="320"/>
      <w:ind w:left="1134"/>
      <w:jc w:val="center"/>
    </w:pPr>
    <w:rPr>
      <w:rFonts w:ascii="Arial" w:hAnsi="Arial" w:eastAsia="黑体" w:cs="Arial"/>
      <w:sz w:val="18"/>
      <w:szCs w:val="18"/>
      <w:lang w:val="en-US" w:eastAsia="zh-CN" w:bidi="ar-SA"/>
    </w:rPr>
  </w:style>
  <w:style w:type="paragraph" w:customStyle="1" w:styleId="220">
    <w:name w:val="文档正文 Char Char Char Char Char"/>
    <w:basedOn w:val="1"/>
    <w:qFormat/>
    <w:uiPriority w:val="0"/>
    <w:pPr>
      <w:adjustRightInd w:val="0"/>
      <w:spacing w:line="440" w:lineRule="exact"/>
      <w:ind w:firstLine="420"/>
      <w:textAlignment w:val="baseline"/>
    </w:pPr>
    <w:rPr>
      <w:rFonts w:ascii="Arial Narrow" w:hAnsi="Arial Narrow" w:cs="Arial Narrow"/>
      <w:kern w:val="0"/>
      <w:sz w:val="24"/>
      <w:szCs w:val="24"/>
    </w:rPr>
  </w:style>
  <w:style w:type="paragraph" w:customStyle="1" w:styleId="221">
    <w:name w:val="Char Char Char Char Char Char Char Char Char Char Char Char Char Char Char Char"/>
    <w:basedOn w:val="1"/>
    <w:qFormat/>
    <w:uiPriority w:val="99"/>
    <w:pPr>
      <w:tabs>
        <w:tab w:val="left" w:pos="360"/>
      </w:tabs>
    </w:pPr>
    <w:rPr>
      <w:sz w:val="24"/>
      <w:szCs w:val="24"/>
    </w:rPr>
  </w:style>
  <w:style w:type="paragraph" w:customStyle="1" w:styleId="222">
    <w:name w:val="00"/>
    <w:basedOn w:val="1"/>
    <w:qFormat/>
    <w:uiPriority w:val="0"/>
    <w:pPr>
      <w:autoSpaceDE w:val="0"/>
      <w:autoSpaceDN w:val="0"/>
      <w:adjustRightInd w:val="0"/>
      <w:jc w:val="left"/>
    </w:pPr>
    <w:rPr>
      <w:rFonts w:ascii="黑体" w:eastAsia="黑体" w:cs="黑体"/>
      <w:b/>
      <w:bCs/>
      <w:kern w:val="0"/>
      <w:sz w:val="20"/>
      <w:szCs w:val="20"/>
    </w:rPr>
  </w:style>
  <w:style w:type="paragraph" w:customStyle="1" w:styleId="223">
    <w:name w:val="Char Char Char Char Char Char1 Char"/>
    <w:basedOn w:val="1"/>
    <w:qFormat/>
    <w:uiPriority w:val="0"/>
    <w:pPr>
      <w:widowControl/>
      <w:spacing w:after="160" w:line="240" w:lineRule="exact"/>
      <w:jc w:val="left"/>
    </w:pPr>
    <w:rPr>
      <w:rFonts w:ascii="Verdana" w:hAnsi="Verdana" w:cs="Verdana"/>
      <w:kern w:val="0"/>
      <w:sz w:val="21"/>
      <w:szCs w:val="21"/>
      <w:lang w:eastAsia="en-US"/>
    </w:rPr>
  </w:style>
  <w:style w:type="paragraph" w:customStyle="1" w:styleId="224">
    <w:name w:val="Char1 Char Char Char"/>
    <w:basedOn w:val="1"/>
    <w:qFormat/>
    <w:uiPriority w:val="0"/>
    <w:rPr>
      <w:rFonts w:ascii="Tahoma" w:hAnsi="Tahoma" w:cs="Tahoma"/>
      <w:sz w:val="30"/>
      <w:szCs w:val="30"/>
    </w:rPr>
  </w:style>
  <w:style w:type="paragraph" w:customStyle="1" w:styleId="225">
    <w:name w:val="小标题 1"/>
    <w:basedOn w:val="1"/>
    <w:qFormat/>
    <w:uiPriority w:val="0"/>
    <w:pPr>
      <w:autoSpaceDE w:val="0"/>
      <w:autoSpaceDN w:val="0"/>
      <w:adjustRightInd w:val="0"/>
      <w:spacing w:line="360" w:lineRule="atLeast"/>
    </w:pPr>
    <w:rPr>
      <w:rFonts w:ascii="文鼎粗黑" w:eastAsia="文鼎粗黑" w:cs="文鼎粗黑"/>
      <w:kern w:val="0"/>
      <w:sz w:val="22"/>
      <w:szCs w:val="22"/>
    </w:rPr>
  </w:style>
  <w:style w:type="paragraph" w:customStyle="1" w:styleId="226">
    <w:name w:val="Table Heading"/>
    <w:qFormat/>
    <w:uiPriority w:val="0"/>
    <w:pPr>
      <w:keepNext/>
      <w:snapToGrid w:val="0"/>
      <w:spacing w:before="80" w:after="80"/>
      <w:jc w:val="center"/>
    </w:pPr>
    <w:rPr>
      <w:rFonts w:ascii="Arial" w:hAnsi="Arial" w:eastAsia="黑体" w:cs="Arial"/>
      <w:sz w:val="18"/>
      <w:szCs w:val="18"/>
      <w:lang w:val="en-US" w:eastAsia="zh-CN" w:bidi="ar-SA"/>
    </w:rPr>
  </w:style>
  <w:style w:type="paragraph" w:customStyle="1" w:styleId="227">
    <w:name w:val="_"/>
    <w:basedOn w:val="1"/>
    <w:qFormat/>
    <w:uiPriority w:val="0"/>
    <w:pPr>
      <w:adjustRightInd w:val="0"/>
      <w:spacing w:line="360" w:lineRule="auto"/>
      <w:ind w:left="480" w:firstLine="200" w:firstLineChars="200"/>
      <w:textAlignment w:val="baseline"/>
    </w:pPr>
    <w:rPr>
      <w:kern w:val="0"/>
      <w:sz w:val="24"/>
      <w:szCs w:val="24"/>
    </w:rPr>
  </w:style>
  <w:style w:type="paragraph" w:customStyle="1" w:styleId="228">
    <w:name w:val="样式3"/>
    <w:basedOn w:val="3"/>
    <w:next w:val="3"/>
    <w:qFormat/>
    <w:uiPriority w:val="0"/>
    <w:pPr>
      <w:keepLines/>
      <w:adjustRightInd w:val="0"/>
      <w:spacing w:before="340" w:after="330" w:line="576" w:lineRule="auto"/>
    </w:pPr>
    <w:rPr>
      <w:rFonts w:eastAsia="黑体"/>
    </w:rPr>
  </w:style>
  <w:style w:type="paragraph" w:customStyle="1" w:styleId="229">
    <w:name w:val="1.正文"/>
    <w:basedOn w:val="1"/>
    <w:qFormat/>
    <w:uiPriority w:val="0"/>
    <w:pPr>
      <w:spacing w:line="360" w:lineRule="auto"/>
      <w:ind w:left="540" w:leftChars="225" w:firstLine="540" w:firstLineChars="225"/>
    </w:pPr>
    <w:rPr>
      <w:sz w:val="24"/>
      <w:szCs w:val="24"/>
    </w:rPr>
  </w:style>
  <w:style w:type="paragraph" w:customStyle="1" w:styleId="230">
    <w:name w:val="附录1"/>
    <w:basedOn w:val="1"/>
    <w:next w:val="1"/>
    <w:qFormat/>
    <w:uiPriority w:val="0"/>
    <w:pPr>
      <w:tabs>
        <w:tab w:val="left" w:pos="1304"/>
      </w:tabs>
      <w:ind w:left="425" w:hanging="425"/>
      <w:outlineLvl w:val="0"/>
    </w:pPr>
    <w:rPr>
      <w:rFonts w:ascii="黑体" w:hAnsi="黑体" w:eastAsia="黑体" w:cs="黑体"/>
      <w:b/>
      <w:bCs/>
      <w:sz w:val="44"/>
      <w:szCs w:val="44"/>
    </w:rPr>
  </w:style>
  <w:style w:type="paragraph" w:customStyle="1" w:styleId="231">
    <w:name w:val="默认段落字体 Para Char Char Char Char Char Char Char Char Char1 Char Char Char Char"/>
    <w:basedOn w:val="1"/>
    <w:qFormat/>
    <w:uiPriority w:val="0"/>
    <w:rPr>
      <w:rFonts w:ascii="Tahoma" w:hAnsi="Tahoma" w:cs="Tahoma"/>
      <w:sz w:val="24"/>
      <w:szCs w:val="24"/>
    </w:rPr>
  </w:style>
  <w:style w:type="paragraph" w:customStyle="1" w:styleId="232">
    <w:name w:val="CSS1级正文 Char"/>
    <w:basedOn w:val="2"/>
    <w:qFormat/>
    <w:uiPriority w:val="0"/>
    <w:pPr>
      <w:adjustRightInd w:val="0"/>
      <w:snapToGrid w:val="0"/>
      <w:spacing w:after="0" w:line="360" w:lineRule="auto"/>
      <w:ind w:firstLine="480"/>
    </w:pPr>
    <w:rPr>
      <w:kern w:val="0"/>
      <w:sz w:val="24"/>
      <w:szCs w:val="24"/>
    </w:rPr>
  </w:style>
  <w:style w:type="paragraph" w:customStyle="1" w:styleId="233">
    <w:name w:val="Item Step in Table"/>
    <w:qFormat/>
    <w:uiPriority w:val="0"/>
    <w:pPr>
      <w:tabs>
        <w:tab w:val="left" w:pos="397"/>
      </w:tabs>
      <w:spacing w:before="40" w:after="40"/>
      <w:jc w:val="both"/>
    </w:pPr>
    <w:rPr>
      <w:rFonts w:ascii="Arial" w:hAnsi="Arial" w:eastAsia="宋体" w:cs="Arial"/>
      <w:sz w:val="18"/>
      <w:szCs w:val="18"/>
      <w:lang w:val="en-US" w:eastAsia="zh-CN" w:bidi="ar-SA"/>
    </w:rPr>
  </w:style>
  <w:style w:type="paragraph" w:customStyle="1" w:styleId="234">
    <w:name w:val="司法正文"/>
    <w:qFormat/>
    <w:uiPriority w:val="99"/>
    <w:pPr>
      <w:widowControl w:val="0"/>
      <w:ind w:firstLine="200" w:firstLineChars="200"/>
      <w:jc w:val="both"/>
    </w:pPr>
    <w:rPr>
      <w:rFonts w:ascii="Times New Roman" w:hAnsi="Times New Roman" w:eastAsia="仿宋_GB2312" w:cs="Times New Roman"/>
      <w:sz w:val="32"/>
      <w:szCs w:val="32"/>
      <w:lang w:val="en-US" w:eastAsia="zh-CN" w:bidi="ar-SA"/>
    </w:rPr>
  </w:style>
  <w:style w:type="paragraph" w:customStyle="1" w:styleId="235">
    <w:name w:val="Item Step"/>
    <w:qFormat/>
    <w:uiPriority w:val="0"/>
    <w:pPr>
      <w:tabs>
        <w:tab w:val="left" w:pos="1644"/>
      </w:tabs>
      <w:ind w:left="1644" w:hanging="510"/>
      <w:outlineLvl w:val="4"/>
    </w:pPr>
    <w:rPr>
      <w:rFonts w:ascii="Arial" w:hAnsi="Arial" w:eastAsia="宋体" w:cs="Arial"/>
      <w:sz w:val="21"/>
      <w:szCs w:val="21"/>
      <w:lang w:val="en-US" w:eastAsia="zh-CN" w:bidi="ar-SA"/>
    </w:rPr>
  </w:style>
  <w:style w:type="paragraph" w:customStyle="1" w:styleId="236">
    <w:name w:val="正文1"/>
    <w:basedOn w:val="1"/>
    <w:qFormat/>
    <w:uiPriority w:val="0"/>
    <w:pPr>
      <w:spacing w:line="300" w:lineRule="auto"/>
      <w:ind w:firstLine="200" w:firstLineChars="200"/>
    </w:pPr>
    <w:rPr>
      <w:sz w:val="24"/>
      <w:szCs w:val="24"/>
    </w:rPr>
  </w:style>
  <w:style w:type="paragraph" w:customStyle="1" w:styleId="237">
    <w:name w:val="样式 行距: 1.5 倍行距1"/>
    <w:basedOn w:val="1"/>
    <w:qFormat/>
    <w:uiPriority w:val="0"/>
    <w:pPr>
      <w:snapToGrid w:val="0"/>
    </w:pPr>
    <w:rPr>
      <w:sz w:val="21"/>
      <w:szCs w:val="21"/>
    </w:rPr>
  </w:style>
  <w:style w:type="paragraph" w:customStyle="1" w:styleId="238">
    <w:name w:val="样式 宋体 五号 行距: 单倍行距"/>
    <w:basedOn w:val="1"/>
    <w:qFormat/>
    <w:uiPriority w:val="0"/>
    <w:pPr>
      <w:adjustRightInd w:val="0"/>
      <w:jc w:val="left"/>
    </w:pPr>
    <w:rPr>
      <w:rFonts w:ascii="宋体" w:hAnsi="宋体" w:cs="宋体"/>
      <w:kern w:val="0"/>
      <w:sz w:val="21"/>
      <w:szCs w:val="21"/>
    </w:rPr>
  </w:style>
  <w:style w:type="paragraph" w:customStyle="1" w:styleId="239">
    <w:name w:val="Item List"/>
    <w:qFormat/>
    <w:uiPriority w:val="0"/>
    <w:pPr>
      <w:tabs>
        <w:tab w:val="left" w:pos="1644"/>
      </w:tabs>
      <w:spacing w:line="300" w:lineRule="auto"/>
      <w:ind w:left="1644" w:hanging="510"/>
      <w:jc w:val="both"/>
    </w:pPr>
    <w:rPr>
      <w:rFonts w:ascii="Arial" w:hAnsi="Arial" w:eastAsia="宋体" w:cs="Arial"/>
      <w:sz w:val="21"/>
      <w:szCs w:val="21"/>
      <w:lang w:val="en-US" w:eastAsia="zh-CN" w:bidi="ar-SA"/>
    </w:rPr>
  </w:style>
  <w:style w:type="paragraph" w:customStyle="1" w:styleId="240">
    <w:name w:val="附录2"/>
    <w:basedOn w:val="1"/>
    <w:next w:val="1"/>
    <w:qFormat/>
    <w:uiPriority w:val="0"/>
    <w:pPr>
      <w:tabs>
        <w:tab w:val="left" w:pos="420"/>
        <w:tab w:val="left" w:pos="624"/>
      </w:tabs>
      <w:ind w:left="420" w:hanging="420"/>
      <w:outlineLvl w:val="1"/>
    </w:pPr>
    <w:rPr>
      <w:rFonts w:ascii="黑体" w:hAnsi="黑体" w:eastAsia="黑体" w:cs="黑体"/>
      <w:b/>
      <w:bCs/>
      <w:sz w:val="32"/>
      <w:szCs w:val="32"/>
    </w:rPr>
  </w:style>
  <w:style w:type="paragraph" w:customStyle="1" w:styleId="241">
    <w:name w:val="样式 正文缩进正文（首行缩进两字）表正文正文非缩进特点标题4段1 + 首行缩进:  2 字符"/>
    <w:basedOn w:val="19"/>
    <w:qFormat/>
    <w:uiPriority w:val="0"/>
    <w:pPr>
      <w:ind w:firstLine="480" w:firstLineChars="200"/>
    </w:pPr>
  </w:style>
  <w:style w:type="paragraph" w:customStyle="1" w:styleId="242">
    <w:name w:val="style1"/>
    <w:basedOn w:val="1"/>
    <w:qFormat/>
    <w:uiPriority w:val="0"/>
    <w:pPr>
      <w:widowControl/>
      <w:spacing w:before="100" w:beforeAutospacing="1" w:after="100" w:afterAutospacing="1"/>
      <w:jc w:val="left"/>
    </w:pPr>
    <w:rPr>
      <w:rFonts w:ascii="宋体" w:hAnsi="宋体" w:cs="宋体"/>
      <w:kern w:val="0"/>
      <w:sz w:val="21"/>
      <w:szCs w:val="21"/>
    </w:rPr>
  </w:style>
  <w:style w:type="paragraph" w:customStyle="1" w:styleId="243">
    <w:name w:val="标准正文"/>
    <w:basedOn w:val="25"/>
    <w:qFormat/>
    <w:uiPriority w:val="0"/>
    <w:pPr>
      <w:spacing w:before="60" w:after="60" w:line="360" w:lineRule="auto"/>
      <w:ind w:left="0" w:firstLine="482"/>
    </w:pPr>
    <w:rPr>
      <w:rFonts w:ascii="Arial" w:hAnsi="Arial" w:cs="Arial"/>
      <w:sz w:val="24"/>
      <w:szCs w:val="24"/>
    </w:rPr>
  </w:style>
  <w:style w:type="paragraph" w:customStyle="1" w:styleId="244">
    <w:name w:val="正文字缩2字"/>
    <w:basedOn w:val="1"/>
    <w:qFormat/>
    <w:uiPriority w:val="0"/>
    <w:pPr>
      <w:spacing w:before="60" w:after="60" w:line="360" w:lineRule="auto"/>
      <w:ind w:left="200" w:leftChars="200" w:firstLine="200" w:firstLineChars="200"/>
    </w:pPr>
    <w:rPr>
      <w:sz w:val="24"/>
      <w:szCs w:val="24"/>
    </w:rPr>
  </w:style>
  <w:style w:type="paragraph" w:customStyle="1" w:styleId="245">
    <w:name w:val="Title - Date"/>
    <w:basedOn w:val="56"/>
    <w:next w:val="1"/>
    <w:qFormat/>
    <w:uiPriority w:val="0"/>
    <w:pPr>
      <w:spacing w:before="240" w:after="720"/>
    </w:pPr>
    <w:rPr>
      <w:sz w:val="28"/>
      <w:szCs w:val="28"/>
    </w:rPr>
  </w:style>
  <w:style w:type="paragraph" w:customStyle="1" w:styleId="246">
    <w:name w:val="List Paragraph1"/>
    <w:basedOn w:val="1"/>
    <w:qFormat/>
    <w:uiPriority w:val="99"/>
    <w:pPr>
      <w:ind w:firstLine="420" w:firstLineChars="200"/>
    </w:pPr>
  </w:style>
  <w:style w:type="paragraph" w:customStyle="1" w:styleId="247">
    <w:name w:val="Table Text Char Char"/>
    <w:qFormat/>
    <w:uiPriority w:val="0"/>
    <w:pPr>
      <w:snapToGrid w:val="0"/>
      <w:spacing w:before="80" w:after="80"/>
    </w:pPr>
    <w:rPr>
      <w:rFonts w:ascii="Arial" w:hAnsi="Arial" w:eastAsia="宋体" w:cs="Arial"/>
      <w:kern w:val="2"/>
      <w:sz w:val="18"/>
      <w:szCs w:val="18"/>
      <w:lang w:val="en-US" w:eastAsia="zh-CN" w:bidi="ar-SA"/>
    </w:rPr>
  </w:style>
  <w:style w:type="paragraph" w:customStyle="1" w:styleId="248">
    <w:name w:val="附录4"/>
    <w:basedOn w:val="1"/>
    <w:next w:val="1"/>
    <w:qFormat/>
    <w:uiPriority w:val="0"/>
    <w:pPr>
      <w:widowControl/>
      <w:tabs>
        <w:tab w:val="left" w:pos="1134"/>
      </w:tabs>
      <w:spacing w:line="300" w:lineRule="auto"/>
      <w:ind w:left="1361" w:hanging="1361"/>
      <w:outlineLvl w:val="3"/>
    </w:pPr>
    <w:rPr>
      <w:rFonts w:ascii="Arial" w:hAnsi="Arial" w:eastAsia="黑体" w:cs="Arial"/>
      <w:kern w:val="0"/>
    </w:rPr>
  </w:style>
  <w:style w:type="paragraph" w:customStyle="1" w:styleId="249">
    <w:name w:val="af"/>
    <w:basedOn w:val="1"/>
    <w:qFormat/>
    <w:uiPriority w:val="99"/>
    <w:pPr>
      <w:widowControl/>
      <w:spacing w:line="300" w:lineRule="atLeast"/>
      <w:jc w:val="left"/>
    </w:pPr>
    <w:rPr>
      <w:rFonts w:ascii="宋体" w:hAnsi="宋体" w:cs="宋体"/>
      <w:kern w:val="0"/>
      <w:sz w:val="18"/>
      <w:szCs w:val="18"/>
    </w:rPr>
  </w:style>
  <w:style w:type="paragraph" w:customStyle="1" w:styleId="250">
    <w:name w:val="Char Char Char Char Char Char Char1"/>
    <w:basedOn w:val="1"/>
    <w:qFormat/>
    <w:uiPriority w:val="0"/>
    <w:rPr>
      <w:rFonts w:ascii="Tahoma" w:hAnsi="Tahoma" w:cs="Tahoma"/>
      <w:sz w:val="24"/>
      <w:szCs w:val="24"/>
    </w:rPr>
  </w:style>
  <w:style w:type="paragraph" w:customStyle="1" w:styleId="251">
    <w:name w:val="_Style 239"/>
    <w:basedOn w:val="1"/>
    <w:next w:val="1"/>
    <w:qFormat/>
    <w:uiPriority w:val="99"/>
    <w:pPr>
      <w:pBdr>
        <w:bottom w:val="single" w:color="auto" w:sz="6" w:space="1"/>
      </w:pBdr>
      <w:jc w:val="center"/>
    </w:pPr>
    <w:rPr>
      <w:rFonts w:ascii="Arial" w:cs="Arial"/>
      <w:vanish/>
      <w:sz w:val="16"/>
      <w:szCs w:val="16"/>
    </w:rPr>
  </w:style>
  <w:style w:type="paragraph" w:customStyle="1" w:styleId="252">
    <w:name w:val="文本框样式1"/>
    <w:basedOn w:val="1"/>
    <w:qFormat/>
    <w:uiPriority w:val="0"/>
    <w:pPr>
      <w:adjustRightInd w:val="0"/>
      <w:snapToGrid w:val="0"/>
      <w:spacing w:before="60" w:line="180" w:lineRule="exact"/>
      <w:jc w:val="center"/>
    </w:pPr>
    <w:rPr>
      <w:sz w:val="21"/>
      <w:szCs w:val="21"/>
    </w:rPr>
  </w:style>
  <w:style w:type="paragraph" w:customStyle="1" w:styleId="253">
    <w:name w:val="样式 仿宋_GB2312 首行缩进:  2 字符"/>
    <w:basedOn w:val="1"/>
    <w:qFormat/>
    <w:uiPriority w:val="99"/>
    <w:pPr>
      <w:spacing w:line="600" w:lineRule="exact"/>
      <w:ind w:firstLine="420" w:firstLineChars="150"/>
      <w:jc w:val="left"/>
    </w:pPr>
    <w:rPr>
      <w:rFonts w:ascii="仿宋_GB2312" w:hAnsi="Arial" w:eastAsia="仿宋_GB2312" w:cs="仿宋_GB2312"/>
      <w:color w:val="000000"/>
      <w:kern w:val="0"/>
      <w:lang w:val="zh-CN"/>
    </w:rPr>
  </w:style>
  <w:style w:type="paragraph" w:customStyle="1" w:styleId="254">
    <w:name w:val="缺省文本"/>
    <w:basedOn w:val="1"/>
    <w:qFormat/>
    <w:uiPriority w:val="0"/>
    <w:pPr>
      <w:tabs>
        <w:tab w:val="left" w:pos="1260"/>
      </w:tabs>
      <w:autoSpaceDE w:val="0"/>
      <w:autoSpaceDN w:val="0"/>
      <w:adjustRightInd w:val="0"/>
      <w:spacing w:line="360" w:lineRule="auto"/>
      <w:jc w:val="left"/>
    </w:pPr>
    <w:rPr>
      <w:kern w:val="0"/>
      <w:sz w:val="24"/>
      <w:szCs w:val="24"/>
    </w:rPr>
  </w:style>
  <w:style w:type="paragraph" w:customStyle="1" w:styleId="255">
    <w:name w:val="图例"/>
    <w:basedOn w:val="1"/>
    <w:qFormat/>
    <w:uiPriority w:val="0"/>
    <w:pPr>
      <w:spacing w:before="120" w:after="120" w:line="360" w:lineRule="auto"/>
      <w:jc w:val="center"/>
    </w:pPr>
    <w:rPr>
      <w:rFonts w:eastAsia="仿宋_GB2312"/>
      <w:b/>
      <w:bCs/>
      <w:sz w:val="24"/>
      <w:szCs w:val="24"/>
    </w:rPr>
  </w:style>
  <w:style w:type="paragraph" w:customStyle="1" w:styleId="256">
    <w:name w:val="编号正文"/>
    <w:basedOn w:val="147"/>
    <w:qFormat/>
    <w:uiPriority w:val="0"/>
    <w:pPr>
      <w:snapToGrid/>
      <w:spacing w:line="360" w:lineRule="auto"/>
      <w:ind w:left="1407" w:hanging="1047"/>
      <w:jc w:val="left"/>
    </w:pPr>
    <w:rPr>
      <w:rFonts w:eastAsia="仿宋_GB2312"/>
    </w:rPr>
  </w:style>
  <w:style w:type="paragraph" w:customStyle="1" w:styleId="257">
    <w:name w:val="文章正文"/>
    <w:basedOn w:val="1"/>
    <w:qFormat/>
    <w:uiPriority w:val="0"/>
    <w:pPr>
      <w:ind w:firstLine="560" w:firstLineChars="200"/>
    </w:pPr>
    <w:rPr>
      <w:rFonts w:ascii="仿宋_GB2312" w:hAnsi="宋体" w:eastAsia="仿宋_GB2312" w:cs="仿宋_GB2312"/>
      <w:color w:val="000000"/>
    </w:rPr>
  </w:style>
  <w:style w:type="paragraph" w:customStyle="1" w:styleId="25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9">
    <w:name w:val="表格内文字"/>
    <w:basedOn w:val="32"/>
    <w:qFormat/>
    <w:uiPriority w:val="0"/>
    <w:pPr>
      <w:adjustRightInd w:val="0"/>
    </w:pPr>
    <w:rPr>
      <w:color w:val="000000"/>
      <w:lang w:val="en-GB"/>
    </w:rPr>
  </w:style>
  <w:style w:type="paragraph" w:customStyle="1" w:styleId="260">
    <w:name w:val="二级列表"/>
    <w:basedOn w:val="199"/>
    <w:next w:val="199"/>
    <w:qFormat/>
    <w:uiPriority w:val="0"/>
    <w:pPr>
      <w:tabs>
        <w:tab w:val="left" w:pos="2120"/>
      </w:tabs>
      <w:ind w:firstLine="0" w:firstLineChars="0"/>
    </w:pPr>
    <w:rPr>
      <w:b/>
      <w:bCs/>
    </w:rPr>
  </w:style>
  <w:style w:type="paragraph" w:customStyle="1" w:styleId="261">
    <w:name w:val="表格非标题文字"/>
    <w:link w:val="262"/>
    <w:qFormat/>
    <w:uiPriority w:val="99"/>
    <w:pPr>
      <w:snapToGrid w:val="0"/>
      <w:spacing w:before="80" w:after="40"/>
    </w:pPr>
    <w:rPr>
      <w:rFonts w:ascii="Futura Bk" w:hAnsi="Futura Bk" w:eastAsia="宋体" w:cs="Times New Roman"/>
      <w:sz w:val="18"/>
      <w:szCs w:val="21"/>
      <w:lang w:val="en-US" w:eastAsia="zh-CN" w:bidi="ar-SA"/>
    </w:rPr>
  </w:style>
  <w:style w:type="character" w:customStyle="1" w:styleId="262">
    <w:name w:val="表格非标题文字 Char"/>
    <w:link w:val="261"/>
    <w:qFormat/>
    <w:locked/>
    <w:uiPriority w:val="99"/>
    <w:rPr>
      <w:rFonts w:ascii="Futura Bk" w:hAnsi="Futura Bk" w:eastAsia="宋体" w:cs="Times New Roman"/>
      <w:kern w:val="0"/>
      <w:sz w:val="18"/>
      <w:szCs w:val="21"/>
    </w:rPr>
  </w:style>
  <w:style w:type="paragraph" w:customStyle="1" w:styleId="263">
    <w:name w:val="修订2"/>
    <w:hidden/>
    <w:semiHidden/>
    <w:qFormat/>
    <w:uiPriority w:val="99"/>
    <w:rPr>
      <w:rFonts w:ascii="Times New Roman" w:hAnsi="Times New Roman" w:eastAsia="宋体" w:cs="Times New Roman"/>
      <w:kern w:val="2"/>
      <w:sz w:val="28"/>
      <w:szCs w:val="28"/>
      <w:lang w:val="en-US" w:eastAsia="zh-CN" w:bidi="ar-SA"/>
    </w:rPr>
  </w:style>
  <w:style w:type="character" w:customStyle="1" w:styleId="264">
    <w:name w:val="font21"/>
    <w:basedOn w:val="57"/>
    <w:qFormat/>
    <w:uiPriority w:val="0"/>
    <w:rPr>
      <w:rFonts w:ascii="Calibri" w:hAnsi="Calibri" w:cs="Calibri"/>
      <w:color w:val="000000"/>
      <w:sz w:val="28"/>
      <w:szCs w:val="28"/>
      <w:u w:val="none"/>
    </w:rPr>
  </w:style>
  <w:style w:type="character" w:customStyle="1" w:styleId="265">
    <w:name w:val="font01"/>
    <w:basedOn w:val="57"/>
    <w:qFormat/>
    <w:uiPriority w:val="0"/>
    <w:rPr>
      <w:rFonts w:hint="eastAsia" w:ascii="宋体" w:hAnsi="宋体" w:eastAsia="宋体" w:cs="宋体"/>
      <w:color w:val="000000"/>
      <w:sz w:val="28"/>
      <w:szCs w:val="28"/>
      <w:u w:val="none"/>
    </w:rPr>
  </w:style>
  <w:style w:type="paragraph" w:customStyle="1" w:styleId="266">
    <w:name w:val="_Style 265"/>
    <w:unhideWhenUsed/>
    <w:qFormat/>
    <w:uiPriority w:val="99"/>
    <w:rPr>
      <w:rFonts w:ascii="Times New Roman" w:hAnsi="Times New Roman" w:eastAsia="宋体" w:cs="Times New Roman"/>
      <w:lang w:val="en-US" w:eastAsia="zh-CN" w:bidi="ar-SA"/>
    </w:rPr>
  </w:style>
  <w:style w:type="character" w:customStyle="1" w:styleId="267">
    <w:name w:val="Table Text Char1 Char"/>
    <w:qFormat/>
    <w:uiPriority w:val="0"/>
    <w:rPr>
      <w:rFonts w:ascii="Arial" w:hAnsi="Arial"/>
      <w:kern w:val="2"/>
      <w:sz w:val="18"/>
      <w:lang w:val="en-US" w:eastAsia="zh-CN" w:bidi="ar-SA"/>
    </w:rPr>
  </w:style>
  <w:style w:type="character" w:customStyle="1" w:styleId="268">
    <w:name w:val="Table Text Char"/>
    <w:qFormat/>
    <w:uiPriority w:val="0"/>
    <w:rPr>
      <w:rFonts w:ascii="Arial" w:hAnsi="Arial"/>
      <w:kern w:val="2"/>
      <w:sz w:val="18"/>
      <w:lang w:val="en-US" w:eastAsia="zh-CN" w:bidi="ar-SA"/>
    </w:rPr>
  </w:style>
  <w:style w:type="character" w:customStyle="1" w:styleId="269">
    <w:name w:val="Char Char"/>
    <w:qFormat/>
    <w:uiPriority w:val="0"/>
    <w:rPr>
      <w:rFonts w:ascii="宋体" w:hAnsi="宋体" w:eastAsia="宋体"/>
      <w:kern w:val="2"/>
      <w:sz w:val="24"/>
      <w:lang w:val="en-US" w:eastAsia="zh-CN" w:bidi="ar-SA"/>
    </w:rPr>
  </w:style>
  <w:style w:type="character" w:customStyle="1" w:styleId="270">
    <w:name w:val="文字 Char"/>
    <w:qFormat/>
    <w:uiPriority w:val="0"/>
    <w:rPr>
      <w:rFonts w:ascii="宋体" w:eastAsia="宋体"/>
      <w:sz w:val="28"/>
    </w:rPr>
  </w:style>
  <w:style w:type="paragraph" w:customStyle="1" w:styleId="271">
    <w:name w:val="2"/>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27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7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74">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75">
    <w:name w:val="正文格式 Char"/>
    <w:basedOn w:val="1"/>
    <w:qFormat/>
    <w:uiPriority w:val="0"/>
    <w:pPr>
      <w:widowControl/>
      <w:adjustRightInd w:val="0"/>
      <w:spacing w:line="440" w:lineRule="atLeast"/>
      <w:ind w:firstLine="510"/>
      <w:textAlignment w:val="baseline"/>
    </w:pPr>
    <w:rPr>
      <w:kern w:val="0"/>
      <w:sz w:val="24"/>
      <w:szCs w:val="20"/>
    </w:rPr>
  </w:style>
  <w:style w:type="paragraph" w:customStyle="1" w:styleId="276">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7">
    <w:name w:val="List Paragraph"/>
    <w:basedOn w:val="1"/>
    <w:unhideWhenUsed/>
    <w:qFormat/>
    <w:uiPriority w:val="34"/>
    <w:pPr>
      <w:ind w:firstLine="420" w:firstLineChars="200"/>
    </w:pPr>
    <w:rPr>
      <w:szCs w:val="20"/>
    </w:rPr>
  </w:style>
  <w:style w:type="character" w:customStyle="1" w:styleId="278">
    <w:name w:val="标题 3 Char"/>
    <w:qFormat/>
    <w:uiPriority w:val="0"/>
    <w:rPr>
      <w:rFonts w:eastAsia="宋体"/>
      <w:b/>
      <w:kern w:val="2"/>
      <w:sz w:val="32"/>
      <w:lang w:val="en-US" w:eastAsia="zh-CN"/>
    </w:rPr>
  </w:style>
  <w:style w:type="character" w:customStyle="1" w:styleId="279">
    <w:name w:val="NormalCharacter"/>
    <w:qFormat/>
    <w:uiPriority w:val="0"/>
  </w:style>
  <w:style w:type="character" w:customStyle="1" w:styleId="280">
    <w:name w:val="UserStyle_0"/>
    <w:link w:val="281"/>
    <w:qFormat/>
    <w:uiPriority w:val="0"/>
    <w:rPr>
      <w:rFonts w:ascii="宋体" w:hAnsi="Courier New" w:eastAsia="宋体"/>
      <w:kern w:val="2"/>
      <w:sz w:val="21"/>
    </w:rPr>
  </w:style>
  <w:style w:type="paragraph" w:customStyle="1" w:styleId="281">
    <w:name w:val="PlainText"/>
    <w:basedOn w:val="1"/>
    <w:link w:val="280"/>
    <w:qFormat/>
    <w:uiPriority w:val="0"/>
    <w:pPr>
      <w:widowControl/>
      <w:snapToGrid w:val="0"/>
      <w:spacing w:line="360" w:lineRule="auto"/>
      <w:textAlignment w:val="baseline"/>
    </w:pPr>
    <w:rPr>
      <w:rFonts w:ascii="宋体" w:hAnsi="Courier New" w:cstheme="minorBidi"/>
      <w:sz w:val="21"/>
      <w:szCs w:val="20"/>
    </w:rPr>
  </w:style>
  <w:style w:type="paragraph" w:customStyle="1" w:styleId="282">
    <w:name w:val="UserStyle_3"/>
    <w:basedOn w:val="283"/>
    <w:qFormat/>
    <w:uiPriority w:val="0"/>
    <w:pPr>
      <w:snapToGrid w:val="0"/>
      <w:spacing w:before="0" w:after="0" w:line="360" w:lineRule="auto"/>
      <w:ind w:firstLine="600" w:firstLineChars="200"/>
      <w:jc w:val="left"/>
    </w:pPr>
    <w:rPr>
      <w:rFonts w:ascii="宋体" w:hAnsi="宋体" w:eastAsia="方正仿宋简体"/>
      <w:bCs w:val="0"/>
      <w:sz w:val="30"/>
      <w:szCs w:val="20"/>
    </w:rPr>
  </w:style>
  <w:style w:type="paragraph" w:customStyle="1" w:styleId="283">
    <w:name w:val="Heading2"/>
    <w:basedOn w:val="1"/>
    <w:next w:val="1"/>
    <w:qFormat/>
    <w:uiPriority w:val="0"/>
    <w:pPr>
      <w:keepNext/>
      <w:keepLines/>
      <w:spacing w:before="260" w:after="260" w:line="416" w:lineRule="auto"/>
    </w:pPr>
    <w:rPr>
      <w:rFonts w:ascii="Arial" w:hAnsi="Arial" w:eastAsia="黑体"/>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8FDF96-A01A-4954-BFAE-5D51F2C5006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15597</Words>
  <Characters>16603</Characters>
  <Lines>120</Lines>
  <Paragraphs>34</Paragraphs>
  <TotalTime>6</TotalTime>
  <ScaleCrop>false</ScaleCrop>
  <LinksUpToDate>false</LinksUpToDate>
  <CharactersWithSpaces>18419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2021-12-02T12:04:00Z</dcterms:created>
  <dc:creator>微软用户</dc:creator>
  <cp:lastModifiedBy>大数据应用中心_大数据中心网络安全室_夏君</cp:lastModifiedBy>
  <cp:lastPrinted>2018-03-20T06:32:00Z</cp:lastPrinted>
  <dcterms:modified xsi:type="dcterms:W3CDTF">2022-12-06T03:45:43Z</dcterms:modified>
  <dc:title>询价通知书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AB30B4B2D73947A88C32582C914D8FE4</vt:lpwstr>
  </property>
</Properties>
</file>