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4"/>
        </w:tabs>
        <w:jc w:val="left"/>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w:t>
      </w:r>
      <w:r>
        <w:rPr>
          <w:rFonts w:hint="eastAsia" w:ascii="微软雅黑" w:hAnsi="微软雅黑" w:eastAsia="微软雅黑" w:cs="微软雅黑"/>
          <w:color w:val="000000" w:themeColor="text1"/>
          <w:lang w:val="en-US" w:eastAsia="zh-CN"/>
          <w14:textFill>
            <w14:solidFill>
              <w14:schemeClr w14:val="tx1"/>
            </w14:solidFill>
          </w14:textFill>
        </w:rPr>
        <w:tab/>
      </w:r>
    </w:p>
    <w:p>
      <w:pPr>
        <w:ind w:firstLine="1000" w:firstLineChars="100"/>
        <w:outlineLvl w:val="0"/>
        <w:rPr>
          <w:rFonts w:ascii="微软雅黑" w:hAnsi="微软雅黑" w:eastAsia="微软雅黑" w:cs="微软雅黑"/>
          <w:color w:val="000000" w:themeColor="text1"/>
          <w:spacing w:val="80"/>
          <w:sz w:val="84"/>
          <w:szCs w:val="84"/>
          <w14:textFill>
            <w14:solidFill>
              <w14:schemeClr w14:val="tx1"/>
            </w14:solidFill>
          </w14:textFill>
        </w:rPr>
      </w:pPr>
      <w:r>
        <w:rPr>
          <w:rFonts w:hint="eastAsia" w:ascii="微软雅黑" w:hAnsi="微软雅黑" w:eastAsia="微软雅黑" w:cs="微软雅黑"/>
          <w:color w:val="000000" w:themeColor="text1"/>
          <w:spacing w:val="80"/>
          <w:sz w:val="84"/>
          <w:szCs w:val="84"/>
          <w14:textFill>
            <w14:solidFill>
              <w14:schemeClr w14:val="tx1"/>
            </w14:solidFill>
          </w14:textFill>
        </w:rPr>
        <w:t>竞争性磋商文件</w:t>
      </w:r>
    </w:p>
    <w:p>
      <w:pPr>
        <w:spacing w:line="700" w:lineRule="exact"/>
        <w:jc w:val="center"/>
        <w:rPr>
          <w:rFonts w:ascii="微软雅黑" w:hAnsi="微软雅黑" w:eastAsia="微软雅黑" w:cs="微软雅黑"/>
          <w:color w:val="000000" w:themeColor="text1"/>
          <w:sz w:val="32"/>
          <w14:textFill>
            <w14:solidFill>
              <w14:schemeClr w14:val="tx1"/>
            </w14:solidFill>
          </w14:textFill>
        </w:rPr>
      </w:pPr>
    </w:p>
    <w:p>
      <w:pPr>
        <w:tabs>
          <w:tab w:val="center" w:pos="4766"/>
          <w:tab w:val="right" w:pos="9412"/>
        </w:tabs>
        <w:jc w:val="left"/>
        <w:rPr>
          <w:rFonts w:ascii="微软雅黑" w:hAnsi="微软雅黑" w:eastAsia="微软雅黑" w:cs="微软雅黑"/>
          <w:color w:val="000000" w:themeColor="text1"/>
          <w:sz w:val="32"/>
          <w14:textFill>
            <w14:solidFill>
              <w14:schemeClr w14:val="tx1"/>
            </w14:solidFill>
          </w14:textFill>
        </w:rPr>
      </w:pPr>
      <w:r>
        <w:rPr>
          <w:rFonts w:hint="eastAsia" w:ascii="微软雅黑" w:hAnsi="微软雅黑" w:eastAsia="微软雅黑" w:cs="微软雅黑"/>
          <w:color w:val="000000" w:themeColor="text1"/>
          <w:sz w:val="32"/>
          <w14:textFill>
            <w14:solidFill>
              <w14:schemeClr w14:val="tx1"/>
            </w14:solidFill>
          </w14:textFill>
        </w:rPr>
        <w:tab/>
      </w:r>
      <w:r>
        <w:rPr>
          <w:rFonts w:hint="eastAsia" w:ascii="微软雅黑" w:hAnsi="微软雅黑" w:eastAsia="微软雅黑" w:cs="微软雅黑"/>
          <w:color w:val="000000" w:themeColor="text1"/>
          <w:sz w:val="32"/>
          <w14:textFill>
            <w14:solidFill>
              <w14:schemeClr w14:val="tx1"/>
            </w14:solidFill>
          </w14:textFill>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8"/>
                    <a:stretch>
                      <a:fillRect/>
                    </a:stretch>
                  </pic:blipFill>
                  <pic:spPr>
                    <a:xfrm>
                      <a:off x="0" y="0"/>
                      <a:ext cx="1905000" cy="1762125"/>
                    </a:xfrm>
                    <a:prstGeom prst="rect">
                      <a:avLst/>
                    </a:prstGeom>
                  </pic:spPr>
                </pic:pic>
              </a:graphicData>
            </a:graphic>
          </wp:inline>
        </w:drawing>
      </w:r>
      <w:r>
        <w:rPr>
          <w:rFonts w:hint="eastAsia" w:ascii="微软雅黑" w:hAnsi="微软雅黑" w:eastAsia="微软雅黑" w:cs="微软雅黑"/>
          <w:color w:val="000000" w:themeColor="text1"/>
          <w:sz w:val="32"/>
          <w14:textFill>
            <w14:solidFill>
              <w14:schemeClr w14:val="tx1"/>
            </w14:solidFill>
          </w14:textFill>
        </w:rPr>
        <w:tab/>
      </w:r>
    </w:p>
    <w:p>
      <w:pPr>
        <w:spacing w:line="700" w:lineRule="exact"/>
        <w:rPr>
          <w:rFonts w:ascii="微软雅黑" w:hAnsi="微软雅黑" w:eastAsia="微软雅黑" w:cs="微软雅黑"/>
          <w:color w:val="000000" w:themeColor="text1"/>
          <w:sz w:val="32"/>
          <w14:textFill>
            <w14:solidFill>
              <w14:schemeClr w14:val="tx1"/>
            </w14:solidFill>
          </w14:textFill>
        </w:rPr>
      </w:pP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采购计划编号：-------</w:t>
      </w:r>
    </w:p>
    <w:p>
      <w:pPr>
        <w:spacing w:line="700" w:lineRule="exact"/>
        <w:ind w:firstLine="960" w:firstLineChars="300"/>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rPr>
        <w:t>采购执行编号：DCZB-CQ-</w:t>
      </w:r>
      <w:r>
        <w:rPr>
          <w:rFonts w:hint="eastAsia" w:ascii="微软雅黑" w:hAnsi="微软雅黑" w:eastAsia="微软雅黑" w:cs="微软雅黑"/>
          <w:color w:val="auto"/>
          <w:sz w:val="32"/>
          <w:szCs w:val="32"/>
          <w:lang w:val="en-US" w:eastAsia="zh-CN"/>
        </w:rPr>
        <w:t>0245</w:t>
      </w:r>
    </w:p>
    <w:p>
      <w:pPr>
        <w:pStyle w:val="2"/>
        <w:ind w:left="2558" w:leftChars="342" w:hanging="1600" w:hangingChars="500"/>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项目名称：重庆市生态环境局机关计算机相关办公设备设施运维服务</w:t>
      </w:r>
    </w:p>
    <w:p>
      <w:pPr>
        <w:pStyle w:val="2"/>
        <w:rPr>
          <w:rFonts w:ascii="微软雅黑" w:hAnsi="微软雅黑" w:eastAsia="微软雅黑" w:cs="微软雅黑"/>
          <w:color w:val="000000" w:themeColor="text1"/>
          <w14:textFill>
            <w14:solidFill>
              <w14:schemeClr w14:val="tx1"/>
            </w14:solidFill>
          </w14:textFill>
        </w:rPr>
      </w:pP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   购   人：重庆市生态环境大数据应用中心</w:t>
      </w:r>
    </w:p>
    <w:p>
      <w:pPr>
        <w:spacing w:line="700" w:lineRule="exact"/>
        <w:ind w:firstLine="960" w:firstLineChars="30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采购代理机构：重庆鼎创招标代理有限公司</w:t>
      </w:r>
    </w:p>
    <w:p>
      <w:pPr>
        <w:spacing w:line="720" w:lineRule="exact"/>
        <w:jc w:val="center"/>
        <w:outlineLvl w:val="0"/>
        <w:rPr>
          <w:rFonts w:ascii="微软雅黑" w:hAnsi="微软雅黑" w:eastAsia="微软雅黑" w:cs="微软雅黑"/>
          <w:b/>
          <w:bCs/>
          <w:color w:val="000000" w:themeColor="text1"/>
          <w:sz w:val="32"/>
          <w:szCs w:val="32"/>
          <w14:textFill>
            <w14:solidFill>
              <w14:schemeClr w14:val="tx1"/>
            </w14:solidFill>
          </w14:textFill>
        </w:rPr>
      </w:pPr>
    </w:p>
    <w:p>
      <w:pPr>
        <w:spacing w:line="720" w:lineRule="exact"/>
        <w:ind w:firstLine="3200" w:firstLineChars="1000"/>
        <w:outlineLvl w:val="0"/>
        <w:rPr>
          <w:rFonts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二〇二一年</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五</w:t>
      </w:r>
      <w:r>
        <w:rPr>
          <w:rFonts w:hint="eastAsia" w:ascii="微软雅黑" w:hAnsi="微软雅黑" w:eastAsia="微软雅黑" w:cs="微软雅黑"/>
          <w:color w:val="000000" w:themeColor="text1"/>
          <w:sz w:val="32"/>
          <w:szCs w:val="32"/>
          <w14:textFill>
            <w14:solidFill>
              <w14:schemeClr w14:val="tx1"/>
            </w14:solidFill>
          </w14:textFill>
        </w:rPr>
        <w:t>月</w:t>
      </w:r>
    </w:p>
    <w:p>
      <w:pPr>
        <w:spacing w:line="720" w:lineRule="exact"/>
        <w:jc w:val="center"/>
        <w:outlineLvl w:val="0"/>
        <w:rPr>
          <w:rFonts w:ascii="微软雅黑" w:hAnsi="微软雅黑" w:eastAsia="微软雅黑" w:cs="微软雅黑"/>
          <w:color w:val="000000" w:themeColor="text1"/>
          <w:sz w:val="44"/>
          <w:szCs w:val="28"/>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br w:type="page"/>
      </w:r>
      <w:r>
        <w:rPr>
          <w:rFonts w:hint="eastAsia" w:ascii="微软雅黑" w:hAnsi="微软雅黑" w:eastAsia="微软雅黑" w:cs="微软雅黑"/>
          <w:color w:val="000000" w:themeColor="text1"/>
          <w:sz w:val="44"/>
          <w:szCs w:val="28"/>
          <w14:textFill>
            <w14:solidFill>
              <w14:schemeClr w14:val="tx1"/>
            </w14:solidFill>
          </w14:textFill>
        </w:rPr>
        <w:t>目   录</w:t>
      </w:r>
    </w:p>
    <w:p>
      <w:pPr>
        <w:pStyle w:val="45"/>
        <w:tabs>
          <w:tab w:val="right" w:leader="dot" w:pos="9412"/>
        </w:tabs>
      </w:pPr>
      <w:r>
        <w:rPr>
          <w:rFonts w:hint="eastAsia" w:ascii="微软雅黑" w:hAnsi="微软雅黑" w:eastAsia="微软雅黑" w:cs="微软雅黑"/>
          <w:color w:val="000000" w:themeColor="text1"/>
          <w:sz w:val="18"/>
          <w:szCs w:val="18"/>
          <w14:textFill>
            <w14:solidFill>
              <w14:schemeClr w14:val="tx1"/>
            </w14:solidFill>
          </w14:textFill>
        </w:rPr>
        <w:fldChar w:fldCharType="begin"/>
      </w:r>
      <w:r>
        <w:rPr>
          <w:rFonts w:hint="eastAsia" w:ascii="微软雅黑" w:hAnsi="微软雅黑" w:eastAsia="微软雅黑" w:cs="微软雅黑"/>
          <w:color w:val="000000" w:themeColor="text1"/>
          <w:sz w:val="18"/>
          <w:szCs w:val="18"/>
          <w14:textFill>
            <w14:solidFill>
              <w14:schemeClr w14:val="tx1"/>
            </w14:solidFill>
          </w14:textFill>
        </w:rPr>
        <w:instrText xml:space="preserve"> TOC \o "1-3" \h \z </w:instrText>
      </w:r>
      <w:r>
        <w:rPr>
          <w:rFonts w:hint="eastAsia" w:ascii="微软雅黑" w:hAnsi="微软雅黑" w:eastAsia="微软雅黑" w:cs="微软雅黑"/>
          <w:color w:val="000000" w:themeColor="text1"/>
          <w:sz w:val="18"/>
          <w:szCs w:val="18"/>
          <w14:textFill>
            <w14:solidFill>
              <w14:schemeClr w14:val="tx1"/>
            </w14:solidFill>
          </w14:textFill>
        </w:rPr>
        <w:fldChar w:fldCharType="separate"/>
      </w: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_Toc691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_Toc691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_Toc16252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一、竞争性磋商内容</w:t>
      </w:r>
      <w:r>
        <w:tab/>
      </w:r>
      <w:r>
        <w:fldChar w:fldCharType="begin"/>
      </w:r>
      <w:r>
        <w:instrText xml:space="preserve"> PAGEREF _Toc16252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_Toc851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二、资金来源</w:t>
      </w:r>
      <w:r>
        <w:tab/>
      </w:r>
      <w:r>
        <w:fldChar w:fldCharType="begin"/>
      </w:r>
      <w:r>
        <w:instrText xml:space="preserve"> PAGEREF _Toc851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_Toc19813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_Toc19813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_Toc29210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四、磋商有关说明</w:t>
      </w:r>
      <w:r>
        <w:tab/>
      </w:r>
      <w:r>
        <w:fldChar w:fldCharType="begin"/>
      </w:r>
      <w:r>
        <w:instrText xml:space="preserve"> PAGEREF _Toc29210 \h </w:instrText>
      </w:r>
      <w:r>
        <w:fldChar w:fldCharType="separate"/>
      </w:r>
      <w:r>
        <w:t>- 4 -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_Toc10080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五、保证金</w:t>
      </w:r>
      <w:r>
        <w:tab/>
      </w:r>
      <w:r>
        <w:fldChar w:fldCharType="begin"/>
      </w:r>
      <w:r>
        <w:instrText xml:space="preserve"> PAGEREF _Toc10080 \h </w:instrText>
      </w:r>
      <w:r>
        <w:fldChar w:fldCharType="separate"/>
      </w:r>
      <w:r>
        <w:t>- 5 -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_Toc10445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六、采购项目需落实的政府采购政策</w:t>
      </w:r>
      <w:r>
        <w:tab/>
      </w:r>
      <w:r>
        <w:fldChar w:fldCharType="begin"/>
      </w:r>
      <w:r>
        <w:instrText xml:space="preserve"> PAGEREF _Toc10445 \h </w:instrText>
      </w:r>
      <w:r>
        <w:fldChar w:fldCharType="separate"/>
      </w:r>
      <w:r>
        <w:t>- 6 -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_Toc1851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七、其它有关规定</w:t>
      </w:r>
      <w:r>
        <w:tab/>
      </w:r>
      <w:r>
        <w:fldChar w:fldCharType="begin"/>
      </w:r>
      <w:r>
        <w:instrText xml:space="preserve"> PAGEREF _Toc1851 \h </w:instrText>
      </w:r>
      <w:r>
        <w:fldChar w:fldCharType="separate"/>
      </w:r>
      <w:r>
        <w:t>- 6 -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_Toc12422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八、联系方式</w:t>
      </w:r>
      <w:r>
        <w:tab/>
      </w:r>
      <w:r>
        <w:fldChar w:fldCharType="begin"/>
      </w:r>
      <w:r>
        <w:instrText xml:space="preserve"> PAGEREF _Toc12422 \h </w:instrText>
      </w:r>
      <w:r>
        <w:fldChar w:fldCharType="separate"/>
      </w:r>
      <w:r>
        <w:t>- 7 -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_Toc24788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第二篇 采购服务需求</w:t>
      </w:r>
      <w:r>
        <w:tab/>
      </w:r>
      <w:r>
        <w:fldChar w:fldCharType="begin"/>
      </w:r>
      <w:r>
        <w:instrText xml:space="preserve"> PAGEREF _Toc24788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_Toc7564 </w:instrText>
      </w:r>
      <w:r>
        <w:rPr>
          <w:rFonts w:hint="eastAsia" w:ascii="微软雅黑" w:hAnsi="微软雅黑" w:eastAsia="微软雅黑" w:cs="微软雅黑"/>
          <w:szCs w:val="18"/>
        </w:rPr>
        <w:fldChar w:fldCharType="separate"/>
      </w:r>
      <w:r>
        <w:rPr>
          <w:rFonts w:hint="eastAsia" w:ascii="微软雅黑" w:hAnsi="微软雅黑" w:eastAsia="微软雅黑" w:cs="Times New Roman"/>
          <w:bCs/>
          <w:szCs w:val="22"/>
        </w:rPr>
        <w:t xml:space="preserve">一、 </w:t>
      </w:r>
      <w:r>
        <w:rPr>
          <w:rFonts w:hint="eastAsia" w:ascii="微软雅黑" w:hAnsi="微软雅黑" w:eastAsia="微软雅黑" w:cs="微软雅黑"/>
          <w:bCs/>
          <w:szCs w:val="22"/>
        </w:rPr>
        <w:t>项目内容一览表</w:t>
      </w:r>
      <w:r>
        <w:tab/>
      </w:r>
      <w:r>
        <w:fldChar w:fldCharType="begin"/>
      </w:r>
      <w:r>
        <w:instrText xml:space="preserve"> PAGEREF _Toc7564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_Toc18409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22"/>
        </w:rPr>
        <w:t>二、驻场服务内容及质量要求</w:t>
      </w:r>
      <w:r>
        <w:tab/>
      </w:r>
      <w:r>
        <w:fldChar w:fldCharType="begin"/>
      </w:r>
      <w:r>
        <w:instrText xml:space="preserve"> PAGEREF _Toc18409 \h </w:instrText>
      </w:r>
      <w:r>
        <w:fldChar w:fldCharType="separate"/>
      </w:r>
      <w:r>
        <w:t>- 8 -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ind w:left="0" w:leftChars="0" w:firstLine="560" w:firstLineChars="200"/>
      </w:pPr>
      <w:r>
        <w:rPr>
          <w:rFonts w:hint="eastAsia" w:ascii="微软雅黑" w:hAnsi="微软雅黑" w:eastAsia="微软雅黑" w:cs="微软雅黑"/>
          <w:bCs/>
          <w:szCs w:val="30"/>
        </w:rPr>
        <w:t>第</w:t>
      </w:r>
      <w:r>
        <w:rPr>
          <w:rFonts w:hint="eastAsia" w:ascii="微软雅黑" w:hAnsi="微软雅黑" w:eastAsia="微软雅黑" w:cs="微软雅黑"/>
          <w:bCs/>
          <w:szCs w:val="30"/>
          <w:lang w:val="en-US" w:eastAsia="zh-CN"/>
        </w:rPr>
        <w:t>三</w:t>
      </w:r>
      <w:r>
        <w:rPr>
          <w:rFonts w:hint="eastAsia" w:ascii="微软雅黑" w:hAnsi="微软雅黑" w:eastAsia="微软雅黑" w:cs="微软雅黑"/>
          <w:bCs/>
          <w:szCs w:val="30"/>
        </w:rPr>
        <w:t>篇 采购</w:t>
      </w:r>
      <w:r>
        <w:rPr>
          <w:rFonts w:hint="eastAsia" w:ascii="微软雅黑" w:hAnsi="微软雅黑" w:eastAsia="微软雅黑" w:cs="微软雅黑"/>
          <w:bCs/>
          <w:szCs w:val="30"/>
          <w:lang w:val="en-US" w:eastAsia="zh-CN"/>
        </w:rPr>
        <w:t>商</w:t>
      </w:r>
      <w:r>
        <w:rPr>
          <w:rFonts w:hint="eastAsia" w:ascii="微软雅黑" w:hAnsi="微软雅黑" w:eastAsia="微软雅黑" w:cs="微软雅黑"/>
          <w:bCs/>
          <w:szCs w:val="30"/>
        </w:rPr>
        <w:t>务需求</w:t>
      </w:r>
      <w:r>
        <w:tab/>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_Toc2803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一、运维服务期、服务地点及验收方式</w:t>
      </w:r>
      <w:r>
        <w:tab/>
      </w:r>
      <w:r>
        <w:fldChar w:fldCharType="begin"/>
      </w:r>
      <w:r>
        <w:instrText xml:space="preserve"> PAGEREF _Toc2803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_Toc4195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highlight w:val="none"/>
        </w:rPr>
        <w:t>二、报价要求</w:t>
      </w:r>
      <w:r>
        <w:tab/>
      </w:r>
      <w:r>
        <w:fldChar w:fldCharType="begin"/>
      </w:r>
      <w:r>
        <w:instrText xml:space="preserve"> PAGEREF _Toc4195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_Toc5529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highlight w:val="none"/>
        </w:rPr>
        <w:t>三、付款方式</w:t>
      </w:r>
      <w:r>
        <w:tab/>
      </w:r>
      <w:r>
        <w:fldChar w:fldCharType="begin"/>
      </w:r>
      <w:r>
        <w:instrText xml:space="preserve"> PAGEREF _Toc5529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_Toc21533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四、知识产权</w:t>
      </w:r>
      <w:r>
        <w:tab/>
      </w:r>
      <w:r>
        <w:fldChar w:fldCharType="begin"/>
      </w:r>
      <w:r>
        <w:instrText xml:space="preserve"> PAGEREF _Toc21533 \h </w:instrText>
      </w:r>
      <w:r>
        <w:fldChar w:fldCharType="separate"/>
      </w:r>
      <w:r>
        <w:t>- 14 -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_Toc14381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lang w:val="en-US" w:eastAsia="zh-CN"/>
        </w:rPr>
        <w:t>五</w:t>
      </w:r>
      <w:r>
        <w:rPr>
          <w:rFonts w:hint="eastAsia" w:ascii="微软雅黑" w:hAnsi="微软雅黑" w:eastAsia="微软雅黑" w:cs="微软雅黑"/>
          <w:szCs w:val="24"/>
        </w:rPr>
        <w:t>、知识产权及保密协议</w:t>
      </w:r>
      <w:r>
        <w:tab/>
      </w:r>
      <w:r>
        <w:fldChar w:fldCharType="begin"/>
      </w:r>
      <w:r>
        <w:instrText xml:space="preserve"> PAGEREF _Toc14381 \h </w:instrText>
      </w:r>
      <w:r>
        <w:fldChar w:fldCharType="separate"/>
      </w:r>
      <w:r>
        <w:t>- 15 -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_Toc23455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lang w:val="en-US" w:eastAsia="zh-CN"/>
        </w:rPr>
        <w:t>六</w:t>
      </w:r>
      <w:r>
        <w:rPr>
          <w:rFonts w:hint="eastAsia" w:ascii="微软雅黑" w:hAnsi="微软雅黑" w:eastAsia="微软雅黑" w:cs="微软雅黑"/>
          <w:szCs w:val="24"/>
        </w:rPr>
        <w:t>、</w:t>
      </w:r>
      <w:r>
        <w:rPr>
          <w:rFonts w:hint="eastAsia" w:ascii="微软雅黑" w:hAnsi="微软雅黑" w:eastAsia="微软雅黑" w:cs="微软雅黑"/>
          <w:szCs w:val="24"/>
          <w:lang w:eastAsia="zh-Hans"/>
        </w:rPr>
        <w:t>违约责任</w:t>
      </w:r>
      <w:r>
        <w:tab/>
      </w:r>
      <w:r>
        <w:fldChar w:fldCharType="begin"/>
      </w:r>
      <w:r>
        <w:instrText xml:space="preserve"> PAGEREF _Toc23455 \h </w:instrText>
      </w:r>
      <w:r>
        <w:fldChar w:fldCharType="separate"/>
      </w:r>
      <w:r>
        <w:t>- 15 -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_Toc8663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18"/>
          <w:lang w:val="en-US" w:eastAsia="zh-CN"/>
        </w:rPr>
        <w:t>七</w:t>
      </w:r>
      <w:r>
        <w:rPr>
          <w:rFonts w:hint="eastAsia" w:ascii="微软雅黑" w:hAnsi="微软雅黑" w:eastAsia="微软雅黑" w:cs="微软雅黑"/>
          <w:szCs w:val="24"/>
        </w:rPr>
        <w:t>、其他</w:t>
      </w:r>
      <w:r>
        <w:tab/>
      </w:r>
      <w:r>
        <w:fldChar w:fldCharType="begin"/>
      </w:r>
      <w:r>
        <w:instrText xml:space="preserve"> PAGEREF _Toc8663 \h </w:instrText>
      </w:r>
      <w:r>
        <w:fldChar w:fldCharType="separate"/>
      </w:r>
      <w:r>
        <w:t>- 15 -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_Toc20966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第四篇  磋商程序及方法、评审标准、无效响应和</w:t>
      </w:r>
      <w:r>
        <w:rPr>
          <w:rFonts w:hint="eastAsia" w:ascii="微软雅黑" w:hAnsi="微软雅黑" w:eastAsia="微软雅黑" w:cs="微软雅黑"/>
          <w:bCs/>
          <w:szCs w:val="36"/>
        </w:rPr>
        <w:t>采购终止</w:t>
      </w:r>
      <w:r>
        <w:tab/>
      </w:r>
      <w:r>
        <w:fldChar w:fldCharType="begin"/>
      </w:r>
      <w:r>
        <w:instrText xml:space="preserve"> PAGEREF _Toc20966 \h </w:instrText>
      </w:r>
      <w:r>
        <w:fldChar w:fldCharType="separate"/>
      </w:r>
      <w:r>
        <w:t>- 16 -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_Toc10392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_Toc10392 \h </w:instrText>
      </w:r>
      <w:r>
        <w:fldChar w:fldCharType="separate"/>
      </w:r>
      <w:r>
        <w:t>- 16 -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_Toc19140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二、评审标准</w:t>
      </w:r>
      <w:r>
        <w:tab/>
      </w:r>
      <w:r>
        <w:fldChar w:fldCharType="begin"/>
      </w:r>
      <w:r>
        <w:instrText xml:space="preserve"> PAGEREF _Toc19140 \h </w:instrText>
      </w:r>
      <w:r>
        <w:fldChar w:fldCharType="separate"/>
      </w:r>
      <w:r>
        <w:t>- 18 -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_Toc23079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三、无效响应</w:t>
      </w:r>
      <w:r>
        <w:tab/>
      </w:r>
      <w:r>
        <w:fldChar w:fldCharType="begin"/>
      </w:r>
      <w:r>
        <w:instrText xml:space="preserve"> PAGEREF _Toc23079 \h </w:instrText>
      </w:r>
      <w:r>
        <w:fldChar w:fldCharType="separate"/>
      </w:r>
      <w:r>
        <w:t>- 20 -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_Toc20532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bCs/>
          <w:szCs w:val="30"/>
        </w:rPr>
        <w:t>第五篇  供应商须知</w:t>
      </w:r>
      <w:r>
        <w:tab/>
      </w:r>
      <w:r>
        <w:fldChar w:fldCharType="begin"/>
      </w:r>
      <w:r>
        <w:instrText xml:space="preserve"> PAGEREF _Toc20532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_Toc12189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一、磋商费用</w:t>
      </w:r>
      <w:r>
        <w:tab/>
      </w:r>
      <w:r>
        <w:fldChar w:fldCharType="begin"/>
      </w:r>
      <w:r>
        <w:instrText xml:space="preserve"> PAGEREF _Toc12189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_Toc550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_Toc550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_Toc22511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三、磋商要求</w:t>
      </w:r>
      <w:r>
        <w:tab/>
      </w:r>
      <w:r>
        <w:fldChar w:fldCharType="begin"/>
      </w:r>
      <w:r>
        <w:instrText xml:space="preserve"> PAGEREF _Toc22511 \h </w:instrText>
      </w:r>
      <w:r>
        <w:fldChar w:fldCharType="separate"/>
      </w:r>
      <w:r>
        <w:t>- 22 -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_Toc20312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_Toc20312 \h </w:instrText>
      </w:r>
      <w:r>
        <w:fldChar w:fldCharType="separate"/>
      </w:r>
      <w:r>
        <w:t>- 24 -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_Toc7164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五、成交通知</w:t>
      </w:r>
      <w:r>
        <w:tab/>
      </w:r>
      <w:r>
        <w:fldChar w:fldCharType="begin"/>
      </w:r>
      <w:r>
        <w:instrText xml:space="preserve"> PAGEREF _Toc7164 \h </w:instrText>
      </w:r>
      <w:r>
        <w:fldChar w:fldCharType="separate"/>
      </w:r>
      <w:r>
        <w:t>- 24 -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_Toc1506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_Toc1506 \h </w:instrText>
      </w:r>
      <w:r>
        <w:fldChar w:fldCharType="separate"/>
      </w:r>
      <w:r>
        <w:t>- 24 -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_Toc24427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七、采购代理服务费</w:t>
      </w:r>
      <w:r>
        <w:tab/>
      </w:r>
      <w:r>
        <w:fldChar w:fldCharType="begin"/>
      </w:r>
      <w:r>
        <w:instrText xml:space="preserve"> PAGEREF _Toc24427 \h </w:instrText>
      </w:r>
      <w:r>
        <w:fldChar w:fldCharType="separate"/>
      </w:r>
      <w:r>
        <w:t>- 25 -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_Toc14609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八、签订合同</w:t>
      </w:r>
      <w:r>
        <w:tab/>
      </w:r>
      <w:r>
        <w:fldChar w:fldCharType="begin"/>
      </w:r>
      <w:r>
        <w:instrText xml:space="preserve"> PAGEREF _Toc14609 \h </w:instrText>
      </w:r>
      <w:r>
        <w:fldChar w:fldCharType="separate"/>
      </w:r>
      <w:r>
        <w:t>- 26 -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_Toc13708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九、</w:t>
      </w:r>
      <w:r>
        <w:rPr>
          <w:rFonts w:hint="eastAsia" w:ascii="微软雅黑" w:hAnsi="微软雅黑" w:eastAsia="微软雅黑" w:cs="微软雅黑"/>
        </w:rPr>
        <w:t>政府采购信用融资</w:t>
      </w:r>
      <w:r>
        <w:tab/>
      </w:r>
      <w:r>
        <w:fldChar w:fldCharType="begin"/>
      </w:r>
      <w:r>
        <w:instrText xml:space="preserve"> PAGEREF _Toc13708 \h </w:instrText>
      </w:r>
      <w:r>
        <w:fldChar w:fldCharType="separate"/>
      </w:r>
      <w:r>
        <w:t>- 26 -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_Toc12103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第六篇  合同草案条款(参考版本)</w:t>
      </w:r>
      <w:r>
        <w:tab/>
      </w:r>
      <w:r>
        <w:fldChar w:fldCharType="begin"/>
      </w:r>
      <w:r>
        <w:instrText xml:space="preserve"> PAGEREF _Toc12103 \h </w:instrText>
      </w:r>
      <w:r>
        <w:fldChar w:fldCharType="separate"/>
      </w:r>
      <w:r>
        <w:t>- 27 -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_Toc4673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_Toc4673 \h </w:instrText>
      </w:r>
      <w:r>
        <w:fldChar w:fldCharType="separate"/>
      </w:r>
      <w:r>
        <w:t>- 30 -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_Toc24509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一、经济部分</w:t>
      </w:r>
      <w:r>
        <w:tab/>
      </w:r>
      <w:r>
        <w:fldChar w:fldCharType="begin"/>
      </w:r>
      <w:r>
        <w:instrText xml:space="preserve"> PAGEREF _Toc24509 \h </w:instrText>
      </w:r>
      <w:r>
        <w:fldChar w:fldCharType="separate"/>
      </w:r>
      <w:r>
        <w:t>- 31 -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_Toc7997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二、服务部分</w:t>
      </w:r>
      <w:r>
        <w:tab/>
      </w:r>
      <w:r>
        <w:fldChar w:fldCharType="begin"/>
      </w:r>
      <w:r>
        <w:instrText xml:space="preserve"> PAGEREF _Toc7997 \h </w:instrText>
      </w:r>
      <w:r>
        <w:fldChar w:fldCharType="separate"/>
      </w:r>
      <w:r>
        <w:t>- 33 -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_Toc1871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三、商务部分</w:t>
      </w:r>
      <w:r>
        <w:tab/>
      </w:r>
      <w:r>
        <w:fldChar w:fldCharType="begin"/>
      </w:r>
      <w:r>
        <w:instrText xml:space="preserve"> PAGEREF _Toc1871 \h </w:instrText>
      </w:r>
      <w:r>
        <w:fldChar w:fldCharType="separate"/>
      </w:r>
      <w:r>
        <w:t>- 34 -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_Toc16405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_Toc16405 \h </w:instrText>
      </w:r>
      <w:r>
        <w:fldChar w:fldCharType="separate"/>
      </w:r>
      <w:r>
        <w:t>- 35 -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29"/>
        <w:tabs>
          <w:tab w:val="right" w:leader="dot" w:pos="9412"/>
        </w:tabs>
      </w:pPr>
      <w:r>
        <w:rPr>
          <w:rFonts w:hint="eastAsia" w:ascii="微软雅黑" w:hAnsi="微软雅黑" w:eastAsia="微软雅黑" w:cs="微软雅黑"/>
          <w:color w:val="000000" w:themeColor="text1"/>
          <w:szCs w:val="18"/>
          <w14:textFill>
            <w14:solidFill>
              <w14:schemeClr w14:val="tx1"/>
            </w14:solidFill>
          </w14:textFill>
        </w:rPr>
        <w:fldChar w:fldCharType="begin"/>
      </w:r>
      <w:r>
        <w:rPr>
          <w:rFonts w:hint="eastAsia" w:ascii="微软雅黑" w:hAnsi="微软雅黑" w:eastAsia="微软雅黑" w:cs="微软雅黑"/>
          <w:szCs w:val="18"/>
        </w:rPr>
        <w:instrText xml:space="preserve"> HYPERLINK \l _Toc21698 </w:instrText>
      </w:r>
      <w:r>
        <w:rPr>
          <w:rFonts w:hint="eastAsia" w:ascii="微软雅黑" w:hAnsi="微软雅黑" w:eastAsia="微软雅黑" w:cs="微软雅黑"/>
          <w:szCs w:val="18"/>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_Toc21698 \h </w:instrText>
      </w:r>
      <w:r>
        <w:fldChar w:fldCharType="separate"/>
      </w:r>
      <w:r>
        <w:t>- 42 -</w:t>
      </w:r>
      <w:r>
        <w:fldChar w:fldCharType="end"/>
      </w: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5"/>
        <w:tabs>
          <w:tab w:val="right" w:leader="dot" w:pos="9402"/>
        </w:tabs>
        <w:spacing w:line="480" w:lineRule="exact"/>
        <w:ind w:left="560"/>
        <w:jc w:val="center"/>
        <w:rPr>
          <w:rFonts w:ascii="微软雅黑" w:hAnsi="微软雅黑" w:eastAsia="微软雅黑" w:cs="微软雅黑"/>
          <w:color w:val="000000" w:themeColor="text1"/>
          <w:sz w:val="18"/>
          <w:szCs w:val="2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rtlGutter w:val="1"/>
          <w:docGrid w:linePitch="380" w:charSpace="-5735"/>
        </w:sectPr>
      </w:pPr>
      <w:r>
        <w:rPr>
          <w:rFonts w:hint="eastAsia" w:ascii="微软雅黑" w:hAnsi="微软雅黑" w:eastAsia="微软雅黑" w:cs="微软雅黑"/>
          <w:color w:val="000000" w:themeColor="text1"/>
          <w:szCs w:val="18"/>
          <w14:textFill>
            <w14:solidFill>
              <w14:schemeClr w14:val="tx1"/>
            </w14:solidFill>
          </w14:textFill>
        </w:rPr>
        <w:fldChar w:fldCharType="end"/>
      </w:r>
    </w:p>
    <w:p>
      <w:pPr>
        <w:pStyle w:val="4"/>
        <w:spacing w:line="360" w:lineRule="auto"/>
        <w:ind w:firstLine="720" w:firstLineChars="200"/>
        <w:jc w:val="center"/>
        <w:rPr>
          <w:rFonts w:ascii="微软雅黑" w:hAnsi="微软雅黑" w:eastAsia="微软雅黑" w:cs="微软雅黑"/>
          <w:b w:val="0"/>
          <w:color w:val="000000" w:themeColor="text1"/>
          <w:szCs w:val="30"/>
          <w14:textFill>
            <w14:solidFill>
              <w14:schemeClr w14:val="tx1"/>
            </w14:solidFill>
          </w14:textFill>
        </w:rPr>
      </w:pPr>
      <w:bookmarkStart w:id="0" w:name="_Toc12789052"/>
      <w:bookmarkStart w:id="1" w:name="_Toc691"/>
      <w:bookmarkStart w:id="2" w:name="_Toc11641050"/>
      <w:r>
        <w:rPr>
          <w:rFonts w:hint="eastAsia" w:ascii="微软雅黑" w:hAnsi="微软雅黑" w:eastAsia="微软雅黑" w:cs="微软雅黑"/>
          <w:b w:val="0"/>
          <w:color w:val="000000" w:themeColor="text1"/>
          <w:sz w:val="36"/>
          <w:szCs w:val="30"/>
          <w14:textFill>
            <w14:solidFill>
              <w14:schemeClr w14:val="tx1"/>
            </w14:solidFill>
          </w14:textFill>
        </w:rPr>
        <w:t>第一篇  采购邀请书</w:t>
      </w:r>
      <w:bookmarkEnd w:id="0"/>
      <w:bookmarkEnd w:id="1"/>
      <w:bookmarkEnd w:id="2"/>
    </w:p>
    <w:p>
      <w:pPr>
        <w:snapToGrid w:val="0"/>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3" w:name="_Toc317775175"/>
      <w:bookmarkStart w:id="4" w:name="_Toc313893526"/>
      <w:r>
        <w:rPr>
          <w:rFonts w:hint="eastAsia" w:ascii="微软雅黑" w:hAnsi="微软雅黑" w:eastAsia="微软雅黑" w:cs="微软雅黑"/>
          <w:color w:val="000000" w:themeColor="text1"/>
          <w:sz w:val="24"/>
          <w:szCs w:val="24"/>
          <w:u w:val="single"/>
          <w14:textFill>
            <w14:solidFill>
              <w14:schemeClr w14:val="tx1"/>
            </w14:solidFill>
          </w14:textFill>
        </w:rPr>
        <w:t>重庆鼎创招标代理有限公司</w:t>
      </w:r>
      <w:r>
        <w:rPr>
          <w:rFonts w:hint="eastAsia" w:ascii="微软雅黑" w:hAnsi="微软雅黑" w:eastAsia="微软雅黑" w:cs="微软雅黑"/>
          <w:color w:val="000000" w:themeColor="text1"/>
          <w:sz w:val="24"/>
          <w:szCs w:val="24"/>
          <w14:textFill>
            <w14:solidFill>
              <w14:schemeClr w14:val="tx1"/>
            </w14:solidFill>
          </w14:textFill>
        </w:rPr>
        <w:t>受</w:t>
      </w:r>
      <w:r>
        <w:rPr>
          <w:rFonts w:hint="eastAsia" w:ascii="微软雅黑" w:hAnsi="微软雅黑" w:eastAsia="微软雅黑" w:cs="微软雅黑"/>
          <w:color w:val="000000" w:themeColor="text1"/>
          <w:sz w:val="24"/>
          <w:szCs w:val="24"/>
          <w:u w:val="single"/>
          <w14:textFill>
            <w14:solidFill>
              <w14:schemeClr w14:val="tx1"/>
            </w14:solidFill>
          </w14:textFill>
        </w:rPr>
        <w:t>重庆市生态环境大数据应用中心</w:t>
      </w:r>
      <w:r>
        <w:rPr>
          <w:rFonts w:hint="eastAsia" w:ascii="微软雅黑" w:hAnsi="微软雅黑" w:eastAsia="微软雅黑" w:cs="微软雅黑"/>
          <w:color w:val="000000" w:themeColor="text1"/>
          <w:sz w:val="24"/>
          <w:szCs w:val="24"/>
          <w14:textFill>
            <w14:solidFill>
              <w14:schemeClr w14:val="tx1"/>
            </w14:solidFill>
          </w14:textFill>
        </w:rPr>
        <w:t>的委托，对“</w:t>
      </w:r>
      <w:r>
        <w:rPr>
          <w:rFonts w:hint="eastAsia" w:ascii="微软雅黑" w:hAnsi="微软雅黑" w:eastAsia="微软雅黑" w:cs="微软雅黑"/>
          <w:color w:val="000000" w:themeColor="text1"/>
          <w:sz w:val="24"/>
          <w:szCs w:val="24"/>
          <w:u w:val="single"/>
          <w14:textFill>
            <w14:solidFill>
              <w14:schemeClr w14:val="tx1"/>
            </w14:solidFill>
          </w14:textFill>
        </w:rPr>
        <w:t>重庆市生态环境局机关计算机相关办公设备设施运维服务</w:t>
      </w:r>
      <w:r>
        <w:rPr>
          <w:rFonts w:hint="eastAsia" w:ascii="微软雅黑" w:hAnsi="微软雅黑" w:eastAsia="微软雅黑" w:cs="微软雅黑"/>
          <w:color w:val="000000" w:themeColor="text1"/>
          <w:sz w:val="24"/>
          <w:szCs w:val="24"/>
          <w14:textFill>
            <w14:solidFill>
              <w14:schemeClr w14:val="tx1"/>
            </w14:solidFill>
          </w14:textFill>
        </w:rPr>
        <w:t>”项目进行竞争性磋商采购。欢迎有资格的供应商前来参加磋商。</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5" w:name="_Toc16252"/>
      <w:r>
        <w:rPr>
          <w:rFonts w:hint="eastAsia" w:ascii="微软雅黑" w:hAnsi="微软雅黑" w:eastAsia="微软雅黑" w:cs="微软雅黑"/>
          <w:color w:val="000000" w:themeColor="text1"/>
          <w:sz w:val="24"/>
          <w:szCs w:val="24"/>
          <w14:textFill>
            <w14:solidFill>
              <w14:schemeClr w14:val="tx1"/>
            </w14:solidFill>
          </w14:textFill>
        </w:rPr>
        <w:t>一、竞争性磋商内容</w:t>
      </w:r>
      <w:bookmarkEnd w:id="3"/>
      <w:bookmarkEnd w:id="4"/>
      <w:bookmarkEnd w:id="5"/>
    </w:p>
    <w:tbl>
      <w:tblPr>
        <w:tblStyle w:val="5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1323"/>
        <w:gridCol w:w="1471"/>
        <w:gridCol w:w="18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780" w:type="dxa"/>
            <w:tcBorders>
              <w:top w:val="single" w:color="auto" w:sz="4" w:space="0"/>
              <w:left w:val="single" w:color="auto" w:sz="4" w:space="0"/>
              <w:right w:val="single" w:color="auto" w:sz="4" w:space="0"/>
            </w:tcBorders>
            <w:vAlign w:val="center"/>
          </w:tcPr>
          <w:p>
            <w:pPr>
              <w:widowControl/>
              <w:ind w:firstLine="420" w:firstLineChars="200"/>
              <w:jc w:val="center"/>
              <w:rPr>
                <w:rFonts w:ascii="微软雅黑" w:hAnsi="微软雅黑" w:eastAsia="微软雅黑" w:cs="微软雅黑"/>
                <w:b/>
                <w:bCs/>
                <w:color w:val="000000" w:themeColor="text1"/>
                <w:kern w:val="0"/>
                <w:sz w:val="21"/>
                <w:szCs w:val="24"/>
                <w14:textFill>
                  <w14:solidFill>
                    <w14:schemeClr w14:val="tx1"/>
                  </w14:solidFill>
                </w14:textFill>
              </w:rPr>
            </w:pPr>
            <w:bookmarkStart w:id="6" w:name="_Toc373860293"/>
            <w:bookmarkStart w:id="7" w:name="_Toc317775178"/>
            <w:r>
              <w:rPr>
                <w:rFonts w:hint="eastAsia" w:ascii="微软雅黑" w:hAnsi="微软雅黑" w:eastAsia="微软雅黑" w:cs="微软雅黑"/>
                <w:b/>
                <w:bCs/>
                <w:color w:val="000000" w:themeColor="text1"/>
                <w:kern w:val="0"/>
                <w:sz w:val="21"/>
                <w:szCs w:val="24"/>
                <w14:textFill>
                  <w14:solidFill>
                    <w14:schemeClr w14:val="tx1"/>
                  </w14:solidFill>
                </w14:textFill>
              </w:rPr>
              <w:t>项目名称</w:t>
            </w:r>
          </w:p>
        </w:tc>
        <w:tc>
          <w:tcPr>
            <w:tcW w:w="1323" w:type="dxa"/>
            <w:tcBorders>
              <w:top w:val="single" w:color="auto" w:sz="4" w:space="0"/>
              <w:left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最高限价</w:t>
            </w:r>
          </w:p>
          <w:p>
            <w:pPr>
              <w:widowControl/>
              <w:jc w:val="center"/>
              <w:rPr>
                <w:rFonts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（万元）</w:t>
            </w:r>
          </w:p>
        </w:tc>
        <w:tc>
          <w:tcPr>
            <w:tcW w:w="1471" w:type="dxa"/>
            <w:tcBorders>
              <w:top w:val="single" w:color="auto" w:sz="4" w:space="0"/>
              <w:left w:val="single" w:color="auto" w:sz="4" w:space="0"/>
              <w:right w:val="single" w:color="auto" w:sz="4" w:space="0"/>
            </w:tcBorders>
            <w:vAlign w:val="center"/>
          </w:tcPr>
          <w:p>
            <w:pPr>
              <w:rPr>
                <w:rFonts w:hint="eastAsia" w:ascii="微软雅黑" w:hAnsi="微软雅黑" w:eastAsia="微软雅黑" w:cs="微软雅黑"/>
                <w:b/>
                <w:bCs/>
                <w:color w:val="000000" w:themeColor="text1"/>
                <w:kern w:val="0"/>
                <w:sz w:val="21"/>
                <w:szCs w:val="24"/>
                <w:lang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4"/>
                <w:lang w:eastAsia="zh-CN"/>
                <w14:textFill>
                  <w14:solidFill>
                    <w14:schemeClr w14:val="tx1"/>
                  </w14:solidFill>
                </w14:textFill>
              </w:rPr>
              <w:t>磋商保证金（</w:t>
            </w:r>
            <w:r>
              <w:rPr>
                <w:rFonts w:hint="eastAsia" w:ascii="微软雅黑" w:hAnsi="微软雅黑" w:eastAsia="微软雅黑" w:cs="微软雅黑"/>
                <w:b/>
                <w:bCs/>
                <w:color w:val="000000" w:themeColor="text1"/>
                <w:kern w:val="0"/>
                <w:sz w:val="21"/>
                <w:szCs w:val="24"/>
                <w:lang w:val="en-US" w:eastAsia="zh-CN"/>
                <w14:textFill>
                  <w14:solidFill>
                    <w14:schemeClr w14:val="tx1"/>
                  </w14:solidFill>
                </w14:textFill>
              </w:rPr>
              <w:t>万元</w:t>
            </w:r>
            <w:r>
              <w:rPr>
                <w:rFonts w:hint="eastAsia" w:ascii="微软雅黑" w:hAnsi="微软雅黑" w:eastAsia="微软雅黑" w:cs="微软雅黑"/>
                <w:b/>
                <w:bCs/>
                <w:color w:val="000000" w:themeColor="text1"/>
                <w:kern w:val="0"/>
                <w:sz w:val="21"/>
                <w:szCs w:val="24"/>
                <w:lang w:eastAsia="zh-CN"/>
                <w14:textFill>
                  <w14:solidFill>
                    <w14:schemeClr w14:val="tx1"/>
                  </w14:solidFill>
                </w14:textFill>
              </w:rPr>
              <w:t>）</w:t>
            </w:r>
          </w:p>
        </w:tc>
        <w:tc>
          <w:tcPr>
            <w:tcW w:w="1875"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成交供应商数量</w:t>
            </w:r>
          </w:p>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（名）</w:t>
            </w:r>
          </w:p>
        </w:tc>
        <w:tc>
          <w:tcPr>
            <w:tcW w:w="2275"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780" w:type="dxa"/>
            <w:tcBorders>
              <w:top w:val="single" w:color="auto" w:sz="4" w:space="0"/>
              <w:left w:val="single" w:color="auto" w:sz="4" w:space="0"/>
              <w:right w:val="single" w:color="auto" w:sz="4" w:space="0"/>
            </w:tcBorders>
            <w:vAlign w:val="center"/>
          </w:tcPr>
          <w:p>
            <w:pPr>
              <w:widowControl/>
              <w:rPr>
                <w:rFonts w:ascii="微软雅黑" w:hAnsi="微软雅黑" w:eastAsia="微软雅黑" w:cs="微软雅黑"/>
                <w:color w:val="000000" w:themeColor="text1"/>
                <w:kern w:val="0"/>
                <w:sz w:val="21"/>
                <w:szCs w:val="24"/>
                <w14:textFill>
                  <w14:solidFill>
                    <w14:schemeClr w14:val="tx1"/>
                  </w14:solidFill>
                </w14:textFill>
              </w:rPr>
            </w:pPr>
            <w:bookmarkStart w:id="8" w:name="_Hlk344477914"/>
            <w:r>
              <w:rPr>
                <w:rFonts w:hint="eastAsia" w:ascii="微软雅黑" w:hAnsi="微软雅黑" w:eastAsia="微软雅黑" w:cs="微软雅黑"/>
                <w:color w:val="000000" w:themeColor="text1"/>
                <w:kern w:val="0"/>
                <w:sz w:val="21"/>
                <w:szCs w:val="24"/>
                <w14:textFill>
                  <w14:solidFill>
                    <w14:schemeClr w14:val="tx1"/>
                  </w14:solidFill>
                </w14:textFill>
              </w:rPr>
              <w:t>重庆市生态环境局机关计算机相关办公设备设施运维服务</w:t>
            </w:r>
          </w:p>
        </w:tc>
        <w:tc>
          <w:tcPr>
            <w:tcW w:w="1323" w:type="dxa"/>
            <w:tcBorders>
              <w:top w:val="single" w:color="auto" w:sz="4" w:space="0"/>
              <w:left w:val="single" w:color="auto" w:sz="4" w:space="0"/>
              <w:right w:val="single" w:color="auto" w:sz="4" w:space="0"/>
            </w:tcBorders>
            <w:vAlign w:val="center"/>
          </w:tcPr>
          <w:p>
            <w:pPr>
              <w:widowControl/>
              <w:jc w:val="center"/>
              <w:rPr>
                <w:rFonts w:hint="default" w:ascii="微软雅黑" w:hAnsi="微软雅黑" w:eastAsia="微软雅黑" w:cs="微软雅黑"/>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color w:val="auto"/>
                <w:kern w:val="0"/>
                <w:sz w:val="21"/>
                <w:szCs w:val="24"/>
                <w:lang w:val="en-US" w:eastAsia="zh-CN"/>
              </w:rPr>
              <w:t>48</w:t>
            </w:r>
          </w:p>
        </w:tc>
        <w:tc>
          <w:tcPr>
            <w:tcW w:w="1471" w:type="dxa"/>
            <w:tcBorders>
              <w:top w:val="single" w:color="auto" w:sz="4" w:space="0"/>
              <w:left w:val="single" w:color="auto" w:sz="4" w:space="0"/>
              <w:right w:val="single" w:color="auto" w:sz="4" w:space="0"/>
            </w:tcBorders>
            <w:vAlign w:val="center"/>
          </w:tcPr>
          <w:p>
            <w:pPr>
              <w:widowControl/>
              <w:ind w:firstLine="420" w:firstLineChars="200"/>
              <w:rPr>
                <w:rFonts w:hint="default" w:ascii="微软雅黑" w:hAnsi="微软雅黑" w:eastAsia="微软雅黑" w:cs="微软雅黑"/>
                <w:color w:val="000000" w:themeColor="text1"/>
                <w:kern w:val="0"/>
                <w:sz w:val="21"/>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4"/>
                <w:lang w:val="en-US" w:eastAsia="zh-CN"/>
                <w14:textFill>
                  <w14:solidFill>
                    <w14:schemeClr w14:val="tx1"/>
                  </w14:solidFill>
                </w14:textFill>
              </w:rPr>
              <w:t>0.96</w:t>
            </w:r>
          </w:p>
        </w:tc>
        <w:tc>
          <w:tcPr>
            <w:tcW w:w="1875"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b/>
                <w:bCs/>
                <w:color w:val="000000" w:themeColor="text1"/>
                <w:kern w:val="0"/>
                <w:sz w:val="21"/>
                <w:szCs w:val="24"/>
                <w14:textFill>
                  <w14:solidFill>
                    <w14:schemeClr w14:val="tx1"/>
                  </w14:solidFill>
                </w14:textFill>
              </w:rPr>
            </w:pPr>
            <w:r>
              <w:rPr>
                <w:rFonts w:hint="eastAsia" w:ascii="微软雅黑" w:hAnsi="微软雅黑" w:eastAsia="微软雅黑" w:cs="微软雅黑"/>
                <w:b/>
                <w:bCs/>
                <w:color w:val="000000" w:themeColor="text1"/>
                <w:kern w:val="0"/>
                <w:sz w:val="21"/>
                <w:szCs w:val="24"/>
                <w14:textFill>
                  <w14:solidFill>
                    <w14:schemeClr w14:val="tx1"/>
                  </w14:solidFill>
                </w14:textFill>
              </w:rPr>
              <w:t>1</w:t>
            </w:r>
          </w:p>
        </w:tc>
        <w:tc>
          <w:tcPr>
            <w:tcW w:w="2275" w:type="dxa"/>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s="微软雅黑"/>
                <w:color w:val="000000" w:themeColor="text1"/>
                <w:kern w:val="0"/>
                <w:sz w:val="21"/>
                <w:szCs w:val="24"/>
                <w:highlight w:val="none"/>
                <w14:textFill>
                  <w14:solidFill>
                    <w14:schemeClr w14:val="tx1"/>
                  </w14:solidFill>
                </w14:textFill>
              </w:rPr>
            </w:pPr>
            <w:r>
              <w:rPr>
                <w:rFonts w:hint="eastAsia" w:ascii="微软雅黑" w:hAnsi="微软雅黑" w:eastAsia="微软雅黑" w:cs="微软雅黑"/>
                <w:color w:val="000000" w:themeColor="text1"/>
                <w:kern w:val="0"/>
                <w:sz w:val="21"/>
                <w:szCs w:val="24"/>
                <w:highlight w:val="none"/>
                <w14:textFill>
                  <w14:solidFill>
                    <w14:schemeClr w14:val="tx1"/>
                  </w14:solidFill>
                </w14:textFill>
              </w:rPr>
              <w:t>软件和信息技术服务业</w:t>
            </w:r>
          </w:p>
        </w:tc>
      </w:tr>
      <w:bookmarkEnd w:id="8"/>
    </w:tbl>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9" w:name="_Toc851"/>
      <w:r>
        <w:rPr>
          <w:rFonts w:hint="eastAsia" w:ascii="微软雅黑" w:hAnsi="微软雅黑" w:eastAsia="微软雅黑" w:cs="微软雅黑"/>
          <w:color w:val="000000" w:themeColor="text1"/>
          <w:sz w:val="24"/>
          <w:szCs w:val="24"/>
          <w14:textFill>
            <w14:solidFill>
              <w14:schemeClr w14:val="tx1"/>
            </w14:solidFill>
          </w14:textFill>
        </w:rPr>
        <w:t>二、资金来源</w:t>
      </w:r>
      <w:bookmarkEnd w:id="9"/>
    </w:p>
    <w:p>
      <w:pPr>
        <w:spacing w:line="480" w:lineRule="exact"/>
        <w:ind w:firstLine="480" w:firstLineChars="200"/>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财政预算资金</w:t>
      </w:r>
      <w:r>
        <w:rPr>
          <w:rFonts w:hint="eastAsia" w:ascii="微软雅黑" w:hAnsi="微软雅黑" w:eastAsia="微软雅黑" w:cs="微软雅黑"/>
          <w:color w:val="000000" w:themeColor="text1"/>
          <w:sz w:val="24"/>
          <w:szCs w:val="24"/>
          <w:lang w:eastAsia="zh-CN"/>
          <w14:textFill>
            <w14:solidFill>
              <w14:schemeClr w14:val="tx1"/>
            </w14:solidFill>
          </w14:textFill>
        </w:rPr>
        <w:t>。</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0" w:name="_Toc19813"/>
      <w:r>
        <w:rPr>
          <w:rFonts w:hint="eastAsia" w:ascii="微软雅黑" w:hAnsi="微软雅黑" w:eastAsia="微软雅黑" w:cs="微软雅黑"/>
          <w:color w:val="000000" w:themeColor="text1"/>
          <w:sz w:val="24"/>
          <w:szCs w:val="24"/>
          <w14:textFill>
            <w14:solidFill>
              <w14:schemeClr w14:val="tx1"/>
            </w14:solidFill>
          </w14:textFill>
        </w:rPr>
        <w:t>三、供应商资格条件</w:t>
      </w:r>
      <w:bookmarkEnd w:id="10"/>
    </w:p>
    <w:p>
      <w:pPr>
        <w:spacing w:line="480" w:lineRule="exact"/>
        <w:ind w:firstLine="480" w:firstLineChars="200"/>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供应商是指向采购人提供服务或者货物的法人、其他组织或者自然人。合格的供应商应首先符合政府采购法第二十二条规定的基本资格条件</w:t>
      </w:r>
      <w:r>
        <w:rPr>
          <w:rFonts w:hint="eastAsia" w:ascii="微软雅黑" w:hAnsi="微软雅黑" w:eastAsia="微软雅黑" w:cs="微软雅黑"/>
          <w:color w:val="000000" w:themeColor="text1"/>
          <w:sz w:val="24"/>
          <w:szCs w:val="24"/>
          <w:lang w:eastAsia="zh-CN"/>
          <w14:textFill>
            <w14:solidFill>
              <w14:schemeClr w14:val="tx1"/>
            </w14:solidFill>
          </w14:textFill>
        </w:rPr>
        <w:t>，同时符合根据该项目特殊要求设置的特定资格条件（</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如果有</w:t>
      </w:r>
      <w:r>
        <w:rPr>
          <w:rFonts w:hint="eastAsia" w:ascii="微软雅黑" w:hAnsi="微软雅黑" w:eastAsia="微软雅黑" w:cs="微软雅黑"/>
          <w:color w:val="000000" w:themeColor="text1"/>
          <w:sz w:val="24"/>
          <w:szCs w:val="24"/>
          <w:lang w:eastAsia="zh-CN"/>
          <w14:textFill>
            <w14:solidFill>
              <w14:schemeClr w14:val="tx1"/>
            </w14:solidFill>
          </w14:textFill>
        </w:rPr>
        <w:t>）。</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（一）基本资格条件</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1、具有独立承担民事责任的能力；</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2、具有良好的商业信誉和健全的财务会计制度；</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3、具有履行合同所必需的设备和专业技术能力；</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4、有依法缴纳税收和社会保障资金的良好记录；</w:t>
      </w:r>
    </w:p>
    <w:p>
      <w:pPr>
        <w:spacing w:line="48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5、参加政府采购活动前三年内，在经营活动中没有重大违法记录；</w:t>
      </w:r>
    </w:p>
    <w:p>
      <w:pPr>
        <w:spacing w:line="4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6、法律、行政法规规定的其他条件。</w:t>
      </w:r>
    </w:p>
    <w:p>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（二）特定资格条件</w:t>
      </w:r>
    </w:p>
    <w:p>
      <w:pPr>
        <w:pStyle w:val="2"/>
        <w:ind w:firstLine="960" w:firstLineChars="400"/>
        <w:rPr>
          <w:rFonts w:hint="eastAsia"/>
          <w:color w:val="auto"/>
          <w:lang w:val="en-US" w:eastAsia="zh-CN"/>
        </w:rPr>
      </w:pPr>
      <w:r>
        <w:rPr>
          <w:rFonts w:hint="eastAsia"/>
          <w:color w:val="auto"/>
          <w:lang w:val="en-US" w:eastAsia="zh-CN"/>
        </w:rPr>
        <w:t>无</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1" w:name="_Toc29210"/>
      <w:r>
        <w:rPr>
          <w:rFonts w:hint="eastAsia" w:ascii="微软雅黑" w:hAnsi="微软雅黑" w:eastAsia="微软雅黑" w:cs="微软雅黑"/>
          <w:color w:val="000000" w:themeColor="text1"/>
          <w:sz w:val="24"/>
          <w:szCs w:val="24"/>
          <w14:textFill>
            <w14:solidFill>
              <w14:schemeClr w14:val="tx1"/>
            </w14:solidFill>
          </w14:textFill>
        </w:rPr>
        <w:t>四、磋商有关说明</w:t>
      </w:r>
      <w:bookmarkEnd w:id="6"/>
      <w:bookmarkEnd w:id="11"/>
      <w:bookmarkStart w:id="12" w:name="_Toc373860294"/>
    </w:p>
    <w:p>
      <w:pPr>
        <w:numPr>
          <w:ilvl w:val="0"/>
          <w:numId w:val="1"/>
        </w:numPr>
        <w:spacing w:line="3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凡有意参加磋商采购的供应商，请于公告发布之日（2021年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color w:val="auto"/>
          <w:sz w:val="24"/>
          <w:szCs w:val="24"/>
        </w:rPr>
        <w:t>起至提交首次响应文件截止时间之前，在重庆市生态环境局政府公众信息网站（http://sthjj.cq.gov.cn）上下载本项目磋商文件、补遗等磋商前公布的所有项目资料，无论供应商下载与否，均视为已知晓所有磋商实质性要求内容。</w:t>
      </w:r>
    </w:p>
    <w:p>
      <w:pPr>
        <w:numPr>
          <w:ilvl w:val="0"/>
          <w:numId w:val="1"/>
        </w:num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竞争性磋商公告期限：自采购公告发布之日（</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bCs/>
          <w:color w:val="auto"/>
          <w:sz w:val="24"/>
          <w:szCs w:val="24"/>
        </w:rPr>
        <w:t>）起三个工作日。</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（三）报名及磋商文件发售</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1.报名和磋商文件发售期：</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日</w:t>
      </w:r>
      <w:r>
        <w:rPr>
          <w:rFonts w:hint="eastAsia" w:ascii="微软雅黑" w:hAnsi="微软雅黑" w:eastAsia="微软雅黑" w:cs="微软雅黑"/>
          <w:bCs/>
          <w:color w:val="auto"/>
          <w:sz w:val="24"/>
          <w:szCs w:val="24"/>
        </w:rPr>
        <w:t>17:00</w:t>
      </w:r>
    </w:p>
    <w:p>
      <w:pPr>
        <w:spacing w:line="360" w:lineRule="exact"/>
        <w:ind w:firstLine="480" w:firstLineChars="200"/>
        <w:rPr>
          <w:rFonts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2.磋商文件售价：人民币300元/份（售后不退）</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2.1磋商文件购买方式</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2.1.1</w:t>
      </w:r>
      <w:r>
        <w:rPr>
          <w:rFonts w:hint="eastAsia" w:ascii="微软雅黑" w:hAnsi="微软雅黑" w:eastAsia="微软雅黑" w:cs="微软雅黑"/>
          <w:b/>
          <w:color w:val="000000" w:themeColor="text1"/>
          <w:sz w:val="24"/>
          <w:szCs w:val="24"/>
          <w14:textFill>
            <w14:solidFill>
              <w14:schemeClr w14:val="tx1"/>
            </w14:solidFill>
          </w14:textFill>
        </w:rPr>
        <w:t>现金购买</w:t>
      </w:r>
    </w:p>
    <w:p>
      <w:pPr>
        <w:spacing w:line="3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在磋商文件发售期内，供应商到重庆市江北区观音桥建新南路11号12-1室登记递交《重庆鼎创招标代理有限公司采购文件发售登记表》（加盖供应商公章）并购买磋商文件。</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2.1.2</w:t>
      </w:r>
      <w:r>
        <w:rPr>
          <w:rFonts w:hint="eastAsia" w:ascii="微软雅黑" w:hAnsi="微软雅黑" w:eastAsia="微软雅黑" w:cs="微软雅黑"/>
          <w:b/>
          <w:color w:val="000000" w:themeColor="text1"/>
          <w:sz w:val="24"/>
          <w:szCs w:val="24"/>
          <w14:textFill>
            <w14:solidFill>
              <w14:schemeClr w14:val="tx1"/>
            </w14:solidFill>
          </w14:textFill>
        </w:rPr>
        <w:t>汇款购买</w:t>
      </w:r>
    </w:p>
    <w:p>
      <w:pPr>
        <w:spacing w:line="460" w:lineRule="exact"/>
        <w:ind w:firstLine="560" w:firstLineChars="200"/>
        <w:rPr>
          <w:rFonts w:ascii="微软雅黑" w:hAnsi="微软雅黑" w:eastAsia="微软雅黑" w:cs="微软雅黑"/>
          <w:bCs/>
          <w:color w:val="000000" w:themeColor="text1"/>
          <w:sz w:val="24"/>
          <w:szCs w:val="24"/>
          <w14:textFill>
            <w14:solidFill>
              <w14:schemeClr w14:val="tx1"/>
            </w14:solidFill>
          </w14:textFill>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微软雅黑" w:hAnsi="微软雅黑" w:eastAsia="微软雅黑" w:cs="微软雅黑"/>
          <w:bCs/>
          <w:color w:val="000000" w:themeColor="text1"/>
          <w:sz w:val="24"/>
          <w:szCs w:val="24"/>
          <w14:textFill>
            <w14:solidFill>
              <w14:schemeClr w14:val="tx1"/>
            </w14:solidFill>
          </w14:textFill>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65"/>
          <w:rFonts w:hint="eastAsia" w:ascii="微软雅黑" w:hAnsi="微软雅黑" w:eastAsia="微软雅黑" w:cs="微软雅黑"/>
          <w:bCs/>
          <w:color w:val="000000" w:themeColor="text1"/>
          <w:sz w:val="24"/>
          <w:szCs w:val="24"/>
          <w:lang w:val="en-US" w:eastAsia="zh-CN"/>
          <w14:textFill>
            <w14:solidFill>
              <w14:schemeClr w14:val="tx1"/>
            </w14:solidFill>
          </w14:textFill>
        </w:rPr>
        <w:t>920067666</w:t>
      </w:r>
      <w:r>
        <w:rPr>
          <w:rStyle w:val="65"/>
          <w:rFonts w:hint="eastAsia" w:ascii="微软雅黑" w:hAnsi="微软雅黑" w:eastAsia="微软雅黑" w:cs="微软雅黑"/>
          <w:bCs/>
          <w:color w:val="000000" w:themeColor="text1"/>
          <w:sz w:val="24"/>
          <w:szCs w:val="24"/>
          <w14:textFill>
            <w14:solidFill>
              <w14:schemeClr w14:val="tx1"/>
            </w14:solidFill>
          </w14:textFill>
        </w:rPr>
        <w:t>@qq.com（邮箱）。报名成功时间以代理机构收到以上资料邮箱的显示时间为准。</w:t>
      </w:r>
      <w:r>
        <w:rPr>
          <w:rStyle w:val="65"/>
          <w:rFonts w:hint="eastAsia" w:ascii="微软雅黑" w:hAnsi="微软雅黑" w:eastAsia="微软雅黑" w:cs="微软雅黑"/>
          <w:bCs/>
          <w:color w:val="000000" w:themeColor="text1"/>
          <w:sz w:val="24"/>
          <w:szCs w:val="24"/>
          <w14:textFill>
            <w14:solidFill>
              <w14:schemeClr w14:val="tx1"/>
            </w14:solidFill>
          </w14:textFill>
        </w:rPr>
        <w:fldChar w:fldCharType="end"/>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户  名：重庆鼎创招标代理有限公司</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开户行：招商银行股份有限公司重庆观音桥支行</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账  号：123911157910105</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 在报名和磋商文件发售期内购买了磋商文件并按以上要求提交了相应资料的供应商，其现场报名才被接收，否则当场退还响应文件。</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（四）供应商须满足以下二种条件，其响应文件才被接受：</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1、按时递交了响应文件；</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2、按时报名签到。</w:t>
      </w:r>
    </w:p>
    <w:p>
      <w:pPr>
        <w:spacing w:line="460" w:lineRule="exact"/>
        <w:ind w:firstLine="480" w:firstLineChars="200"/>
        <w:rPr>
          <w:rFonts w:hint="eastAsia" w:ascii="微软雅黑" w:hAnsi="微软雅黑" w:eastAsia="微软雅黑" w:cs="微软雅黑"/>
          <w:bCs/>
          <w:color w:val="000000" w:themeColor="text1"/>
          <w:sz w:val="24"/>
          <w:szCs w:val="24"/>
          <w14:textFill>
            <w14:solidFill>
              <w14:schemeClr w14:val="tx1"/>
            </w14:solidFill>
          </w14:textFill>
        </w:rPr>
      </w:pPr>
      <w:bookmarkStart w:id="13" w:name="_Toc8970"/>
      <w:r>
        <w:rPr>
          <w:rFonts w:hint="eastAsia" w:ascii="微软雅黑" w:hAnsi="微软雅黑" w:eastAsia="微软雅黑" w:cs="微软雅黑"/>
          <w:bCs/>
          <w:color w:val="000000" w:themeColor="text1"/>
          <w:sz w:val="24"/>
          <w:szCs w:val="24"/>
          <w14:textFill>
            <w14:solidFill>
              <w14:schemeClr w14:val="tx1"/>
            </w14:solidFill>
          </w14:textFill>
        </w:rPr>
        <w:t>（五）磋商地</w:t>
      </w:r>
      <w:r>
        <w:rPr>
          <w:rFonts w:hint="eastAsia" w:ascii="微软雅黑" w:hAnsi="微软雅黑" w:eastAsia="微软雅黑" w:cs="微软雅黑"/>
          <w:bCs/>
          <w:color w:val="auto"/>
          <w:sz w:val="24"/>
          <w:szCs w:val="24"/>
        </w:rPr>
        <w:t>点：重庆市生态环境大数据应用中心一楼会议室（</w:t>
      </w:r>
      <w:r>
        <w:rPr>
          <w:rFonts w:hint="eastAsia" w:ascii="微软雅黑" w:hAnsi="微软雅黑" w:eastAsia="微软雅黑" w:cs="微软雅黑"/>
          <w:bCs/>
          <w:color w:val="000000" w:themeColor="text1"/>
          <w:sz w:val="24"/>
          <w:szCs w:val="24"/>
          <w14:textFill>
            <w14:solidFill>
              <w14:schemeClr w14:val="tx1"/>
            </w14:solidFill>
          </w14:textFill>
        </w:rPr>
        <w:t>重庆市渝北区旗山路252号）。</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（六）提交响应文件开始时间：</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日 北京时间 14时00分。</w:t>
      </w:r>
    </w:p>
    <w:p>
      <w:pPr>
        <w:spacing w:line="460" w:lineRule="exact"/>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（七）提交响应文件截止时间：</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日 北京时间14时30分。</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（八）磋商开始时间：</w:t>
      </w:r>
      <w:r>
        <w:rPr>
          <w:rFonts w:hint="eastAsia" w:ascii="微软雅黑" w:hAnsi="微软雅黑" w:eastAsia="微软雅黑" w:cs="微软雅黑"/>
          <w:color w:val="000000" w:themeColor="text1"/>
          <w:sz w:val="24"/>
          <w:szCs w:val="24"/>
          <w14:textFill>
            <w14:solidFill>
              <w14:schemeClr w14:val="tx1"/>
            </w14:solidFill>
          </w14:textFill>
        </w:rPr>
        <w:t>2021年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日北京时间14时30分。</w:t>
      </w:r>
      <w:bookmarkEnd w:id="7"/>
      <w:bookmarkEnd w:id="12"/>
      <w:bookmarkEnd w:id="13"/>
      <w:bookmarkStart w:id="14" w:name="_Toc480466698"/>
      <w:bookmarkStart w:id="15" w:name="_Toc479668114"/>
      <w:bookmarkStart w:id="16" w:name="_Toc499576199"/>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7" w:name="_Toc13746"/>
      <w:bookmarkStart w:id="18" w:name="_Toc10080"/>
      <w:r>
        <w:rPr>
          <w:rFonts w:hint="eastAsia" w:ascii="微软雅黑" w:hAnsi="微软雅黑" w:eastAsia="微软雅黑" w:cs="微软雅黑"/>
          <w:color w:val="000000" w:themeColor="text1"/>
          <w:sz w:val="24"/>
          <w:szCs w:val="24"/>
          <w14:textFill>
            <w14:solidFill>
              <w14:schemeClr w14:val="tx1"/>
            </w14:solidFill>
          </w14:textFill>
        </w:rPr>
        <w:t>五、保证金</w:t>
      </w:r>
      <w:bookmarkEnd w:id="17"/>
      <w:bookmarkEnd w:id="18"/>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（一）保证金递交</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供应商须按本项目规定的保证金金额进行缴纳（保证金金额详见本篇，一、竞争性磋商文件内容），由供应商从其基本账户将保证金汇至以下账户，保证金的到账截止时间同提交响应文件截止时间。</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保证金账户</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户  名：重庆鼎创招标代理有限公司</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开户行：招商银行股份有限公司重庆观音桥支行</w:t>
      </w:r>
    </w:p>
    <w:p>
      <w:pPr>
        <w:snapToGrid w:val="0"/>
        <w:spacing w:line="44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账  号：123911157910105</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1、各供应商在银行转账（电汇）时，须充分考虑银行转账（电汇）的时间差风险，如同城转账、异地转账或汇款、跨行转账或电汇的时间要求。</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2、各供应商在递交保证金时，到款账户为上述指定的保证金专用账户，来款账户必须为本公司基本账户。</w:t>
      </w:r>
    </w:p>
    <w:p>
      <w:pPr>
        <w:snapToGrid w:val="0"/>
        <w:spacing w:line="440" w:lineRule="exact"/>
        <w:ind w:firstLine="720" w:firstLineChars="3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（二）保证金退还方式</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1、未成交供应商的磋商保证金，在成交通知书发放后，由采购代理机构在五个工作日内按来款渠道直接退还。</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2、成交供应商的磋商保证金，在成交供应商与采购人签订合同后，由采购代理机构在五个工作日内按资金来款渠道直接退还。</w:t>
      </w:r>
    </w:p>
    <w:p>
      <w:pPr>
        <w:pStyle w:val="5"/>
        <w:spacing w:before="0" w:after="0"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19" w:name="_Toc10445"/>
      <w:r>
        <w:rPr>
          <w:rFonts w:hint="eastAsia" w:ascii="微软雅黑" w:hAnsi="微软雅黑" w:eastAsia="微软雅黑" w:cs="微软雅黑"/>
          <w:color w:val="000000" w:themeColor="text1"/>
          <w:sz w:val="24"/>
          <w:szCs w:val="24"/>
          <w14:textFill>
            <w14:solidFill>
              <w14:schemeClr w14:val="tx1"/>
            </w14:solidFill>
          </w14:textFill>
        </w:rPr>
        <w:t>六、采购项目需落实的政府采购政策</w:t>
      </w:r>
      <w:bookmarkEnd w:id="14"/>
      <w:bookmarkEnd w:id="15"/>
      <w:bookmarkEnd w:id="16"/>
      <w:bookmarkEnd w:id="19"/>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（二）按照《财政部 工业和信息化部关于印发&lt;政府采购促进中小企业发展管理办法&gt;的通知》（财库〔2020〕46号）的规定，落实促进中小企业发展政策。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pPr>
        <w:snapToGrid w:val="0"/>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0" w:name="_Toc16319"/>
      <w:bookmarkStart w:id="21" w:name="_Toc15260"/>
      <w:bookmarkStart w:id="22" w:name="_Toc6620"/>
      <w:r>
        <w:rPr>
          <w:rFonts w:hint="eastAsia" w:ascii="微软雅黑" w:hAnsi="微软雅黑" w:eastAsia="微软雅黑" w:cs="微软雅黑"/>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bookmarkEnd w:id="20"/>
      <w:bookmarkEnd w:id="21"/>
      <w:bookmarkEnd w:id="22"/>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3" w:name="_Toc1851"/>
      <w:r>
        <w:rPr>
          <w:rFonts w:hint="eastAsia" w:ascii="微软雅黑" w:hAnsi="微软雅黑" w:eastAsia="微软雅黑" w:cs="微软雅黑"/>
          <w:color w:val="000000" w:themeColor="text1"/>
          <w:sz w:val="24"/>
          <w:szCs w:val="24"/>
          <w14:textFill>
            <w14:solidFill>
              <w14:schemeClr w14:val="tx1"/>
            </w14:solidFill>
          </w14:textFill>
        </w:rPr>
        <w:t>七、其它有关规定</w:t>
      </w:r>
      <w:bookmarkEnd w:id="23"/>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（一）单位负责人为同一人或者存在直接控股、管理关系的不同供应商，不得参加同一合同项下的政府采购活动，否则均为无效响应。</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本项目的补遗文件（如果有）一律在“重庆市生态环境局政府公众信息网站（http://sthjj.cq.gov.cn）”上发布，请各供应商注意下载；无论供应商下载与否，均视同供应商已知晓本项目补遗文件（如果有）的内容。</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（四）超过响应文件截止时间递交的响应文件，恕不接收。</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（五）磋商费用：无论磋商结果如何，供应商参与本项目磋商的所有费用均应由供应商自行承担。</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w:t>
      </w:r>
      <w:r>
        <w:rPr>
          <w:rFonts w:hint="eastAsia" w:ascii="微软雅黑" w:hAnsi="微软雅黑" w:eastAsia="微软雅黑" w:cs="微软雅黑"/>
          <w:b/>
          <w:bCs/>
          <w:color w:val="000000" w:themeColor="text1"/>
          <w:sz w:val="24"/>
          <w:szCs w:val="24"/>
          <w14:textFill>
            <w14:solidFill>
              <w14:schemeClr w14:val="tx1"/>
            </w14:solidFill>
          </w14:textFill>
        </w:rPr>
        <w:t>本项目不接受联合体参与磋商</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（七）本项目不接受合同分包。</w:t>
      </w:r>
    </w:p>
    <w:p>
      <w:pPr>
        <w:spacing w:line="400" w:lineRule="exact"/>
        <w:ind w:firstLine="480" w:firstLineChars="200"/>
      </w:pPr>
      <w:r>
        <w:rPr>
          <w:rFonts w:hint="eastAsia" w:ascii="微软雅黑" w:hAnsi="微软雅黑" w:eastAsia="微软雅黑" w:cs="微软雅黑"/>
          <w:color w:val="000000" w:themeColor="text1"/>
          <w:sz w:val="24"/>
          <w:szCs w:val="24"/>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bookmarkStart w:id="24" w:name="_Toc12422"/>
      <w:r>
        <w:rPr>
          <w:rFonts w:hint="eastAsia" w:ascii="微软雅黑" w:hAnsi="微软雅黑" w:eastAsia="微软雅黑" w:cs="微软雅黑"/>
          <w:color w:val="000000" w:themeColor="text1"/>
          <w:sz w:val="24"/>
          <w:szCs w:val="24"/>
          <w14:textFill>
            <w14:solidFill>
              <w14:schemeClr w14:val="tx1"/>
            </w14:solidFill>
          </w14:textFill>
        </w:rPr>
        <w:t>八、联系方式</w:t>
      </w:r>
      <w:bookmarkEnd w:id="24"/>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（一）采购人：重庆市生态环境大数据应用中心</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val="en-US" w:eastAsia="zh-CN"/>
        </w:rPr>
        <w:t>刘</w:t>
      </w:r>
      <w:r>
        <w:rPr>
          <w:rFonts w:hint="eastAsia" w:ascii="微软雅黑" w:hAnsi="微软雅黑" w:eastAsia="微软雅黑" w:cs="微软雅黑"/>
          <w:color w:val="auto"/>
          <w:sz w:val="24"/>
          <w:szCs w:val="24"/>
        </w:rPr>
        <w:t>老师</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话：023-89188836</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auto"/>
          <w:sz w:val="24"/>
          <w:szCs w:val="24"/>
        </w:rPr>
        <w:t>地  址：重庆市渝北区冉家</w:t>
      </w:r>
      <w:r>
        <w:rPr>
          <w:rFonts w:hint="eastAsia" w:ascii="微软雅黑" w:hAnsi="微软雅黑" w:eastAsia="微软雅黑" w:cs="微软雅黑"/>
          <w:color w:val="000000" w:themeColor="text1"/>
          <w:sz w:val="24"/>
          <w:szCs w:val="24"/>
          <w14:textFill>
            <w14:solidFill>
              <w14:schemeClr w14:val="tx1"/>
            </w14:solidFill>
          </w14:textFill>
        </w:rPr>
        <w:t>坝旗山路252号</w:t>
      </w:r>
    </w:p>
    <w:p>
      <w:pPr>
        <w:spacing w:line="46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（二）采购代理机构：重庆鼎创招标代理有限公司</w:t>
      </w:r>
    </w:p>
    <w:p>
      <w:pPr>
        <w:spacing w:line="46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张</w:t>
      </w:r>
      <w:r>
        <w:rPr>
          <w:rFonts w:hint="eastAsia" w:ascii="微软雅黑" w:hAnsi="微软雅黑" w:eastAsia="微软雅黑" w:cs="微软雅黑"/>
          <w:color w:val="000000" w:themeColor="text1"/>
          <w:sz w:val="24"/>
          <w:szCs w:val="24"/>
          <w14:textFill>
            <w14:solidFill>
              <w14:schemeClr w14:val="tx1"/>
            </w14:solidFill>
          </w14:textFill>
        </w:rPr>
        <w:t>老师</w:t>
      </w:r>
    </w:p>
    <w:p>
      <w:pPr>
        <w:spacing w:line="460" w:lineRule="exact"/>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电  话：023-67865997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15520080139</w:t>
      </w:r>
    </w:p>
    <w:p>
      <w:pPr>
        <w:spacing w:line="460" w:lineRule="exact"/>
        <w:ind w:firstLine="480" w:firstLineChars="200"/>
        <w:rPr>
          <w:rFonts w:ascii="微软雅黑" w:hAnsi="微软雅黑" w:eastAsia="微软雅黑" w:cs="微软雅黑"/>
          <w:b/>
          <w:color w:val="000000" w:themeColor="text1"/>
          <w:sz w:val="24"/>
          <w:szCs w:val="24"/>
          <w14:textFill>
            <w14:solidFill>
              <w14:schemeClr w14:val="tx1"/>
            </w14:solidFill>
          </w14:textFill>
        </w:rPr>
        <w:sectPr>
          <w:pgSz w:w="11907" w:h="16840"/>
          <w:pgMar w:top="1134" w:right="1418" w:bottom="1134" w:left="1418" w:header="964" w:footer="992" w:gutter="0"/>
          <w:pgNumType w:fmt="numberInDash"/>
          <w:cols w:space="720" w:num="1"/>
          <w:rtlGutter w:val="1"/>
          <w:docGrid w:linePitch="312" w:charSpace="0"/>
        </w:sectPr>
      </w:pPr>
      <w:r>
        <w:rPr>
          <w:rFonts w:hint="eastAsia" w:ascii="微软雅黑" w:hAnsi="微软雅黑" w:eastAsia="微软雅黑" w:cs="微软雅黑"/>
          <w:color w:val="000000" w:themeColor="text1"/>
          <w:sz w:val="24"/>
          <w:szCs w:val="24"/>
          <w14:textFill>
            <w14:solidFill>
              <w14:schemeClr w14:val="tx1"/>
            </w14:solidFill>
          </w14:textFill>
        </w:rPr>
        <w:t>地  址：重庆市江北区观音桥建新南路11号（浩博天庭）12-1</w:t>
      </w:r>
    </w:p>
    <w:p>
      <w:pPr>
        <w:pStyle w:val="4"/>
        <w:numPr>
          <w:ilvl w:val="0"/>
          <w:numId w:val="2"/>
        </w:numPr>
        <w:spacing w:before="0" w:after="0" w:line="360" w:lineRule="auto"/>
        <w:ind w:firstLine="720" w:firstLineChars="200"/>
        <w:jc w:val="center"/>
        <w:rPr>
          <w:rFonts w:ascii="微软雅黑" w:hAnsi="微软雅黑" w:eastAsia="微软雅黑" w:cs="微软雅黑"/>
          <w:bCs/>
          <w:color w:val="000000" w:themeColor="text1"/>
          <w:sz w:val="36"/>
          <w:szCs w:val="30"/>
          <w14:textFill>
            <w14:solidFill>
              <w14:schemeClr w14:val="tx1"/>
            </w14:solidFill>
          </w14:textFill>
        </w:rPr>
      </w:pPr>
      <w:bookmarkStart w:id="25" w:name="_Toc24788"/>
      <w:r>
        <w:rPr>
          <w:rFonts w:hint="eastAsia" w:ascii="微软雅黑" w:hAnsi="微软雅黑" w:eastAsia="微软雅黑" w:cs="微软雅黑"/>
          <w:bCs/>
          <w:color w:val="000000" w:themeColor="text1"/>
          <w:sz w:val="36"/>
          <w:szCs w:val="30"/>
          <w14:textFill>
            <w14:solidFill>
              <w14:schemeClr w14:val="tx1"/>
            </w14:solidFill>
          </w14:textFill>
        </w:rPr>
        <w:t>采购服务需求</w:t>
      </w:r>
      <w:bookmarkEnd w:id="25"/>
      <w:bookmarkStart w:id="26" w:name="_Toc12789058"/>
    </w:p>
    <w:p>
      <w:pPr>
        <w:pStyle w:val="5"/>
        <w:numPr>
          <w:ilvl w:val="0"/>
          <w:numId w:val="3"/>
        </w:numPr>
        <w:spacing w:before="0" w:after="0" w:line="400" w:lineRule="exact"/>
        <w:rPr>
          <w:rFonts w:hint="eastAsia" w:ascii="微软雅黑" w:hAnsi="微软雅黑" w:eastAsia="微软雅黑" w:cs="微软雅黑"/>
          <w:bCs/>
          <w:sz w:val="24"/>
          <w:szCs w:val="22"/>
        </w:rPr>
      </w:pPr>
      <w:bookmarkStart w:id="27" w:name="_Toc7644"/>
      <w:bookmarkStart w:id="28" w:name="_Toc7564"/>
      <w:bookmarkStart w:id="29" w:name="_Toc16598993"/>
      <w:r>
        <w:rPr>
          <w:rFonts w:hint="eastAsia" w:ascii="微软雅黑" w:hAnsi="微软雅黑" w:eastAsia="微软雅黑" w:cs="微软雅黑"/>
          <w:bCs/>
          <w:sz w:val="24"/>
          <w:szCs w:val="22"/>
        </w:rPr>
        <w:t>项目内容一览表</w:t>
      </w:r>
      <w:bookmarkEnd w:id="27"/>
      <w:bookmarkEnd w:id="28"/>
      <w:bookmarkEnd w:id="29"/>
    </w:p>
    <w:tbl>
      <w:tblPr>
        <w:tblStyle w:val="57"/>
        <w:tblW w:w="0" w:type="auto"/>
        <w:tblInd w:w="93" w:type="dxa"/>
        <w:tblLayout w:type="fixed"/>
        <w:tblCellMar>
          <w:top w:w="0" w:type="dxa"/>
          <w:left w:w="108" w:type="dxa"/>
          <w:bottom w:w="0" w:type="dxa"/>
          <w:right w:w="108" w:type="dxa"/>
        </w:tblCellMar>
      </w:tblPr>
      <w:tblGrid>
        <w:gridCol w:w="1433"/>
        <w:gridCol w:w="5578"/>
        <w:gridCol w:w="2249"/>
      </w:tblGrid>
      <w:tr>
        <w:tblPrEx>
          <w:tblCellMar>
            <w:top w:w="0" w:type="dxa"/>
            <w:left w:w="108" w:type="dxa"/>
            <w:bottom w:w="0" w:type="dxa"/>
            <w:right w:w="108" w:type="dxa"/>
          </w:tblCellMar>
        </w:tblPrEx>
        <w:trPr>
          <w:trHeight w:val="636"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sz w:val="24"/>
                <w:szCs w:val="22"/>
              </w:rPr>
            </w:pPr>
            <w:r>
              <w:rPr>
                <w:rFonts w:hint="eastAsia" w:ascii="微软雅黑" w:hAnsi="微软雅黑" w:eastAsia="微软雅黑" w:cs="微软雅黑"/>
                <w:b/>
                <w:bCs/>
                <w:sz w:val="24"/>
                <w:szCs w:val="22"/>
              </w:rPr>
              <w:t>编号</w:t>
            </w:r>
          </w:p>
        </w:tc>
        <w:tc>
          <w:tcPr>
            <w:tcW w:w="557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sz w:val="24"/>
                <w:szCs w:val="22"/>
              </w:rPr>
            </w:pPr>
            <w:r>
              <w:rPr>
                <w:rFonts w:hint="eastAsia" w:ascii="微软雅黑" w:hAnsi="微软雅黑" w:eastAsia="微软雅黑" w:cs="微软雅黑"/>
                <w:b/>
                <w:bCs/>
                <w:sz w:val="24"/>
                <w:szCs w:val="22"/>
              </w:rPr>
              <w:t>项目内容</w:t>
            </w:r>
          </w:p>
        </w:tc>
        <w:tc>
          <w:tcPr>
            <w:tcW w:w="224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sz w:val="24"/>
                <w:szCs w:val="22"/>
              </w:rPr>
            </w:pPr>
            <w:r>
              <w:rPr>
                <w:rFonts w:hint="eastAsia" w:ascii="微软雅黑" w:hAnsi="微软雅黑" w:eastAsia="微软雅黑" w:cs="微软雅黑"/>
                <w:b/>
                <w:bCs/>
                <w:sz w:val="24"/>
                <w:szCs w:val="22"/>
              </w:rPr>
              <w:t>备注</w:t>
            </w:r>
          </w:p>
        </w:tc>
      </w:tr>
      <w:tr>
        <w:tblPrEx>
          <w:tblCellMar>
            <w:top w:w="0" w:type="dxa"/>
            <w:left w:w="108" w:type="dxa"/>
            <w:bottom w:w="0" w:type="dxa"/>
            <w:right w:w="108" w:type="dxa"/>
          </w:tblCellMar>
        </w:tblPrEx>
        <w:trPr>
          <w:trHeight w:val="512" w:hRule="atLeast"/>
        </w:trPr>
        <w:tc>
          <w:tcPr>
            <w:tcW w:w="1433" w:type="dxa"/>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w:t>
            </w:r>
          </w:p>
        </w:tc>
        <w:tc>
          <w:tcPr>
            <w:tcW w:w="5578" w:type="dxa"/>
            <w:tcBorders>
              <w:top w:val="nil"/>
              <w:left w:val="nil"/>
              <w:bottom w:val="single" w:color="auto" w:sz="4" w:space="0"/>
              <w:right w:val="single" w:color="auto" w:sz="4" w:space="0"/>
            </w:tcBorders>
            <w:noWrap w:val="0"/>
            <w:vAlign w:val="center"/>
          </w:tcPr>
          <w:p>
            <w:pPr>
              <w:spacing w:line="360" w:lineRule="auto"/>
              <w:rPr>
                <w:rFonts w:hint="eastAsia" w:ascii="微软雅黑" w:hAnsi="微软雅黑" w:eastAsia="微软雅黑" w:cs="微软雅黑"/>
                <w:sz w:val="24"/>
                <w:szCs w:val="22"/>
              </w:rPr>
            </w:pPr>
            <w:r>
              <w:rPr>
                <w:rFonts w:hint="eastAsia" w:ascii="微软雅黑" w:hAnsi="微软雅黑" w:eastAsia="微软雅黑" w:cs="微软雅黑"/>
                <w:sz w:val="24"/>
                <w:szCs w:val="22"/>
              </w:rPr>
              <w:t>重庆市生态环境局机关计算机相关办公设备设施运维服务</w:t>
            </w:r>
          </w:p>
        </w:tc>
        <w:tc>
          <w:tcPr>
            <w:tcW w:w="2249" w:type="dxa"/>
            <w:tcBorders>
              <w:top w:val="nil"/>
              <w:left w:val="nil"/>
              <w:bottom w:val="single" w:color="auto" w:sz="4" w:space="0"/>
              <w:right w:val="single" w:color="auto" w:sz="4" w:space="0"/>
            </w:tcBorders>
            <w:noWrap w:val="0"/>
            <w:vAlign w:val="center"/>
          </w:tcPr>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服务期限1年</w:t>
            </w:r>
          </w:p>
        </w:tc>
      </w:tr>
    </w:tbl>
    <w:p>
      <w:pPr>
        <w:rPr>
          <w:rFonts w:hint="eastAsia" w:ascii="微软雅黑" w:hAnsi="微软雅黑" w:eastAsia="微软雅黑" w:cs="微软雅黑"/>
          <w:sz w:val="24"/>
          <w:szCs w:val="24"/>
        </w:rPr>
      </w:pPr>
    </w:p>
    <w:p>
      <w:pPr>
        <w:pStyle w:val="5"/>
        <w:rPr>
          <w:rFonts w:hint="eastAsia" w:ascii="微软雅黑" w:hAnsi="微软雅黑" w:eastAsia="微软雅黑" w:cs="微软雅黑"/>
          <w:szCs w:val="22"/>
        </w:rPr>
      </w:pPr>
      <w:bookmarkStart w:id="30" w:name="_Toc10966"/>
      <w:bookmarkStart w:id="31" w:name="_Toc18409"/>
      <w:bookmarkStart w:id="32" w:name="_Toc14356133"/>
      <w:r>
        <w:rPr>
          <w:rFonts w:hint="eastAsia" w:ascii="微软雅黑" w:hAnsi="微软雅黑" w:eastAsia="微软雅黑" w:cs="微软雅黑"/>
          <w:bCs/>
          <w:sz w:val="24"/>
          <w:szCs w:val="22"/>
        </w:rPr>
        <w:t>二、驻场服务内容及质量要求</w:t>
      </w:r>
      <w:bookmarkEnd w:id="30"/>
      <w:bookmarkEnd w:id="31"/>
      <w:bookmarkEnd w:id="32"/>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（一）总体概况</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本项目运维服务成交供应商须为重庆市生态环境局提供计算机相关办公设备设施运维驻场服务，并根据采购人安排对市生态环境局分局及直属单位开展同级别服务。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（二）驻场服务需求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b/>
          <w:bCs/>
          <w:sz w:val="24"/>
          <w:szCs w:val="22"/>
        </w:rPr>
        <w:t>*</w:t>
      </w:r>
      <w:r>
        <w:rPr>
          <w:rFonts w:hint="eastAsia" w:ascii="微软雅黑" w:hAnsi="微软雅黑" w:eastAsia="微软雅黑" w:cs="微软雅黑"/>
          <w:sz w:val="24"/>
          <w:szCs w:val="22"/>
        </w:rPr>
        <w:t>1.服务期限</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驻场运维服务期限为1年</w:t>
      </w:r>
      <w:r>
        <w:rPr>
          <w:rFonts w:hint="eastAsia" w:ascii="微软雅黑" w:hAnsi="微软雅黑" w:eastAsia="微软雅黑" w:cs="微软雅黑"/>
          <w:sz w:val="24"/>
          <w:szCs w:val="22"/>
          <w:lang w:eastAsia="zh-CN"/>
        </w:rPr>
        <w:t>（</w:t>
      </w:r>
      <w:r>
        <w:rPr>
          <w:rFonts w:hint="eastAsia" w:ascii="微软雅黑" w:hAnsi="微软雅黑" w:eastAsia="微软雅黑" w:cs="微软雅黑"/>
          <w:sz w:val="24"/>
          <w:szCs w:val="22"/>
          <w:lang w:val="en-US" w:eastAsia="zh-CN"/>
        </w:rPr>
        <w:t>2021年9月27日--2022年9月26日</w:t>
      </w:r>
      <w:r>
        <w:rPr>
          <w:rFonts w:hint="eastAsia" w:ascii="微软雅黑" w:hAnsi="微软雅黑" w:eastAsia="微软雅黑" w:cs="微软雅黑"/>
          <w:sz w:val="24"/>
          <w:szCs w:val="22"/>
          <w:lang w:eastAsia="zh-CN"/>
        </w:rPr>
        <w:t>）</w:t>
      </w:r>
      <w:r>
        <w:rPr>
          <w:rFonts w:hint="eastAsia" w:ascii="微软雅黑" w:hAnsi="微软雅黑" w:eastAsia="微软雅黑" w:cs="微软雅黑"/>
          <w:sz w:val="24"/>
          <w:szCs w:val="22"/>
        </w:rPr>
        <w:t>。</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 驻场工程师要求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供应商应按照采购人要求成立驻场运维服务小组，派出驻场工程师到采购人现场办公并提供现场运维服务；</w:t>
      </w:r>
      <w:r>
        <w:rPr>
          <w:rFonts w:hint="eastAsia" w:ascii="微软雅黑" w:hAnsi="微软雅黑" w:eastAsia="微软雅黑" w:cs="微软雅黑"/>
          <w:sz w:val="24"/>
          <w:szCs w:val="22"/>
          <w:lang w:eastAsia="zh-CN"/>
        </w:rPr>
        <w:t>供应商应组织后援技术支持团队，</w:t>
      </w:r>
      <w:r>
        <w:rPr>
          <w:rFonts w:hint="eastAsia" w:ascii="微软雅黑" w:hAnsi="微软雅黑" w:eastAsia="微软雅黑" w:cs="微软雅黑"/>
          <w:sz w:val="24"/>
          <w:szCs w:val="22"/>
        </w:rPr>
        <w:t>当驻场工程师无法解决问题时，供应商应及时提供后援技术支持和补充人员。</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b/>
          <w:bCs/>
          <w:sz w:val="24"/>
          <w:szCs w:val="22"/>
        </w:rPr>
        <w:t>*</w:t>
      </w:r>
      <w:r>
        <w:rPr>
          <w:rFonts w:hint="eastAsia" w:ascii="微软雅黑" w:hAnsi="微软雅黑" w:eastAsia="微软雅黑" w:cs="微软雅黑"/>
          <w:sz w:val="24"/>
          <w:szCs w:val="22"/>
        </w:rPr>
        <w:t>（1）驻场工程师数量要求:在采购人现场的驻场工程师不少于3人。</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b/>
          <w:bCs/>
          <w:sz w:val="24"/>
          <w:szCs w:val="22"/>
        </w:rPr>
        <w:t>*</w:t>
      </w:r>
      <w:r>
        <w:rPr>
          <w:rFonts w:hint="eastAsia" w:ascii="微软雅黑" w:hAnsi="微软雅黑" w:eastAsia="微软雅黑" w:cs="微软雅黑"/>
          <w:sz w:val="24"/>
          <w:szCs w:val="22"/>
        </w:rPr>
        <w:t>（2）驻场工程师资质/能力要求：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A、所有驻场工程师均须具备良好思想素质，工作责任心强，并具备良好的用户沟通能力、主动服务意识和安全保密意识。</w:t>
      </w:r>
    </w:p>
    <w:p>
      <w:pPr>
        <w:spacing w:line="360" w:lineRule="auto"/>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sz w:val="24"/>
          <w:szCs w:val="22"/>
        </w:rPr>
        <w:t>B、驻场运维服务小组设立组长一名,组长须具备大专及以上学历，并具备至少2年计算机相关办公设备运维经</w:t>
      </w:r>
      <w:r>
        <w:rPr>
          <w:rFonts w:hint="eastAsia" w:ascii="微软雅黑" w:hAnsi="微软雅黑" w:eastAsia="微软雅黑" w:cs="微软雅黑"/>
          <w:color w:val="auto"/>
          <w:sz w:val="24"/>
          <w:szCs w:val="22"/>
        </w:rPr>
        <w:t>验；</w:t>
      </w:r>
      <w:r>
        <w:rPr>
          <w:rFonts w:hint="eastAsia" w:ascii="微软雅黑" w:hAnsi="微软雅黑" w:eastAsia="微软雅黑" w:cs="微软雅黑"/>
          <w:b/>
          <w:bCs/>
          <w:color w:val="auto"/>
          <w:sz w:val="24"/>
          <w:szCs w:val="22"/>
          <w:lang w:val="en-US" w:eastAsia="zh-CN"/>
        </w:rPr>
        <w:t>在响应文件中</w:t>
      </w:r>
      <w:r>
        <w:rPr>
          <w:rFonts w:hint="eastAsia" w:ascii="微软雅黑" w:hAnsi="微软雅黑" w:eastAsia="微软雅黑" w:cs="微软雅黑"/>
          <w:b/>
          <w:bCs/>
          <w:color w:val="auto"/>
          <w:sz w:val="24"/>
          <w:szCs w:val="22"/>
        </w:rPr>
        <w:t>提供毕业证书复印件并加盖供应商公章</w:t>
      </w:r>
      <w:r>
        <w:rPr>
          <w:rFonts w:hint="eastAsia" w:ascii="微软雅黑" w:hAnsi="微软雅黑" w:eastAsia="微软雅黑" w:cs="微软雅黑"/>
          <w:color w:val="auto"/>
          <w:sz w:val="24"/>
          <w:szCs w:val="22"/>
        </w:rPr>
        <w:t>。</w:t>
      </w:r>
    </w:p>
    <w:p>
      <w:pPr>
        <w:spacing w:line="360" w:lineRule="auto"/>
        <w:ind w:firstLine="480" w:firstLineChars="200"/>
        <w:rPr>
          <w:rFonts w:hint="eastAsia" w:ascii="微软雅黑" w:hAnsi="微软雅黑" w:eastAsia="微软雅黑" w:cs="微软雅黑"/>
          <w:b/>
          <w:bCs/>
          <w:color w:val="auto"/>
          <w:sz w:val="24"/>
          <w:szCs w:val="22"/>
        </w:rPr>
      </w:pPr>
      <w:r>
        <w:rPr>
          <w:rFonts w:hint="eastAsia" w:ascii="微软雅黑" w:hAnsi="微软雅黑" w:eastAsia="微软雅黑" w:cs="微软雅黑"/>
          <w:color w:val="auto"/>
          <w:sz w:val="24"/>
          <w:szCs w:val="22"/>
        </w:rPr>
        <w:t>C、所有运维驻场工程师中，至少具备一名初级认证的网络工程师（H3C/Huawei/Cisco），熟练掌握楼层接入交换机、路由器等常见网络设备基本设置配置、局域网网络故障诊断与处理、局域网网络流量分析等技能，</w:t>
      </w:r>
      <w:r>
        <w:rPr>
          <w:rFonts w:hint="eastAsia" w:ascii="微软雅黑" w:hAnsi="微软雅黑" w:eastAsia="微软雅黑" w:cs="微软雅黑"/>
          <w:b/>
          <w:bCs/>
          <w:color w:val="auto"/>
          <w:sz w:val="24"/>
          <w:szCs w:val="22"/>
          <w:lang w:val="en-US" w:eastAsia="zh-CN"/>
        </w:rPr>
        <w:t>在响应文件中</w:t>
      </w:r>
      <w:r>
        <w:rPr>
          <w:rFonts w:hint="eastAsia" w:ascii="微软雅黑" w:hAnsi="微软雅黑" w:eastAsia="微软雅黑" w:cs="微软雅黑"/>
          <w:b/>
          <w:bCs/>
          <w:color w:val="auto"/>
          <w:sz w:val="24"/>
          <w:szCs w:val="22"/>
        </w:rPr>
        <w:t>提供网络工程师认证证书复印件并加盖供应商公章。</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D、所有驻场工程师均须具备计算机及外设办公设备的运维经验，熟练掌握计算机硬件、移动终端设备、常用办公软件及系统维护软件、APP应用程序、打印机、投影机等设备的使用、维护技能，熟练掌握计算机装机及配置技能，熟练掌握网络综合布线施工及维护等技能。</w:t>
      </w:r>
    </w:p>
    <w:p>
      <w:pPr>
        <w:spacing w:line="360" w:lineRule="auto"/>
        <w:ind w:firstLine="480" w:firstLineChars="200"/>
        <w:rPr>
          <w:rFonts w:hint="eastAsia" w:ascii="微软雅黑" w:hAnsi="微软雅黑" w:eastAsia="微软雅黑" w:cs="微软雅黑"/>
          <w:b/>
          <w:bCs/>
          <w:color w:val="auto"/>
          <w:sz w:val="24"/>
          <w:szCs w:val="22"/>
        </w:rPr>
      </w:pPr>
      <w:r>
        <w:rPr>
          <w:rFonts w:hint="eastAsia" w:ascii="微软雅黑" w:hAnsi="微软雅黑" w:eastAsia="微软雅黑" w:cs="微软雅黑"/>
          <w:color w:val="auto"/>
          <w:sz w:val="24"/>
          <w:szCs w:val="22"/>
        </w:rPr>
        <w:t>E、驻场工程师必须为供应商的正式员工，签署有劳动用工合同及社保缴费等依据</w:t>
      </w:r>
      <w:r>
        <w:rPr>
          <w:rFonts w:hint="eastAsia" w:ascii="微软雅黑" w:hAnsi="微软雅黑" w:eastAsia="微软雅黑" w:cs="微软雅黑"/>
          <w:b/>
          <w:bCs/>
          <w:color w:val="auto"/>
          <w:sz w:val="24"/>
          <w:szCs w:val="22"/>
        </w:rPr>
        <w:t>（</w:t>
      </w:r>
      <w:r>
        <w:rPr>
          <w:rFonts w:hint="eastAsia" w:ascii="微软雅黑" w:hAnsi="微软雅黑" w:eastAsia="微软雅黑" w:cs="微软雅黑"/>
          <w:b/>
          <w:bCs/>
          <w:color w:val="auto"/>
          <w:sz w:val="24"/>
          <w:szCs w:val="22"/>
          <w:lang w:val="en-US" w:eastAsia="zh-CN"/>
        </w:rPr>
        <w:t>在响应文件中</w:t>
      </w:r>
      <w:r>
        <w:rPr>
          <w:rFonts w:hint="eastAsia" w:ascii="微软雅黑" w:hAnsi="微软雅黑" w:eastAsia="微软雅黑" w:cs="微软雅黑"/>
          <w:b/>
          <w:bCs/>
          <w:color w:val="auto"/>
          <w:sz w:val="24"/>
          <w:szCs w:val="22"/>
        </w:rPr>
        <w:t>提供</w:t>
      </w:r>
      <w:r>
        <w:rPr>
          <w:rFonts w:hint="eastAsia" w:ascii="微软雅黑" w:hAnsi="微软雅黑" w:eastAsia="微软雅黑" w:cs="微软雅黑"/>
          <w:b/>
          <w:bCs/>
          <w:color w:val="auto"/>
          <w:sz w:val="24"/>
          <w:szCs w:val="22"/>
          <w:lang w:val="en-US" w:eastAsia="zh-CN"/>
        </w:rPr>
        <w:t>驻场工程师人员名单及2021年3月至2021年5月</w:t>
      </w:r>
      <w:r>
        <w:rPr>
          <w:rFonts w:hint="eastAsia" w:ascii="微软雅黑" w:hAnsi="微软雅黑" w:eastAsia="微软雅黑" w:cs="微软雅黑"/>
          <w:b/>
          <w:bCs/>
          <w:color w:val="auto"/>
          <w:sz w:val="24"/>
          <w:szCs w:val="22"/>
          <w:lang w:eastAsia="zh-CN"/>
        </w:rPr>
        <w:t>供应商</w:t>
      </w:r>
      <w:r>
        <w:rPr>
          <w:rFonts w:hint="eastAsia" w:ascii="微软雅黑" w:hAnsi="微软雅黑" w:eastAsia="微软雅黑" w:cs="微软雅黑"/>
          <w:b/>
          <w:bCs/>
          <w:color w:val="auto"/>
          <w:sz w:val="24"/>
          <w:szCs w:val="22"/>
          <w:lang w:val="en-US" w:eastAsia="zh-CN"/>
        </w:rPr>
        <w:t>为其</w:t>
      </w:r>
      <w:r>
        <w:rPr>
          <w:rFonts w:hint="eastAsia" w:ascii="微软雅黑" w:hAnsi="微软雅黑" w:eastAsia="微软雅黑" w:cs="微软雅黑"/>
          <w:b/>
          <w:bCs/>
          <w:color w:val="auto"/>
          <w:sz w:val="24"/>
          <w:szCs w:val="22"/>
          <w:lang w:eastAsia="zh-CN"/>
        </w:rPr>
        <w:t>缴纳</w:t>
      </w:r>
      <w:r>
        <w:rPr>
          <w:rFonts w:hint="eastAsia" w:ascii="微软雅黑" w:hAnsi="微软雅黑" w:eastAsia="微软雅黑" w:cs="微软雅黑"/>
          <w:b/>
          <w:bCs/>
          <w:color w:val="auto"/>
          <w:sz w:val="24"/>
          <w:szCs w:val="22"/>
        </w:rPr>
        <w:t>社保证明材料</w:t>
      </w:r>
      <w:r>
        <w:rPr>
          <w:rFonts w:hint="eastAsia" w:ascii="微软雅黑" w:hAnsi="微软雅黑" w:eastAsia="微软雅黑" w:cs="微软雅黑"/>
          <w:b/>
          <w:bCs/>
          <w:color w:val="auto"/>
          <w:sz w:val="24"/>
          <w:szCs w:val="22"/>
          <w:lang w:eastAsia="zh-CN"/>
        </w:rPr>
        <w:t>，</w:t>
      </w:r>
      <w:r>
        <w:rPr>
          <w:rFonts w:hint="eastAsia" w:ascii="微软雅黑" w:hAnsi="微软雅黑" w:eastAsia="微软雅黑" w:cs="微软雅黑"/>
          <w:b/>
          <w:bCs/>
          <w:color w:val="auto"/>
          <w:sz w:val="24"/>
          <w:szCs w:val="22"/>
        </w:rPr>
        <w:t>并加盖公章）。</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3.驻场服务内容</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驻场工程师工作内容由采购人安排，对用户终端软硬件及外设开展维修及提供使用保障，包括但不限于以下内容：</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（1）计算机及外设维修和使用保障：包括计算机、打印机、投影机及其它办公设备设施的安装调试、故障处理、工位迁移及设备设置配置调整、使用技术支持、设备送修等服务。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计算机操作系统维修及常用办公软件使用保障：包括操作系统、办公软件、浏览器、阅读器等软件的安装、配置、故障诊断和处理、程序升级，以及常见文件格式转换、图片文字识别、个人数据备份及恢复、常用软件使用技术支持等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（3）业务系统客户端运维：配合环保业务软件运维人员及系统管理员，组织开展相关用户终端程序、工具、插件的安装部署、设置配置等运行环境运维保障工作。</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4）楼层网络维护及综合布线设施运维：对用户楼层交换机、办公室内接入交换机及路由器、弱电井配线架、综合布线、楼层光纤、网口面板及网络模块等设施进行运维，提供计算机网络接入或职工办公室调整保障服务；按需配合采购人开展中心机房网络主干系统故障诊断及处理工作。</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计算机终端安全管理及监控设施运维：对计算机杀毒软件、内网安全管理软件（计算机准入控制系统）等软硬件设备，提供客户端安装、配置、故障诊断与处理、病毒库或规则库定期升级服务，按月及特殊时期通过控制台等工具进行监控、统计分析，并编制相关运行情况专项分析报告，及时调优配置及管理策略。</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（6）设备资产辅助管理：协助采购人资产管理员，开展计算机及外设、布线设施等设备设施清点、贴标、报废检查等工作。</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（7）人员值守：根据采购人工作安排，驻场工程师实施电话值守，特殊情况下提供7X24小时现场值守服务。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8）日常巡检及调优：定期组织巡检，检查用户计算机、楼层网络交换机、配线架、终端安全管理等设备设施的运行状态，对发现问题进行及时处理，每季对运维数据进行统计分析并编制巡检报告等文档；定期组织进行系统升级或调优。</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（9）定期整理并提交运维记录、运维台帐，并根据用户要求出具 运维专报（或简报）。</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（10）用户交办的其他相关工作：会议保障、网络临时接入等。</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（11）运维文档管理：根据采购人运维管理工作需要，运维人员需按要求作好工作记录、运维台账及运维报告，配合编制计算机及终端软硬件使用手册、安全运维操作手册，并定期进行归档。</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12）移动终端使用保障服务：包括平板电脑、智能手机等移动办公终端设备及常用办公软件相关常见故障诊断与处理，并协助环保业务软件系统管理员或运维人员开展客户端软件安装与使用技术支持等服务；提供平板电脑、智能手机等移动办公终端设备安全检测及加固、性能优化等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13）协助开展视频会议保障服务：包括协助配合运维单位对音视频会议设备、屏幕显示系统等会议设备日常维护；协助配合运维单位对对简单故障进行诊断和处理；协助配合设备厂家、运维单位对视频会议系统进行维修、升级等。</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4. 服务管理要求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服务方案：供应商应针对本运维项目内容制定详细的服务方案，须包含参与服务的人员组织结构及部署情况（包括人数、主要人员的职责或角色，学历或技术背景等）、运维服务计划、服务制度与工作流程、日常实施方案、运维质量</w:t>
      </w:r>
      <w:r>
        <w:rPr>
          <w:rFonts w:hint="eastAsia" w:ascii="微软雅黑" w:hAnsi="微软雅黑" w:eastAsia="微软雅黑" w:cs="微软雅黑"/>
          <w:sz w:val="24"/>
          <w:szCs w:val="22"/>
          <w:lang w:val="en-US" w:eastAsia="zh-CN"/>
        </w:rPr>
        <w:t>评估</w:t>
      </w:r>
      <w:r>
        <w:rPr>
          <w:rFonts w:hint="eastAsia" w:ascii="微软雅黑" w:hAnsi="微软雅黑" w:eastAsia="微软雅黑" w:cs="微软雅黑"/>
          <w:sz w:val="24"/>
          <w:szCs w:val="22"/>
        </w:rPr>
        <w:t>及处罚、运维报告模板等内容。</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（2）运维工具：成交供应商根据采购人运维工作需要，为驻场工程师配备完善的维护工具、运维软件、工作电脑等（资产所有权属于成交供应商）。</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（3）</w:t>
      </w:r>
      <w:r>
        <w:rPr>
          <w:rFonts w:hint="eastAsia" w:ascii="微软雅黑" w:hAnsi="微软雅黑" w:eastAsia="微软雅黑" w:cs="微软雅黑"/>
          <w:sz w:val="24"/>
          <w:szCs w:val="22"/>
          <w:lang w:eastAsia="zh-CN"/>
        </w:rPr>
        <w:t>供应商</w:t>
      </w:r>
      <w:r>
        <w:rPr>
          <w:rFonts w:hint="eastAsia" w:ascii="微软雅黑" w:hAnsi="微软雅黑" w:eastAsia="微软雅黑" w:cs="微软雅黑"/>
          <w:sz w:val="24"/>
          <w:szCs w:val="22"/>
        </w:rPr>
        <w:t>驻场工程师根据采购人安排进行运维工作，工作时间、工作内容、工作地点按采购人要求实施。</w:t>
      </w:r>
      <w:r>
        <w:rPr>
          <w:rFonts w:hint="eastAsia" w:ascii="微软雅黑" w:hAnsi="微软雅黑" w:eastAsia="微软雅黑" w:cs="微软雅黑"/>
          <w:sz w:val="24"/>
          <w:szCs w:val="22"/>
          <w:lang w:eastAsia="zh-CN"/>
        </w:rPr>
        <w:t>运维服务期间采购人调整办公地点或新增办公地点的计算机等办公设施也由供应商提供同级别运维服务。</w:t>
      </w:r>
      <w:r>
        <w:rPr>
          <w:rFonts w:hint="eastAsia" w:ascii="微软雅黑" w:hAnsi="微软雅黑" w:eastAsia="微软雅黑" w:cs="微软雅黑"/>
          <w:sz w:val="24"/>
          <w:szCs w:val="22"/>
        </w:rPr>
        <w:t>采购人根据运维工作需要，有权调配</w:t>
      </w:r>
      <w:r>
        <w:rPr>
          <w:rFonts w:hint="eastAsia" w:ascii="微软雅黑" w:hAnsi="微软雅黑" w:eastAsia="微软雅黑" w:cs="微软雅黑"/>
          <w:sz w:val="24"/>
          <w:szCs w:val="22"/>
          <w:lang w:eastAsia="zh-CN"/>
        </w:rPr>
        <w:t>供应商</w:t>
      </w:r>
      <w:r>
        <w:rPr>
          <w:rFonts w:hint="eastAsia" w:ascii="微软雅黑" w:hAnsi="微软雅黑" w:eastAsia="微软雅黑" w:cs="微软雅黑"/>
          <w:sz w:val="24"/>
          <w:szCs w:val="22"/>
        </w:rPr>
        <w:t>驻场工程师到采购人以外的其他单位等地点开展临时性设备维修、使用保障或技术支持等运维服务。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4）应急服务要求：驻场工程师必须进行24小时电话值守，在节假日及非工作时间内，值班驻场工程师接服务请求后应在2小时内到达采购人指定工作地点进行运维服务；遇有紧急情况或特殊工作需要，驻场工程师须按照采购人要求7×24小时现场值守；当采购人由于紧急情况或特殊工作需要，提出在特定时间段内临时增加驻场工程师数量要求，供应商须无条件配合并按照采购人要求增派工程师，增派工程师数量不超过4人，增派时间累计不超过90个日历日，增派工程师相关工作要求与驻场工程师一致。</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服务处理时限要求：驻场工程师在接到服务请求后应立即进行响应和运维调度安排，工作时间内应在15分钟内到达用户现场提供首次上门服务（紧急情况应在10分钟内提供首次上门服务），非工作时间内应在2小时内达到用户现场提供现场运维服务。运维人员达到现场后，应立即处理用户运维问题，紧急情况应在用户规定时限内解决，一般运维问题应在1小时内解决，运维工作量较大（或技术较复杂）的问题应在2个工作日内解决，经用户及运维管理员确认的复杂运维问题的最大处理时限应不超过5个工作日(或7日)。</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预计无法在当天解决的运维问题，均应提前向运维管理员及用户报告并商定明确的运维计划，同时采取临时措施保证用户正常办公；同时，运维管理员有权对运维计划进行调整，并责令供应商限期完成；如管理员或用户未提出明确时间要求，一项运维任务的处理时限最多不超过5个工作日(或7日)，特殊事项应在商定的运维计划时间(时限)内完成。</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（6）运维变更：采购人</w:t>
      </w:r>
      <w:r>
        <w:rPr>
          <w:rFonts w:hint="eastAsia" w:ascii="微软雅黑" w:hAnsi="微软雅黑" w:eastAsia="微软雅黑" w:cs="微软雅黑"/>
          <w:sz w:val="24"/>
          <w:szCs w:val="22"/>
          <w:lang w:val="en-US" w:eastAsia="zh-CN"/>
        </w:rPr>
        <w:t>评估</w:t>
      </w:r>
      <w:r>
        <w:rPr>
          <w:rFonts w:hint="eastAsia" w:ascii="微软雅黑" w:hAnsi="微软雅黑" w:eastAsia="微软雅黑" w:cs="微软雅黑"/>
          <w:sz w:val="24"/>
          <w:szCs w:val="22"/>
        </w:rPr>
        <w:t>结果或实际运维工作需要，有权要求供应商提高运维服务质量和标准、调整服务内容或更换运维人员。采购人提交运维变更通知后，供应商应在5个工作日内将包含拟任命运维人员的姓名、简历、运维服务方案等内容的工作计划书以书面形式提交采购人审核，10个工作日内完成人员更换、服务内容调整等变更工作。驻场运维服务期内，供应商如因工作需要或人员离职等原因须更换驻场工程师时，应至少提前10个工作日将人员变更计划以书面形式通知采购人，并征得采购人书面同意后方可更换人员。当供应商提供的变更计划无法令采购人满意时，采购人可视为供应商出现违约行为，采购人有权终止合同，并追究供应商相关违约责任。</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（7）文档管理要求：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A.文档编制：供应商须根据运维管理员要求，结合当前运维管理工作需要或运维工作存在问题，拟定文档编制计划并组织进行文档编制，且每月至少编制一期运维报告，按实际工作需要编制计算机及外设使用手册和安全运维操作手册。运维记录及文档应按规定完善有关用户签字、确认、审批等手续。</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B.文档归档：每月前5个工作日内完成上月运维文档分类整理、统一装订等工作，并提交给采购人进行归档保管。</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C.文档电子化管理：运维记录及工单须通过采购人综合运维管理平台进行电子化动态管理，运维工作具有较大进展或完成处理时，应在当日内完成最新进展的电子化登记工作。同时，须提供运维记录查询服务，按需提供统计分析报告或报表。</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（8）工作纪律及安全管理要求：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A.驻场运维人员必须严格遵守采购人各项规章制度。</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B.运维人员需按采购人要求签署保密协议或安全责任承诺书，明确安全责任。</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C.驻场运维人员有义务参加采购人单位组织的团队建设等活动。</w:t>
      </w:r>
    </w:p>
    <w:p>
      <w:pPr>
        <w:spacing w:line="360" w:lineRule="auto"/>
        <w:ind w:firstLine="480" w:firstLineChars="200"/>
        <w:rPr>
          <w:rFonts w:hint="eastAsia" w:ascii="微软雅黑" w:hAnsi="微软雅黑" w:eastAsia="微软雅黑" w:cs="微软雅黑"/>
          <w:sz w:val="24"/>
          <w:szCs w:val="22"/>
          <w:lang w:eastAsia="zh-CN"/>
        </w:rPr>
      </w:pPr>
      <w:r>
        <w:rPr>
          <w:rFonts w:hint="eastAsia" w:ascii="微软雅黑" w:hAnsi="微软雅黑" w:eastAsia="微软雅黑" w:cs="微软雅黑"/>
          <w:sz w:val="24"/>
          <w:szCs w:val="22"/>
          <w:lang w:eastAsia="zh-CN"/>
        </w:rPr>
        <w:t>（</w:t>
      </w:r>
      <w:r>
        <w:rPr>
          <w:rFonts w:hint="eastAsia" w:ascii="微软雅黑" w:hAnsi="微软雅黑" w:eastAsia="微软雅黑" w:cs="微软雅黑"/>
          <w:sz w:val="24"/>
          <w:szCs w:val="22"/>
          <w:lang w:val="en-US" w:eastAsia="zh-CN"/>
        </w:rPr>
        <w:t>9</w:t>
      </w:r>
      <w:r>
        <w:rPr>
          <w:rFonts w:hint="eastAsia" w:ascii="微软雅黑" w:hAnsi="微软雅黑" w:eastAsia="微软雅黑" w:cs="微软雅黑"/>
          <w:sz w:val="24"/>
          <w:szCs w:val="22"/>
          <w:lang w:eastAsia="zh-CN"/>
        </w:rPr>
        <w:t>）工作交接要求：</w:t>
      </w:r>
    </w:p>
    <w:p>
      <w:pPr>
        <w:spacing w:line="360" w:lineRule="auto"/>
        <w:ind w:firstLine="480" w:firstLineChars="200"/>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A.供应商应组织驻场运维项目经理在服务期起始之日前1个月，到采购人指定地点进行工作交接，熟悉运维环境，以保证运维工作顺利开展。</w:t>
      </w:r>
    </w:p>
    <w:p>
      <w:pPr>
        <w:spacing w:line="360" w:lineRule="auto"/>
        <w:ind w:firstLine="480" w:firstLineChars="200"/>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B.在运维服务期结束前，供应商应完成配合采购人做好运维工作交接，包括但不限于运维工作资料、设备及系统账号密码、运维工具等。</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5.其它要求</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（1）采购人负责为成交供应商协调落实驻场工程师办公场所、办公桌椅、照明、固定办公电话等基本办公条件。</w:t>
      </w:r>
    </w:p>
    <w:p>
      <w:pPr>
        <w:spacing w:line="360" w:lineRule="auto"/>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驻场工程师日常工作伙食费、交通费、劳务报酬（含加班费、社保缴费等费用）、培训费等费用，以及因成交供应商技术力量不足须送外维修（或外聘技术人员到场协助维修）所发生的一切费用，均由成交供应商自行承担。</w:t>
      </w:r>
    </w:p>
    <w:p>
      <w:pPr>
        <w:spacing w:line="360" w:lineRule="auto"/>
        <w:ind w:firstLine="480" w:firstLineChars="200"/>
        <w:rPr>
          <w:rFonts w:hint="eastAsia" w:ascii="微软雅黑" w:hAnsi="微软雅黑" w:eastAsia="微软雅黑" w:cs="微软雅黑"/>
          <w:sz w:val="24"/>
          <w:szCs w:val="22"/>
          <w:lang w:eastAsia="zh-CN"/>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pStyle w:val="22"/>
        <w:rPr>
          <w:rFonts w:ascii="微软雅黑" w:hAnsi="微软雅黑" w:eastAsia="微软雅黑" w:cs="微软雅黑"/>
          <w:bCs/>
          <w:color w:val="000000" w:themeColor="text1"/>
          <w:sz w:val="36"/>
          <w:szCs w:val="30"/>
          <w14:textFill>
            <w14:solidFill>
              <w14:schemeClr w14:val="tx1"/>
            </w14:solidFill>
          </w14:textFill>
        </w:rPr>
      </w:pPr>
    </w:p>
    <w:p>
      <w:pPr>
        <w:ind w:firstLine="2880" w:firstLineChars="800"/>
        <w:rPr>
          <w:rFonts w:ascii="微软雅黑" w:hAnsi="微软雅黑" w:eastAsia="微软雅黑" w:cs="微软雅黑"/>
          <w:bCs/>
          <w:color w:val="000000" w:themeColor="text1"/>
          <w:sz w:val="36"/>
          <w:szCs w:val="30"/>
          <w14:textFill>
            <w14:solidFill>
              <w14:schemeClr w14:val="tx1"/>
            </w14:solidFill>
          </w14:textFill>
        </w:rPr>
      </w:pPr>
      <w:r>
        <w:rPr>
          <w:rFonts w:hint="eastAsia" w:ascii="微软雅黑" w:hAnsi="微软雅黑" w:eastAsia="微软雅黑" w:cs="微软雅黑"/>
          <w:bCs/>
          <w:color w:val="000000" w:themeColor="text1"/>
          <w:sz w:val="36"/>
          <w:szCs w:val="30"/>
          <w14:textFill>
            <w14:solidFill>
              <w14:schemeClr w14:val="tx1"/>
            </w14:solidFill>
          </w14:textFill>
        </w:rPr>
        <w:t>第三篇  采购商务需求</w:t>
      </w:r>
      <w:bookmarkEnd w:id="26"/>
    </w:p>
    <w:p>
      <w:pPr>
        <w:pStyle w:val="5"/>
        <w:spacing w:before="0" w:after="0" w:line="400" w:lineRule="exact"/>
        <w:rPr>
          <w:rFonts w:hint="eastAsia" w:ascii="微软雅黑" w:hAnsi="微软雅黑" w:eastAsia="微软雅黑" w:cs="微软雅黑"/>
          <w:sz w:val="24"/>
          <w:szCs w:val="24"/>
        </w:rPr>
      </w:pPr>
      <w:bookmarkStart w:id="33" w:name="_Toc344475120"/>
      <w:bookmarkStart w:id="34" w:name="_Toc16387"/>
      <w:bookmarkStart w:id="35" w:name="_Toc2803"/>
      <w:bookmarkStart w:id="36" w:name="_Toc14583"/>
      <w:bookmarkStart w:id="37" w:name="_Toc5062"/>
      <w:bookmarkStart w:id="38" w:name="_Toc11892"/>
      <w:bookmarkStart w:id="39" w:name="_Toc344475123"/>
      <w:bookmarkStart w:id="40" w:name="_Toc1022"/>
      <w:bookmarkStart w:id="41" w:name="_Toc535311837"/>
      <w:r>
        <w:rPr>
          <w:rFonts w:hint="eastAsia" w:ascii="微软雅黑" w:hAnsi="微软雅黑" w:eastAsia="微软雅黑" w:cs="微软雅黑"/>
          <w:sz w:val="24"/>
          <w:szCs w:val="24"/>
        </w:rPr>
        <w:t>一、运维服务期、服务地点及</w:t>
      </w:r>
      <w:bookmarkEnd w:id="33"/>
      <w:r>
        <w:rPr>
          <w:rFonts w:hint="eastAsia" w:ascii="微软雅黑" w:hAnsi="微软雅黑" w:eastAsia="微软雅黑" w:cs="微软雅黑"/>
          <w:sz w:val="24"/>
          <w:szCs w:val="24"/>
        </w:rPr>
        <w:t>验收方式</w:t>
      </w:r>
      <w:bookmarkEnd w:id="34"/>
      <w:bookmarkEnd w:id="35"/>
      <w:bookmarkEnd w:id="36"/>
      <w:bookmarkEnd w:id="37"/>
    </w:p>
    <w:p>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运维</w:t>
      </w:r>
      <w:r>
        <w:rPr>
          <w:rFonts w:hint="eastAsia" w:ascii="微软雅黑" w:hAnsi="微软雅黑" w:eastAsia="微软雅黑" w:cs="微软雅黑"/>
          <w:sz w:val="24"/>
          <w:szCs w:val="24"/>
        </w:rPr>
        <w:t>服务期：服务期限为一年</w:t>
      </w:r>
      <w:r>
        <w:rPr>
          <w:rFonts w:hint="eastAsia" w:ascii="微软雅黑" w:hAnsi="微软雅黑" w:eastAsia="微软雅黑" w:cs="微软雅黑"/>
          <w:sz w:val="24"/>
          <w:szCs w:val="22"/>
          <w:lang w:eastAsia="zh-CN"/>
        </w:rPr>
        <w:t>（</w:t>
      </w:r>
      <w:r>
        <w:rPr>
          <w:rFonts w:hint="eastAsia" w:ascii="微软雅黑" w:hAnsi="微软雅黑" w:eastAsia="微软雅黑" w:cs="微软雅黑"/>
          <w:sz w:val="24"/>
          <w:szCs w:val="22"/>
          <w:lang w:val="en-US" w:eastAsia="zh-CN"/>
        </w:rPr>
        <w:t>2021年9月27日--2022年9月26日</w:t>
      </w:r>
      <w:r>
        <w:rPr>
          <w:rFonts w:hint="eastAsia" w:ascii="微软雅黑" w:hAnsi="微软雅黑" w:eastAsia="微软雅黑" w:cs="微软雅黑"/>
          <w:sz w:val="24"/>
          <w:szCs w:val="22"/>
          <w:lang w:eastAsia="zh-CN"/>
        </w:rPr>
        <w:t>）</w:t>
      </w:r>
      <w:r>
        <w:rPr>
          <w:rFonts w:hint="eastAsia" w:ascii="微软雅黑" w:hAnsi="微软雅黑" w:eastAsia="微软雅黑" w:cs="微软雅黑"/>
          <w:sz w:val="24"/>
          <w:szCs w:val="24"/>
        </w:rPr>
        <w:t>。</w:t>
      </w:r>
    </w:p>
    <w:p>
      <w:pPr>
        <w:pStyle w:val="3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（二）服务地点：</w:t>
      </w:r>
      <w:r>
        <w:rPr>
          <w:rFonts w:hint="eastAsia" w:ascii="微软雅黑" w:hAnsi="微软雅黑" w:eastAsia="微软雅黑" w:cs="微软雅黑"/>
          <w:sz w:val="24"/>
          <w:szCs w:val="24"/>
          <w:lang w:eastAsia="zh-CN"/>
        </w:rPr>
        <w:t>重庆市生态环境大数据应用中心指定地点</w:t>
      </w:r>
      <w:r>
        <w:rPr>
          <w:rFonts w:hint="eastAsia" w:ascii="微软雅黑" w:hAnsi="微软雅黑" w:eastAsia="微软雅黑" w:cs="微软雅黑"/>
          <w:sz w:val="24"/>
          <w:szCs w:val="24"/>
        </w:rPr>
        <w:t>。</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（三）运维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评估</w:t>
      </w:r>
      <w:r>
        <w:rPr>
          <w:rFonts w:hint="eastAsia" w:ascii="微软雅黑" w:hAnsi="微软雅黑" w:eastAsia="微软雅黑" w:cs="微软雅黑"/>
          <w:color w:val="000000" w:themeColor="text1"/>
          <w:sz w:val="24"/>
          <w:szCs w:val="24"/>
          <w14:textFill>
            <w14:solidFill>
              <w14:schemeClr w14:val="tx1"/>
            </w14:solidFill>
          </w14:textFill>
        </w:rPr>
        <w:t>验收方式</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1、本项目磋商文件中明确的标准和技术要求，</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采购人</w:t>
      </w:r>
      <w:r>
        <w:rPr>
          <w:rFonts w:hint="eastAsia" w:ascii="微软雅黑" w:hAnsi="微软雅黑" w:eastAsia="微软雅黑" w:cs="微软雅黑"/>
          <w:color w:val="000000" w:themeColor="text1"/>
          <w:sz w:val="24"/>
          <w:szCs w:val="24"/>
          <w14:textFill>
            <w14:solidFill>
              <w14:schemeClr w14:val="tx1"/>
            </w14:solidFill>
          </w14:textFill>
        </w:rPr>
        <w:t>根据日常运维记录、用户反馈意见、服务质量跟踪调查记录等信息，每半年组织对成交供应商开展一次运维服务</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评估</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评估</w:t>
      </w:r>
      <w:r>
        <w:rPr>
          <w:rFonts w:hint="eastAsia" w:ascii="微软雅黑" w:hAnsi="微软雅黑" w:eastAsia="微软雅黑" w:cs="微软雅黑"/>
          <w:color w:val="000000" w:themeColor="text1"/>
          <w:sz w:val="24"/>
          <w:szCs w:val="24"/>
          <w14:textFill>
            <w14:solidFill>
              <w14:schemeClr w14:val="tx1"/>
            </w14:solidFill>
          </w14:textFill>
        </w:rPr>
        <w:t>内容包括日常应用保障及故障处理、应急保障、技术支援、系统巡检、运维报告、文档管理等工作质量和服务效果，以及服务技能、服务态度、服务满意度、工作规范与纪律遵守情况等方面。</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评估</w:t>
      </w:r>
      <w:r>
        <w:rPr>
          <w:rFonts w:hint="eastAsia" w:ascii="微软雅黑" w:hAnsi="微软雅黑" w:eastAsia="微软雅黑" w:cs="微软雅黑"/>
          <w:color w:val="000000" w:themeColor="text1"/>
          <w:sz w:val="24"/>
          <w:szCs w:val="24"/>
          <w14:textFill>
            <w14:solidFill>
              <w14:schemeClr w14:val="tx1"/>
            </w14:solidFill>
          </w14:textFill>
        </w:rPr>
        <w:t>总评成绩按优劣次序设置合格、基本合格、不合格三个等级。</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、在运维服务期内，采购人有权根据本单位工作规章制度、运维效果、或实际工作需要，对运维服务标准及运维管理规定进行变更。</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、成交供应商在响应文件</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中</w:t>
      </w:r>
      <w:r>
        <w:rPr>
          <w:rFonts w:hint="eastAsia" w:ascii="微软雅黑" w:hAnsi="微软雅黑" w:eastAsia="微软雅黑" w:cs="微软雅黑"/>
          <w:color w:val="000000" w:themeColor="text1"/>
          <w:sz w:val="24"/>
          <w:szCs w:val="24"/>
          <w14:textFill>
            <w14:solidFill>
              <w14:schemeClr w14:val="tx1"/>
            </w14:solidFill>
          </w14:textFill>
        </w:rPr>
        <w:t>作出的承诺，将作为对此项目的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评估</w:t>
      </w:r>
      <w:r>
        <w:rPr>
          <w:rFonts w:hint="eastAsia" w:ascii="微软雅黑" w:hAnsi="微软雅黑" w:eastAsia="微软雅黑" w:cs="微软雅黑"/>
          <w:color w:val="000000" w:themeColor="text1"/>
          <w:sz w:val="24"/>
          <w:szCs w:val="24"/>
          <w14:textFill>
            <w14:solidFill>
              <w14:schemeClr w14:val="tx1"/>
            </w14:solidFill>
          </w14:textFill>
        </w:rPr>
        <w:t>验收依据之一。</w:t>
      </w: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、未明确事项由</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采购人及成交供应商</w:t>
      </w:r>
      <w:r>
        <w:rPr>
          <w:rFonts w:hint="eastAsia" w:ascii="微软雅黑" w:hAnsi="微软雅黑" w:eastAsia="微软雅黑" w:cs="微软雅黑"/>
          <w:color w:val="000000" w:themeColor="text1"/>
          <w:sz w:val="24"/>
          <w:szCs w:val="24"/>
          <w14:textFill>
            <w14:solidFill>
              <w14:schemeClr w14:val="tx1"/>
            </w14:solidFill>
          </w14:textFill>
        </w:rPr>
        <w:t>双方协商确定，但须符合国家有关法规及标准要求。</w:t>
      </w:r>
    </w:p>
    <w:p>
      <w:pPr>
        <w:pStyle w:val="5"/>
        <w:spacing w:before="0" w:after="0" w:line="400" w:lineRule="exact"/>
        <w:rPr>
          <w:rFonts w:hint="eastAsia" w:ascii="微软雅黑" w:hAnsi="微软雅黑" w:eastAsia="微软雅黑" w:cs="微软雅黑"/>
          <w:color w:val="000000" w:themeColor="text1"/>
          <w:sz w:val="24"/>
          <w:szCs w:val="24"/>
          <w:highlight w:val="none"/>
          <w14:textFill>
            <w14:solidFill>
              <w14:schemeClr w14:val="tx1"/>
            </w14:solidFill>
          </w14:textFill>
        </w:rPr>
      </w:pPr>
      <w:bookmarkStart w:id="42" w:name="_Toc344475121"/>
      <w:bookmarkStart w:id="43" w:name="_Toc25799"/>
      <w:bookmarkStart w:id="44" w:name="_Toc25054"/>
      <w:bookmarkStart w:id="45" w:name="_Toc28408"/>
      <w:bookmarkStart w:id="46" w:name="_Toc4195"/>
      <w:r>
        <w:rPr>
          <w:rFonts w:hint="eastAsia" w:ascii="微软雅黑" w:hAnsi="微软雅黑" w:eastAsia="微软雅黑" w:cs="微软雅黑"/>
          <w:color w:val="000000" w:themeColor="text1"/>
          <w:sz w:val="24"/>
          <w:szCs w:val="24"/>
          <w:highlight w:val="none"/>
          <w14:textFill>
            <w14:solidFill>
              <w14:schemeClr w14:val="tx1"/>
            </w14:solidFill>
          </w14:textFill>
        </w:rPr>
        <w:t>二、</w:t>
      </w:r>
      <w:bookmarkEnd w:id="42"/>
      <w:r>
        <w:rPr>
          <w:rFonts w:hint="eastAsia" w:ascii="微软雅黑" w:hAnsi="微软雅黑" w:eastAsia="微软雅黑" w:cs="微软雅黑"/>
          <w:color w:val="000000" w:themeColor="text1"/>
          <w:sz w:val="24"/>
          <w:szCs w:val="24"/>
          <w:highlight w:val="none"/>
          <w14:textFill>
            <w14:solidFill>
              <w14:schemeClr w14:val="tx1"/>
            </w14:solidFill>
          </w14:textFill>
        </w:rPr>
        <w:t>报价要求</w:t>
      </w:r>
      <w:bookmarkEnd w:id="43"/>
      <w:bookmarkEnd w:id="44"/>
      <w:bookmarkEnd w:id="45"/>
      <w:bookmarkEnd w:id="46"/>
      <w:bookmarkStart w:id="148" w:name="_GoBack"/>
      <w:bookmarkEnd w:id="148"/>
    </w:p>
    <w:p>
      <w:pPr>
        <w:spacing w:line="400" w:lineRule="exact"/>
        <w:ind w:firstLine="480" w:firstLineChars="200"/>
        <w:rPr>
          <w:rFonts w:hint="eastAsia" w:ascii="微软雅黑" w:hAnsi="微软雅黑" w:eastAsia="微软雅黑" w:cs="微软雅黑"/>
          <w:highlight w:val="none"/>
        </w:rPr>
      </w:pPr>
      <w:bookmarkStart w:id="47" w:name="OLE_LINK42"/>
      <w:bookmarkStart w:id="48" w:name="OLE_LINK17"/>
      <w:r>
        <w:rPr>
          <w:rFonts w:hint="eastAsia" w:ascii="微软雅黑" w:hAnsi="微软雅黑" w:eastAsia="微软雅黑" w:cs="微软雅黑"/>
          <w:kern w:val="0"/>
          <w:sz w:val="24"/>
          <w:szCs w:val="24"/>
          <w:highlight w:val="none"/>
        </w:rPr>
        <w:t>本项目为包干价，磋商报价包括运维服务费、驻场工程师日常工作伙食费、交通费、劳务报酬（含加班费、社保缴费等费用）、培训费等费用，以及因成交供应商技术力量不足须送外维修（或外聘技术人员到场协助维修）所发生的一切费用。</w:t>
      </w:r>
      <w:bookmarkEnd w:id="47"/>
      <w:r>
        <w:rPr>
          <w:rFonts w:hint="eastAsia" w:ascii="微软雅黑" w:hAnsi="微软雅黑" w:eastAsia="微软雅黑" w:cs="微软雅黑"/>
          <w:kern w:val="0"/>
          <w:sz w:val="24"/>
          <w:szCs w:val="24"/>
          <w:highlight w:val="none"/>
        </w:rPr>
        <w:t>因成交供应商自身原因造成漏报、少报皆由其自行承担责任，采购人不再补偿</w:t>
      </w:r>
      <w:bookmarkEnd w:id="48"/>
      <w:r>
        <w:rPr>
          <w:rFonts w:hint="eastAsia" w:ascii="微软雅黑" w:hAnsi="微软雅黑" w:eastAsia="微软雅黑" w:cs="微软雅黑"/>
          <w:kern w:val="0"/>
          <w:sz w:val="24"/>
          <w:szCs w:val="24"/>
          <w:highlight w:val="none"/>
        </w:rPr>
        <w:t>。</w:t>
      </w:r>
      <w:bookmarkStart w:id="49" w:name="_Toc344475122"/>
    </w:p>
    <w:p>
      <w:pPr>
        <w:pStyle w:val="5"/>
        <w:spacing w:before="0" w:after="0" w:line="400" w:lineRule="exact"/>
        <w:rPr>
          <w:rFonts w:hint="eastAsia" w:ascii="微软雅黑" w:hAnsi="微软雅黑" w:eastAsia="微软雅黑" w:cs="微软雅黑"/>
          <w:sz w:val="24"/>
          <w:szCs w:val="24"/>
          <w:highlight w:val="none"/>
        </w:rPr>
      </w:pPr>
      <w:bookmarkStart w:id="50" w:name="_Toc1300"/>
      <w:bookmarkStart w:id="51" w:name="_Toc19613"/>
      <w:bookmarkStart w:id="52" w:name="_Toc27295"/>
      <w:bookmarkStart w:id="53" w:name="_Toc5529"/>
      <w:r>
        <w:rPr>
          <w:rFonts w:hint="eastAsia" w:ascii="微软雅黑" w:hAnsi="微软雅黑" w:eastAsia="微软雅黑" w:cs="微软雅黑"/>
          <w:sz w:val="24"/>
          <w:szCs w:val="24"/>
          <w:highlight w:val="none"/>
        </w:rPr>
        <w:t>三、付款方式</w:t>
      </w:r>
      <w:bookmarkEnd w:id="50"/>
      <w:bookmarkEnd w:id="51"/>
      <w:bookmarkEnd w:id="52"/>
      <w:bookmarkEnd w:id="53"/>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（一）合同签订后，成交供应商向采购人缴纳合同金额10%的履约保证金（以支票、汇票、本票或者金融机构、担保机构出具的保函等非现金形式提交）；</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（二）成交供应商向采购人提交本项目的实施方案并通过采购人审核后，成交供应商向采购人开具合同金额</w:t>
      </w:r>
      <w:r>
        <w:rPr>
          <w:rFonts w:hint="eastAsia" w:ascii="微软雅黑" w:hAnsi="微软雅黑" w:eastAsia="微软雅黑" w:cs="微软雅黑"/>
          <w:color w:val="auto"/>
          <w:sz w:val="24"/>
          <w:szCs w:val="24"/>
          <w:highlight w:val="none"/>
          <w:lang w:val="en-US" w:eastAsia="zh-CN"/>
        </w:rPr>
        <w:t>100</w:t>
      </w:r>
      <w:r>
        <w:rPr>
          <w:rFonts w:hint="eastAsia" w:ascii="微软雅黑" w:hAnsi="微软雅黑" w:eastAsia="微软雅黑" w:cs="微软雅黑"/>
          <w:color w:val="auto"/>
          <w:sz w:val="24"/>
          <w:szCs w:val="24"/>
          <w:highlight w:val="none"/>
        </w:rPr>
        <w:t>%的发票，采购人以转账方式向成交供应商支付100%的合同款；</w:t>
      </w:r>
    </w:p>
    <w:bookmarkEnd w:id="49"/>
    <w:p>
      <w:pPr>
        <w:pStyle w:val="5"/>
        <w:spacing w:before="0" w:after="0" w:line="400" w:lineRule="exact"/>
        <w:ind w:firstLine="480" w:firstLineChars="200"/>
        <w:rPr>
          <w:rFonts w:hint="eastAsia" w:ascii="微软雅黑" w:hAnsi="微软雅黑" w:eastAsia="微软雅黑" w:cs="微软雅黑"/>
          <w:b w:val="0"/>
          <w:bCs/>
          <w:color w:val="auto"/>
          <w:sz w:val="24"/>
          <w:szCs w:val="24"/>
          <w:highlight w:val="none"/>
        </w:rPr>
      </w:pPr>
      <w:bookmarkStart w:id="54" w:name="_Toc474"/>
      <w:bookmarkStart w:id="55" w:name="_Toc21037"/>
      <w:bookmarkStart w:id="56" w:name="_Toc16817"/>
      <w:bookmarkStart w:id="57" w:name="_Toc16462"/>
      <w:bookmarkStart w:id="58" w:name="_Toc472857152"/>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val="0"/>
          <w:bCs/>
          <w:color w:val="auto"/>
          <w:sz w:val="24"/>
          <w:szCs w:val="24"/>
          <w:highlight w:val="none"/>
          <w:lang w:val="en-US" w:eastAsia="zh-CN"/>
        </w:rPr>
        <w:t>三</w:t>
      </w:r>
      <w:r>
        <w:rPr>
          <w:rFonts w:hint="eastAsia" w:ascii="微软雅黑" w:hAnsi="微软雅黑" w:eastAsia="微软雅黑" w:cs="微软雅黑"/>
          <w:b w:val="0"/>
          <w:bCs/>
          <w:color w:val="auto"/>
          <w:sz w:val="24"/>
          <w:szCs w:val="24"/>
          <w:highlight w:val="none"/>
        </w:rPr>
        <w:t>）项目服务到期后，成交供应商向采购人提出退还履约保证金的书面申请，采购人对采购合同履约情况、验收报告、验收材料、</w:t>
      </w:r>
      <w:r>
        <w:rPr>
          <w:rFonts w:hint="eastAsia" w:ascii="微软雅黑" w:hAnsi="微软雅黑" w:eastAsia="微软雅黑" w:cs="微软雅黑"/>
          <w:b w:val="0"/>
          <w:bCs/>
          <w:color w:val="auto"/>
          <w:sz w:val="24"/>
          <w:szCs w:val="24"/>
          <w:highlight w:val="none"/>
          <w:lang w:val="en-US" w:eastAsia="zh-CN"/>
        </w:rPr>
        <w:t>评估情况</w:t>
      </w:r>
      <w:r>
        <w:rPr>
          <w:rFonts w:hint="eastAsia" w:ascii="微软雅黑" w:hAnsi="微软雅黑" w:eastAsia="微软雅黑" w:cs="微软雅黑"/>
          <w:b w:val="0"/>
          <w:bCs/>
          <w:color w:val="auto"/>
          <w:sz w:val="24"/>
          <w:szCs w:val="24"/>
          <w:highlight w:val="none"/>
        </w:rPr>
        <w:t>等审核通过后，无息退还履约保证金。</w:t>
      </w:r>
      <w:bookmarkEnd w:id="54"/>
    </w:p>
    <w:p>
      <w:pPr>
        <w:pStyle w:val="5"/>
        <w:spacing w:before="0" w:after="0" w:line="400" w:lineRule="exact"/>
        <w:rPr>
          <w:rFonts w:hint="eastAsia" w:ascii="微软雅黑" w:hAnsi="微软雅黑" w:eastAsia="微软雅黑" w:cs="微软雅黑"/>
          <w:sz w:val="24"/>
          <w:szCs w:val="24"/>
        </w:rPr>
      </w:pPr>
      <w:bookmarkStart w:id="59" w:name="_Toc21533"/>
      <w:r>
        <w:rPr>
          <w:rFonts w:hint="eastAsia" w:ascii="微软雅黑" w:hAnsi="微软雅黑" w:eastAsia="微软雅黑" w:cs="微软雅黑"/>
          <w:sz w:val="24"/>
          <w:szCs w:val="24"/>
        </w:rPr>
        <w:t>四、知识产权</w:t>
      </w:r>
      <w:bookmarkEnd w:id="55"/>
      <w:bookmarkEnd w:id="56"/>
      <w:bookmarkEnd w:id="57"/>
      <w:bookmarkEnd w:id="58"/>
      <w:bookmarkEnd w:id="59"/>
    </w:p>
    <w:p>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outlineLvl w:val="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（二）涉及软件开发等服务类项目知识产权的，知识产权归采购人所有。</w:t>
      </w:r>
    </w:p>
    <w:p>
      <w:pPr>
        <w:pStyle w:val="5"/>
        <w:spacing w:before="0" w:after="0" w:line="400" w:lineRule="exact"/>
        <w:rPr>
          <w:rFonts w:ascii="微软雅黑" w:hAnsi="微软雅黑" w:eastAsia="微软雅黑" w:cs="微软雅黑"/>
          <w:color w:val="auto"/>
          <w:sz w:val="24"/>
          <w:szCs w:val="24"/>
        </w:rPr>
      </w:pPr>
      <w:bookmarkStart w:id="60" w:name="_Toc14381"/>
      <w:r>
        <w:rPr>
          <w:rFonts w:hint="eastAsia" w:ascii="微软雅黑" w:hAnsi="微软雅黑" w:eastAsia="微软雅黑" w:cs="微软雅黑"/>
          <w:color w:val="auto"/>
          <w:sz w:val="24"/>
          <w:szCs w:val="24"/>
          <w:lang w:val="en-US" w:eastAsia="zh-CN"/>
        </w:rPr>
        <w:t>五</w:t>
      </w:r>
      <w:r>
        <w:rPr>
          <w:rFonts w:hint="eastAsia" w:ascii="微软雅黑" w:hAnsi="微软雅黑" w:eastAsia="微软雅黑" w:cs="微软雅黑"/>
          <w:color w:val="auto"/>
          <w:sz w:val="24"/>
          <w:szCs w:val="24"/>
        </w:rPr>
        <w:t>、知识产权</w:t>
      </w:r>
      <w:bookmarkEnd w:id="38"/>
      <w:bookmarkEnd w:id="39"/>
      <w:bookmarkEnd w:id="40"/>
      <w:bookmarkEnd w:id="41"/>
      <w:r>
        <w:rPr>
          <w:rFonts w:hint="eastAsia" w:ascii="微软雅黑" w:hAnsi="微软雅黑" w:eastAsia="微软雅黑" w:cs="微软雅黑"/>
          <w:color w:val="auto"/>
          <w:sz w:val="24"/>
          <w:szCs w:val="24"/>
        </w:rPr>
        <w:t>及保密协议</w:t>
      </w:r>
      <w:bookmarkEnd w:id="60"/>
    </w:p>
    <w:p>
      <w:pPr>
        <w:spacing w:line="440" w:lineRule="atLeast"/>
        <w:ind w:firstLine="480" w:firstLineChars="200"/>
        <w:rPr>
          <w:rFonts w:hint="eastAsia" w:ascii="微软雅黑" w:hAnsi="微软雅黑" w:eastAsia="微软雅黑" w:cs="微软雅黑"/>
          <w:color w:val="auto"/>
          <w:sz w:val="24"/>
          <w:szCs w:val="24"/>
        </w:rPr>
      </w:pPr>
      <w:bookmarkStart w:id="61" w:name="_Toc4815"/>
      <w:bookmarkStart w:id="62" w:name="_Toc344475124"/>
      <w:bookmarkStart w:id="63" w:name="_Toc25665"/>
      <w:bookmarkStart w:id="64" w:name="_Toc535311838"/>
      <w:r>
        <w:rPr>
          <w:rFonts w:hint="eastAsia" w:ascii="微软雅黑" w:hAnsi="微软雅黑" w:eastAsia="微软雅黑" w:cs="微软雅黑"/>
          <w:color w:val="auto"/>
          <w:sz w:val="24"/>
          <w:szCs w:val="24"/>
          <w:lang w:eastAsia="zh-Hans"/>
        </w:rPr>
        <w:t>（一）</w:t>
      </w:r>
      <w:r>
        <w:rPr>
          <w:rFonts w:hint="eastAsia" w:ascii="微软雅黑" w:hAnsi="微软雅黑" w:eastAsia="微软雅黑" w:cs="微软雅黑"/>
          <w:color w:val="auto"/>
          <w:sz w:val="24"/>
          <w:szCs w:val="24"/>
        </w:rPr>
        <w:t>本项目涉及的数据、源代码、技术资料、工程文档等所有内容的知识产权归采购人所有，未经采购人书面同意，供应商不能将上述资料提供给第三方使用。</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Hans"/>
        </w:rPr>
        <w:t>（二）</w:t>
      </w:r>
      <w:r>
        <w:rPr>
          <w:rFonts w:hint="eastAsia" w:ascii="微软雅黑" w:hAnsi="微软雅黑" w:eastAsia="微软雅黑" w:cs="微软雅黑"/>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保密协议</w:t>
      </w:r>
    </w:p>
    <w:p>
      <w:pPr>
        <w:spacing w:line="46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未经采购人许可，成交供应商不得以任何形式和理由，使用拷贝、转发、拍照、打印等手段将采购人数据带离采购人指定工作场地。</w:t>
      </w:r>
    </w:p>
    <w:p>
      <w:pPr>
        <w:spacing w:line="460" w:lineRule="exact"/>
        <w:ind w:firstLine="480" w:firstLineChars="200"/>
        <w:rPr>
          <w:rFonts w:hint="eastAsia" w:ascii="微软雅黑" w:hAnsi="微软雅黑" w:eastAsia="微软雅黑" w:cs="微软雅黑"/>
          <w:color w:val="auto"/>
          <w:sz w:val="24"/>
          <w:szCs w:val="24"/>
          <w:highlight w:val="yellow"/>
          <w:lang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采购人和成交供应商均对对方提供的技术情报、资料等承担保密义务，不论本服务期间或结束，本条款长期有效。如因泄密造成损失的，受损方视情节轻重有权向泄密方追究法律责任。</w:t>
      </w:r>
    </w:p>
    <w:bookmarkEnd w:id="61"/>
    <w:bookmarkEnd w:id="62"/>
    <w:bookmarkEnd w:id="63"/>
    <w:bookmarkEnd w:id="64"/>
    <w:p>
      <w:pPr>
        <w:pStyle w:val="5"/>
        <w:spacing w:before="0" w:after="0" w:line="400" w:lineRule="exact"/>
        <w:rPr>
          <w:rFonts w:hint="eastAsia" w:ascii="微软雅黑" w:hAnsi="微软雅黑" w:eastAsia="微软雅黑" w:cs="微软雅黑"/>
          <w:color w:val="auto"/>
          <w:sz w:val="24"/>
          <w:szCs w:val="24"/>
        </w:rPr>
      </w:pPr>
      <w:bookmarkStart w:id="65" w:name="_Toc267320054"/>
      <w:bookmarkStart w:id="66" w:name="_Toc65512350"/>
      <w:bookmarkStart w:id="67" w:name="_Toc61526979"/>
      <w:bookmarkStart w:id="68" w:name="_Toc29045"/>
      <w:bookmarkStart w:id="69" w:name="_Toc23455"/>
      <w:bookmarkStart w:id="70" w:name="_Toc25325"/>
      <w:bookmarkStart w:id="71" w:name="_Toc21390"/>
      <w:bookmarkStart w:id="72" w:name="_Toc57903222"/>
      <w:bookmarkStart w:id="73" w:name="_Toc521073856"/>
      <w:bookmarkStart w:id="74" w:name="_Toc29831"/>
      <w:r>
        <w:rPr>
          <w:rFonts w:hint="eastAsia" w:ascii="微软雅黑" w:hAnsi="微软雅黑" w:eastAsia="微软雅黑" w:cs="微软雅黑"/>
          <w:color w:val="auto"/>
          <w:sz w:val="24"/>
          <w:szCs w:val="24"/>
          <w:lang w:val="en-US" w:eastAsia="zh-CN"/>
        </w:rPr>
        <w:t>六</w:t>
      </w:r>
      <w:r>
        <w:rPr>
          <w:rFonts w:hint="eastAsia" w:ascii="微软雅黑" w:hAnsi="微软雅黑" w:eastAsia="微软雅黑" w:cs="微软雅黑"/>
          <w:color w:val="auto"/>
          <w:sz w:val="24"/>
          <w:szCs w:val="24"/>
        </w:rPr>
        <w:t>、</w:t>
      </w:r>
      <w:bookmarkEnd w:id="65"/>
      <w:bookmarkEnd w:id="66"/>
      <w:bookmarkEnd w:id="67"/>
      <w:r>
        <w:rPr>
          <w:rFonts w:hint="eastAsia" w:ascii="微软雅黑" w:hAnsi="微软雅黑" w:eastAsia="微软雅黑" w:cs="微软雅黑"/>
          <w:color w:val="auto"/>
          <w:sz w:val="24"/>
          <w:szCs w:val="24"/>
          <w:lang w:eastAsia="zh-Hans"/>
        </w:rPr>
        <w:t>违约责任</w:t>
      </w:r>
      <w:bookmarkEnd w:id="68"/>
      <w:bookmarkEnd w:id="69"/>
    </w:p>
    <w:p>
      <w:pPr>
        <w:spacing w:line="440" w:lineRule="atLeast"/>
        <w:ind w:firstLine="480" w:firstLineChars="200"/>
        <w:rPr>
          <w:rFonts w:hint="eastAsia" w:ascii="微软雅黑" w:hAnsi="微软雅黑" w:eastAsia="微软雅黑" w:cs="微软雅黑"/>
          <w:color w:val="auto"/>
          <w:sz w:val="24"/>
          <w:szCs w:val="24"/>
          <w:lang w:eastAsia="zh-Hans"/>
        </w:rPr>
      </w:pPr>
      <w:r>
        <w:rPr>
          <w:rFonts w:hint="eastAsia" w:ascii="微软雅黑" w:hAnsi="微软雅黑" w:eastAsia="微软雅黑" w:cs="微软雅黑"/>
          <w:color w:val="auto"/>
          <w:sz w:val="24"/>
          <w:szCs w:val="24"/>
          <w:lang w:eastAsia="zh-Hans"/>
        </w:rPr>
        <w:t>如发生以下情况之一，视为成交供应商违约，采购人有权终止合同且不退还成交供应商的履约保证金：</w:t>
      </w:r>
    </w:p>
    <w:p>
      <w:pPr>
        <w:spacing w:line="440" w:lineRule="atLeast"/>
        <w:ind w:firstLine="480" w:firstLineChars="200"/>
        <w:rPr>
          <w:rFonts w:hint="eastAsia" w:ascii="微软雅黑" w:hAnsi="微软雅黑" w:eastAsia="微软雅黑" w:cs="微软雅黑"/>
          <w:color w:val="auto"/>
          <w:sz w:val="24"/>
          <w:szCs w:val="24"/>
          <w:lang w:eastAsia="zh-Hans"/>
        </w:rPr>
      </w:pPr>
      <w:r>
        <w:rPr>
          <w:rFonts w:hint="eastAsia" w:ascii="微软雅黑" w:hAnsi="微软雅黑" w:eastAsia="微软雅黑" w:cs="微软雅黑"/>
          <w:color w:val="auto"/>
          <w:sz w:val="24"/>
          <w:szCs w:val="24"/>
          <w:lang w:eastAsia="zh-Hans"/>
        </w:rPr>
        <w:t>（一）成交供应商在响应文件中提供虚假材料的。</w:t>
      </w:r>
    </w:p>
    <w:p>
      <w:pPr>
        <w:spacing w:line="4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Hans"/>
        </w:rPr>
        <w:t>（二）成交供应商未按照约定期限完成项目任务的。</w:t>
      </w:r>
    </w:p>
    <w:p>
      <w:pPr>
        <w:pStyle w:val="5"/>
        <w:spacing w:before="0" w:after="0" w:line="400" w:lineRule="exact"/>
        <w:rPr>
          <w:rFonts w:hint="eastAsia" w:ascii="微软雅黑" w:hAnsi="微软雅黑" w:eastAsia="微软雅黑" w:cs="微软雅黑"/>
          <w:sz w:val="24"/>
          <w:szCs w:val="24"/>
        </w:rPr>
      </w:pPr>
      <w:bookmarkStart w:id="75" w:name="_Toc8663"/>
      <w:r>
        <w:rPr>
          <w:rFonts w:hint="eastAsia" w:ascii="微软雅黑" w:hAnsi="微软雅黑" w:eastAsia="微软雅黑" w:cs="微软雅黑"/>
          <w:color w:val="000000" w:themeColor="text1"/>
          <w:sz w:val="24"/>
          <w:szCs w:val="24"/>
          <w:lang w:val="en-US" w:eastAsia="zh-CN"/>
          <w14:textFill>
            <w14:solidFill>
              <w14:schemeClr w14:val="tx1"/>
            </w14:solidFill>
          </w14:textFill>
        </w:rPr>
        <w:t>七</w:t>
      </w:r>
      <w:r>
        <w:rPr>
          <w:rFonts w:hint="eastAsia" w:ascii="微软雅黑" w:hAnsi="微软雅黑" w:eastAsia="微软雅黑" w:cs="微软雅黑"/>
          <w:color w:val="000000" w:themeColor="text1"/>
          <w:sz w:val="24"/>
          <w:szCs w:val="24"/>
          <w14:textFill>
            <w14:solidFill>
              <w14:schemeClr w14:val="tx1"/>
            </w14:solidFill>
          </w14:textFill>
        </w:rPr>
        <w:t>、其他</w:t>
      </w:r>
      <w:bookmarkEnd w:id="70"/>
      <w:bookmarkEnd w:id="71"/>
      <w:bookmarkEnd w:id="72"/>
      <w:bookmarkEnd w:id="73"/>
      <w:bookmarkEnd w:id="74"/>
      <w:bookmarkEnd w:id="75"/>
    </w:p>
    <w:p>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（一）供应商必须在响应文件中对以上条款和服务承诺明确列出，承诺内容必须达到本篇以上条款的要求。</w:t>
      </w:r>
    </w:p>
    <w:p>
      <w:pPr>
        <w:pStyle w:val="5"/>
        <w:spacing w:before="0" w:after="0" w:line="400" w:lineRule="exact"/>
        <w:ind w:firstLine="480" w:firstLineChars="200"/>
        <w:rPr>
          <w:rFonts w:hint="eastAsia" w:ascii="微软雅黑" w:hAnsi="微软雅黑" w:eastAsia="微软雅黑" w:cs="微软雅黑"/>
          <w:b w:val="0"/>
          <w:bCs/>
          <w:kern w:val="0"/>
          <w:sz w:val="24"/>
          <w:szCs w:val="24"/>
        </w:rPr>
      </w:pPr>
      <w:bookmarkStart w:id="76" w:name="_Toc32721"/>
      <w:bookmarkStart w:id="77" w:name="_Toc7993"/>
      <w:r>
        <w:rPr>
          <w:rFonts w:hint="eastAsia" w:ascii="微软雅黑" w:hAnsi="微软雅黑" w:eastAsia="微软雅黑" w:cs="微软雅黑"/>
          <w:b w:val="0"/>
          <w:bCs/>
          <w:kern w:val="0"/>
          <w:sz w:val="24"/>
          <w:szCs w:val="24"/>
        </w:rPr>
        <w:t>（二）其他未尽事宜由供需双方在采购合同中详细约定。</w:t>
      </w:r>
      <w:bookmarkEnd w:id="76"/>
      <w:bookmarkEnd w:id="77"/>
    </w:p>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pStyle w:val="4"/>
        <w:spacing w:before="0" w:after="0" w:line="360" w:lineRule="auto"/>
        <w:rPr>
          <w:rFonts w:ascii="微软雅黑" w:hAnsi="微软雅黑" w:eastAsia="微软雅黑" w:cs="微软雅黑"/>
          <w:bCs/>
          <w:color w:val="000000" w:themeColor="text1"/>
          <w:sz w:val="36"/>
          <w:szCs w:val="30"/>
          <w14:textFill>
            <w14:solidFill>
              <w14:schemeClr w14:val="tx1"/>
            </w14:solidFill>
          </w14:textFill>
        </w:rPr>
      </w:pPr>
      <w:bookmarkStart w:id="78" w:name="_Toc20966"/>
      <w:r>
        <w:rPr>
          <w:rFonts w:hint="eastAsia" w:ascii="微软雅黑" w:hAnsi="微软雅黑" w:eastAsia="微软雅黑" w:cs="微软雅黑"/>
          <w:bCs/>
          <w:color w:val="000000" w:themeColor="text1"/>
          <w:sz w:val="36"/>
          <w:szCs w:val="30"/>
          <w14:textFill>
            <w14:solidFill>
              <w14:schemeClr w14:val="tx1"/>
            </w14:solidFill>
          </w14:textFill>
        </w:rPr>
        <w:t>第四篇  磋商程序及方法、评审标准、无效响应和</w:t>
      </w:r>
      <w:r>
        <w:rPr>
          <w:rFonts w:hint="eastAsia" w:ascii="微软雅黑" w:hAnsi="微软雅黑" w:eastAsia="微软雅黑" w:cs="微软雅黑"/>
          <w:bCs/>
          <w:color w:val="000000" w:themeColor="text1"/>
          <w:sz w:val="36"/>
          <w:szCs w:val="36"/>
          <w14:textFill>
            <w14:solidFill>
              <w14:schemeClr w14:val="tx1"/>
            </w14:solidFill>
          </w14:textFill>
        </w:rPr>
        <w:t>采购终止</w:t>
      </w:r>
      <w:bookmarkEnd w:id="78"/>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79" w:name="_Toc10392"/>
      <w:bookmarkStart w:id="80" w:name="_Toc13160"/>
      <w:bookmarkStart w:id="81" w:name="_Toc24398"/>
      <w:bookmarkStart w:id="82" w:name="_Toc342913394"/>
      <w:bookmarkStart w:id="83" w:name="_Toc102227320"/>
      <w:r>
        <w:rPr>
          <w:rFonts w:hint="eastAsia" w:ascii="微软雅黑" w:hAnsi="微软雅黑" w:eastAsia="微软雅黑" w:cs="微软雅黑"/>
          <w:color w:val="000000" w:themeColor="text1"/>
          <w:sz w:val="24"/>
          <w:szCs w:val="24"/>
          <w14:textFill>
            <w14:solidFill>
              <w14:schemeClr w14:val="tx1"/>
            </w14:solidFill>
          </w14:textFill>
        </w:rPr>
        <w:t>一、磋商程序及方法</w:t>
      </w:r>
      <w:bookmarkEnd w:id="79"/>
      <w:bookmarkEnd w:id="80"/>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kern w:val="0"/>
          <w:sz w:val="24"/>
          <w:szCs w:val="24"/>
          <w14:textFill>
            <w14:solidFill>
              <w14:schemeClr w14:val="tx1"/>
            </w14:solidFill>
          </w14:textFill>
        </w:rPr>
        <w:t>资格性检查。依据法律法规和竞争性磋商文件的规定，对响应文件中的资格证明、磋商保证金等进行审查，以确定供应商是否具备磋商资格。资格性检查资料表如下：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5388" w:type="dxa"/>
            <w:gridSpan w:val="2"/>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检查因素</w:t>
            </w:r>
          </w:p>
        </w:tc>
        <w:tc>
          <w:tcPr>
            <w:tcW w:w="3564"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709" w:type="dxa"/>
            <w:vMerge w:val="restart"/>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w:t>
            </w:r>
          </w:p>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应</w:t>
            </w:r>
          </w:p>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商</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应</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符</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合</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的</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基</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本</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资</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格</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条</w:t>
            </w:r>
          </w:p>
          <w:p>
            <w:pPr>
              <w:spacing w:line="240" w:lineRule="exact"/>
              <w:jc w:val="center"/>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件</w:t>
            </w: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（1）具有独立承担民事责任的能力</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供应商法人营业执照（副本）或事业单位法人证书（副本）或个体工商户营业执照或有效的自然人身份证明或社会团体法人登记证书（提供复印件）； </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供应商法定代表人身份证明和法定代表人授权代表委托书。</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不具有独立法人的分公司、办事处等分支机构参加磋商须出具总公司的授权证明。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扣减</w:t>
            </w:r>
          </w:p>
        </w:tc>
        <w:tc>
          <w:tcPr>
            <w:tcW w:w="709" w:type="dxa"/>
            <w:vMerge w:val="continue"/>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（2）</w:t>
            </w:r>
            <w:r>
              <w:rPr>
                <w:rFonts w:hint="eastAsia" w:ascii="微软雅黑" w:hAnsi="微软雅黑" w:eastAsia="微软雅黑" w:cs="微软雅黑"/>
                <w:color w:val="000000" w:themeColor="text1"/>
                <w:sz w:val="21"/>
                <w:szCs w:val="21"/>
                <w14:textFill>
                  <w14:solidFill>
                    <w14:schemeClr w14:val="tx1"/>
                  </w14:solidFill>
                </w14:textFill>
              </w:rPr>
              <w:t>具有良好的商业信誉和健全的财务会计制度</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提供2019或2020年度财务状况报告（表）复印件，本年度新成立或成立不满一年的组织和自然人无法提供财务状况报告（表）的，可提供银行出具的资信证明复印件。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（3）具有履行合同所必需的设备和专业技术能力</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供应商提供书面声明（</w:t>
            </w:r>
            <w:r>
              <w:rPr>
                <w:rFonts w:hint="eastAsia" w:ascii="微软雅黑" w:hAnsi="微软雅黑" w:eastAsia="微软雅黑" w:cs="微软雅黑"/>
                <w:b/>
                <w:bCs/>
                <w:color w:val="000000" w:themeColor="text1"/>
                <w:sz w:val="21"/>
                <w:szCs w:val="21"/>
                <w14:textFill>
                  <w14:solidFill>
                    <w14:schemeClr w14:val="tx1"/>
                  </w14:solidFill>
                </w14:textFill>
              </w:rPr>
              <w:t>见格式文件</w:t>
            </w:r>
            <w:r>
              <w:rPr>
                <w:rFonts w:hint="eastAsia" w:ascii="微软雅黑" w:hAnsi="微软雅黑" w:eastAsia="微软雅黑" w:cs="微软雅黑"/>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（4）有依法缴纳税收和社会保障金的良好记录</w:t>
            </w:r>
          </w:p>
        </w:tc>
        <w:tc>
          <w:tcPr>
            <w:tcW w:w="356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1.税务登记证（副本）复印件（注</w: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begin"/>
            </w:r>
            <w:r>
              <w:rPr>
                <w:rFonts w:hint="eastAsia" w:ascii="微软雅黑" w:hAnsi="微软雅黑" w:eastAsia="微软雅黑" w:cs="微软雅黑"/>
                <w:color w:val="000000" w:themeColor="text1"/>
                <w:sz w:val="21"/>
                <w:szCs w:val="21"/>
                <w:lang w:val="zh-CN"/>
                <w14:textFill>
                  <w14:solidFill>
                    <w14:schemeClr w14:val="tx1"/>
                  </w14:solidFill>
                </w14:textFill>
              </w:rPr>
              <w:instrText xml:space="preserve"> eq \o\ac(○,1)</w:instrTex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end"/>
            </w:r>
            <w:r>
              <w:rPr>
                <w:rFonts w:hint="eastAsia" w:ascii="微软雅黑" w:hAnsi="微软雅黑" w:eastAsia="微软雅黑" w:cs="微软雅黑"/>
                <w:color w:val="000000" w:themeColor="text1"/>
                <w:sz w:val="21"/>
                <w:szCs w:val="21"/>
                <w:lang w:val="zh-CN"/>
                <w14:textFill>
                  <w14:solidFill>
                    <w14:schemeClr w14:val="tx1"/>
                  </w14:solidFill>
                </w14:textFill>
              </w:rPr>
              <w:t>）</w:t>
            </w:r>
          </w:p>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2.缴纳社会保障金的证明材料复印件【缴纳社会保障金的证明材料指：社会保险登记证（注</w: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begin"/>
            </w:r>
            <w:r>
              <w:rPr>
                <w:rFonts w:hint="eastAsia" w:ascii="微软雅黑" w:hAnsi="微软雅黑" w:eastAsia="微软雅黑" w:cs="微软雅黑"/>
                <w:color w:val="000000" w:themeColor="text1"/>
                <w:sz w:val="21"/>
                <w:szCs w:val="21"/>
                <w:lang w:val="zh-CN"/>
                <w14:textFill>
                  <w14:solidFill>
                    <w14:schemeClr w14:val="tx1"/>
                  </w14:solidFill>
                </w14:textFill>
              </w:rPr>
              <w:instrText xml:space="preserve"> eq \o\ac(○,1)</w:instrText>
            </w:r>
            <w:r>
              <w:rPr>
                <w:rFonts w:hint="eastAsia" w:ascii="微软雅黑" w:hAnsi="微软雅黑" w:eastAsia="微软雅黑" w:cs="微软雅黑"/>
                <w:color w:val="000000" w:themeColor="text1"/>
                <w:sz w:val="21"/>
                <w:szCs w:val="21"/>
                <w:lang w:val="zh-CN"/>
                <w14:textFill>
                  <w14:solidFill>
                    <w14:schemeClr w14:val="tx1"/>
                  </w14:solidFill>
                </w14:textFill>
              </w:rPr>
              <w:fldChar w:fldCharType="end"/>
            </w:r>
            <w:r>
              <w:rPr>
                <w:rFonts w:hint="eastAsia" w:ascii="微软雅黑" w:hAnsi="微软雅黑" w:eastAsia="微软雅黑" w:cs="微软雅黑"/>
                <w:color w:val="000000" w:themeColor="text1"/>
                <w:sz w:val="21"/>
                <w:szCs w:val="21"/>
                <w:lang w:val="zh-CN"/>
                <w14:textFill>
                  <w14:solidFill>
                    <w14:schemeClr w14:val="tx1"/>
                  </w14:solidFill>
                </w14:textFill>
              </w:rPr>
              <w:t>）或缴纳社会保险的凭据（专用收据或社会保险缴纳清单）】。</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3.依法免税或不需要缴纳社会保障资金的供应商，应提供相应文件证明其依法免税或不需要缴纳社会保障资金。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（5）参加政府采购活动前三年内，在经营活动中没有重大违法记录（注</w:t>
            </w: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color w:val="000000" w:themeColor="text1"/>
                <w:sz w:val="21"/>
                <w:szCs w:val="21"/>
                <w14:textFill>
                  <w14:solidFill>
                    <w14:schemeClr w14:val="tx1"/>
                  </w14:solidFill>
                </w14:textFill>
              </w:rPr>
              <w:instrText xml:space="preserve"> eq \o\ac(○,</w:instrText>
            </w:r>
            <w:r>
              <w:rPr>
                <w:rFonts w:hint="eastAsia" w:ascii="微软雅黑" w:hAnsi="微软雅黑" w:eastAsia="微软雅黑" w:cs="微软雅黑"/>
                <w:color w:val="000000" w:themeColor="text1"/>
                <w:position w:val="2"/>
                <w:sz w:val="14"/>
                <w:szCs w:val="21"/>
                <w14:textFill>
                  <w14:solidFill>
                    <w14:schemeClr w14:val="tx1"/>
                  </w14:solidFill>
                </w14:textFill>
              </w:rPr>
              <w:instrText xml:space="preserve">3</w:instrText>
            </w:r>
            <w:r>
              <w:rPr>
                <w:rFonts w:hint="eastAsia" w:ascii="微软雅黑" w:hAnsi="微软雅黑" w:eastAsia="微软雅黑" w:cs="微软雅黑"/>
                <w:color w:val="000000" w:themeColor="text1"/>
                <w:sz w:val="21"/>
                <w:szCs w:val="21"/>
                <w14:textFill>
                  <w14:solidFill>
                    <w14:schemeClr w14:val="tx1"/>
                  </w14:solidFill>
                </w14:textFill>
              </w:rPr>
              <w:instrText xml:space="preserve">)</w:instrTex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1.供应商提供书面声明（</w:t>
            </w:r>
            <w:r>
              <w:rPr>
                <w:rFonts w:hint="eastAsia" w:ascii="微软雅黑" w:hAnsi="微软雅黑" w:eastAsia="微软雅黑" w:cs="微软雅黑"/>
                <w:b/>
                <w:bCs/>
                <w:color w:val="000000" w:themeColor="text1"/>
                <w:sz w:val="21"/>
                <w:szCs w:val="21"/>
                <w14:textFill>
                  <w14:solidFill>
                    <w14:schemeClr w14:val="tx1"/>
                  </w14:solidFill>
                </w14:textFill>
              </w:rPr>
              <w:t>见格式文件</w:t>
            </w:r>
            <w:r>
              <w:rPr>
                <w:rFonts w:hint="eastAsia" w:ascii="微软雅黑" w:hAnsi="微软雅黑" w:eastAsia="微软雅黑" w:cs="微软雅黑"/>
                <w:color w:val="000000" w:themeColor="text1"/>
                <w:sz w:val="21"/>
                <w:szCs w:val="21"/>
                <w14:textFill>
                  <w14:solidFill>
                    <w14:schemeClr w14:val="tx1"/>
                  </w14:solidFill>
                </w14:textFill>
              </w:rPr>
              <w:t>）</w:t>
            </w:r>
          </w:p>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p>
        </w:tc>
        <w:tc>
          <w:tcPr>
            <w:tcW w:w="709" w:type="dxa"/>
            <w:vMerge w:val="continue"/>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c>
          <w:tcPr>
            <w:tcW w:w="467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（6）法律、行政法规规定的其他条件</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6" w:type="dxa"/>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5388" w:type="dxa"/>
            <w:gridSpan w:val="2"/>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特定资格条件</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6" w:type="dxa"/>
            <w:vAlign w:val="center"/>
          </w:tcPr>
          <w:p>
            <w:pPr>
              <w:spacing w:line="24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5388" w:type="dxa"/>
            <w:gridSpan w:val="2"/>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保证金</w:t>
            </w:r>
          </w:p>
        </w:tc>
        <w:tc>
          <w:tcPr>
            <w:tcW w:w="356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按照竞争性磋商文件第一篇的规定提交保证金</w:t>
            </w:r>
          </w:p>
        </w:tc>
      </w:tr>
    </w:tbl>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注：</w:t>
      </w:r>
    </w:p>
    <w:p>
      <w:pPr>
        <w:snapToGrid w:val="0"/>
        <w:spacing w:line="400" w:lineRule="exact"/>
        <w:ind w:firstLine="480" w:firstLineChars="200"/>
        <w:rPr>
          <w:rFonts w:ascii="微软雅黑" w:hAnsi="微软雅黑" w:eastAsia="微软雅黑" w:cs="微软雅黑"/>
          <w:color w:val="000000" w:themeColor="text1"/>
          <w:kern w:val="0"/>
          <w:sz w:val="24"/>
          <w:szCs w:val="24"/>
          <w:u w:val="single"/>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 eq \o\ac(○,</w:instrText>
      </w:r>
      <w:r>
        <w:rPr>
          <w:rFonts w:hint="eastAsia" w:ascii="微软雅黑" w:hAnsi="微软雅黑" w:eastAsia="微软雅黑" w:cs="微软雅黑"/>
          <w:color w:val="000000" w:themeColor="text1"/>
          <w:kern w:val="0"/>
          <w:position w:val="3"/>
          <w:sz w:val="16"/>
          <w:szCs w:val="24"/>
          <w14:textFill>
            <w14:solidFill>
              <w14:schemeClr w14:val="tx1"/>
            </w14:solidFill>
          </w14:textFill>
        </w:rPr>
        <w:instrText xml:space="preserve">1</w:instrText>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w:instrText>
      </w:r>
      <w:r>
        <w:rPr>
          <w:rFonts w:hint="eastAsia" w:ascii="微软雅黑" w:hAnsi="微软雅黑" w:eastAsia="微软雅黑" w:cs="微软雅黑"/>
          <w:color w:val="000000" w:themeColor="text1"/>
          <w:kern w:val="0"/>
          <w:sz w:val="24"/>
          <w:szCs w:val="24"/>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lang w:val="zh-CN"/>
          <w14:textFill>
            <w14:solidFill>
              <w14:schemeClr w14:val="tx1"/>
            </w14:solidFill>
          </w14:textFill>
        </w:rPr>
        <w:t>供应商按“多证合一”登记制度办理营业执照的，组织机构代码证、税务登记证（副本）和社会保险登记证以</w:t>
      </w:r>
      <w:r>
        <w:rPr>
          <w:rFonts w:hint="eastAsia" w:ascii="微软雅黑" w:hAnsi="微软雅黑" w:eastAsia="微软雅黑" w:cs="微软雅黑"/>
          <w:color w:val="000000" w:themeColor="text1"/>
          <w:kern w:val="0"/>
          <w:sz w:val="24"/>
          <w:szCs w:val="24"/>
          <w14:textFill>
            <w14:solidFill>
              <w14:schemeClr w14:val="tx1"/>
            </w14:solidFill>
          </w14:textFill>
        </w:rPr>
        <w:t>供应商</w:t>
      </w:r>
      <w:r>
        <w:rPr>
          <w:rFonts w:hint="eastAsia" w:ascii="微软雅黑" w:hAnsi="微软雅黑" w:eastAsia="微软雅黑" w:cs="微软雅黑"/>
          <w:color w:val="000000" w:themeColor="text1"/>
          <w:kern w:val="0"/>
          <w:sz w:val="24"/>
          <w:szCs w:val="24"/>
          <w:lang w:val="zh-CN"/>
          <w14:textFill>
            <w14:solidFill>
              <w14:schemeClr w14:val="tx1"/>
            </w14:solidFill>
          </w14:textFill>
        </w:rPr>
        <w:t>所提供的营业执照（副本）复印件为准。</w:t>
      </w:r>
    </w:p>
    <w:p>
      <w:pPr>
        <w:snapToGrid w:val="0"/>
        <w:spacing w:line="400" w:lineRule="exact"/>
        <w:ind w:firstLine="480" w:firstLineChars="200"/>
        <w:rPr>
          <w:rFonts w:ascii="微软雅黑" w:hAnsi="微软雅黑" w:eastAsia="微软雅黑" w:cs="微软雅黑"/>
          <w:color w:val="000000" w:themeColor="text1"/>
          <w:kern w:val="0"/>
          <w:sz w:val="24"/>
          <w:szCs w:val="24"/>
          <w:lang w:val="zh-CN"/>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 eq \o\ac(○,</w:instrText>
      </w:r>
      <w:r>
        <w:rPr>
          <w:rFonts w:hint="eastAsia" w:ascii="微软雅黑" w:hAnsi="微软雅黑" w:eastAsia="微软雅黑" w:cs="微软雅黑"/>
          <w:color w:val="000000" w:themeColor="text1"/>
          <w:kern w:val="0"/>
          <w:position w:val="3"/>
          <w:sz w:val="16"/>
          <w:szCs w:val="24"/>
          <w14:textFill>
            <w14:solidFill>
              <w14:schemeClr w14:val="tx1"/>
            </w14:solidFill>
          </w14:textFill>
        </w:rPr>
        <w:instrText xml:space="preserve">2</w:instrText>
      </w:r>
      <w:r>
        <w:rPr>
          <w:rFonts w:hint="eastAsia" w:ascii="微软雅黑" w:hAnsi="微软雅黑" w:eastAsia="微软雅黑" w:cs="微软雅黑"/>
          <w:color w:val="000000" w:themeColor="text1"/>
          <w:kern w:val="0"/>
          <w:sz w:val="24"/>
          <w:szCs w:val="24"/>
          <w14:textFill>
            <w14:solidFill>
              <w14:schemeClr w14:val="tx1"/>
            </w14:solidFill>
          </w14:textFill>
        </w:rPr>
        <w:instrText xml:space="preserve">)</w:instrText>
      </w:r>
      <w:r>
        <w:rPr>
          <w:rFonts w:hint="eastAsia" w:ascii="微软雅黑" w:hAnsi="微软雅黑" w:eastAsia="微软雅黑" w:cs="微软雅黑"/>
          <w:color w:val="000000" w:themeColor="text1"/>
          <w:kern w:val="0"/>
          <w:sz w:val="24"/>
          <w:szCs w:val="24"/>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3544" w:type="dxa"/>
            <w:gridSpan w:val="2"/>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评审因素</w:t>
            </w:r>
          </w:p>
        </w:tc>
        <w:tc>
          <w:tcPr>
            <w:tcW w:w="5409" w:type="dxa"/>
            <w:vAlign w:val="center"/>
          </w:tcPr>
          <w:p>
            <w:pPr>
              <w:spacing w:line="240" w:lineRule="exact"/>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1</w:t>
            </w:r>
          </w:p>
        </w:tc>
        <w:tc>
          <w:tcPr>
            <w:tcW w:w="1560" w:type="dxa"/>
            <w:vMerge w:val="restart"/>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有效性审查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响应文件签署</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法定代表人身份证明及授权委托书</w:t>
            </w:r>
          </w:p>
        </w:tc>
        <w:tc>
          <w:tcPr>
            <w:tcW w:w="5409" w:type="dxa"/>
            <w:vAlign w:val="center"/>
          </w:tcPr>
          <w:p>
            <w:pPr>
              <w:spacing w:line="24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方案</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每个分包只能有一个</w:t>
            </w: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报价唯一</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zh-CN"/>
                <w14:textFill>
                  <w14:solidFill>
                    <w14:schemeClr w14:val="tx1"/>
                  </w14:solidFill>
                </w14:textFill>
              </w:rPr>
              <w:t>只能在</w:t>
            </w:r>
            <w:r>
              <w:rPr>
                <w:rFonts w:hint="eastAsia" w:ascii="微软雅黑" w:hAnsi="微软雅黑" w:eastAsia="微软雅黑" w:cs="微软雅黑"/>
                <w:color w:val="000000" w:themeColor="text1"/>
                <w:sz w:val="21"/>
                <w:szCs w:val="21"/>
                <w14:textFill>
                  <w14:solidFill>
                    <w14:schemeClr w14:val="tx1"/>
                  </w14:solidFill>
                </w14:textFill>
              </w:rPr>
              <w:t>采购预算</w:t>
            </w:r>
            <w:r>
              <w:rPr>
                <w:rFonts w:hint="eastAsia" w:ascii="微软雅黑" w:hAnsi="微软雅黑" w:eastAsia="微软雅黑" w:cs="微软雅黑"/>
                <w:color w:val="000000" w:themeColor="text1"/>
                <w:sz w:val="21"/>
                <w:szCs w:val="21"/>
                <w:lang w:val="zh-CN"/>
                <w14:textFill>
                  <w14:solidFill>
                    <w14:schemeClr w14:val="tx1"/>
                  </w14:solidFill>
                </w14:textFill>
              </w:rPr>
              <w:t>范围内报价，</w:t>
            </w:r>
            <w:r>
              <w:rPr>
                <w:rFonts w:hint="eastAsia" w:ascii="微软雅黑" w:hAnsi="微软雅黑" w:eastAsia="微软雅黑" w:cs="微软雅黑"/>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2</w:t>
            </w:r>
          </w:p>
        </w:tc>
        <w:tc>
          <w:tcPr>
            <w:tcW w:w="1560"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完整性审查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文件份数</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w:t>
            </w:r>
            <w:r>
              <w:rPr>
                <w:rFonts w:hint="eastAsia" w:ascii="微软雅黑" w:hAnsi="微软雅黑" w:eastAsia="微软雅黑" w:cs="微软雅黑"/>
                <w:color w:val="000000" w:themeColor="text1"/>
                <w:sz w:val="21"/>
                <w:szCs w:val="21"/>
                <w:lang w:val="zh-CN"/>
                <w14:textFill>
                  <w14:solidFill>
                    <w14:schemeClr w14:val="tx1"/>
                  </w14:solidFill>
                </w14:textFill>
              </w:rPr>
              <w:t>文件正、副本数量</w:t>
            </w:r>
            <w:r>
              <w:rPr>
                <w:rFonts w:hint="eastAsia" w:ascii="微软雅黑" w:hAnsi="微软雅黑" w:eastAsia="微软雅黑" w:cs="微软雅黑"/>
                <w:b/>
                <w:bCs/>
                <w:color w:val="000000" w:themeColor="text1"/>
                <w:sz w:val="21"/>
                <w:szCs w:val="21"/>
                <w:lang w:val="zh-CN"/>
                <w14:textFill>
                  <w14:solidFill>
                    <w14:schemeClr w14:val="tx1"/>
                  </w14:solidFill>
                </w14:textFill>
              </w:rPr>
              <w:t>（含电子文档）</w:t>
            </w:r>
            <w:r>
              <w:rPr>
                <w:rFonts w:hint="eastAsia" w:ascii="微软雅黑" w:hAnsi="微软雅黑" w:eastAsia="微软雅黑" w:cs="微软雅黑"/>
                <w:color w:val="000000" w:themeColor="text1"/>
                <w:sz w:val="21"/>
                <w:szCs w:val="21"/>
                <w:lang w:val="zh-CN"/>
                <w14:textFill>
                  <w14:solidFill>
                    <w14:schemeClr w14:val="tx1"/>
                  </w14:solidFill>
                </w14:textFill>
              </w:rPr>
              <w:t>符合</w:t>
            </w:r>
            <w:r>
              <w:rPr>
                <w:rFonts w:hint="eastAsia" w:ascii="微软雅黑" w:hAnsi="微软雅黑" w:eastAsia="微软雅黑" w:cs="微软雅黑"/>
                <w:color w:val="000000" w:themeColor="text1"/>
                <w:sz w:val="21"/>
                <w:szCs w:val="21"/>
                <w14:textFill>
                  <w14:solidFill>
                    <w14:schemeClr w14:val="tx1"/>
                  </w14:solidFill>
                </w14:textFill>
              </w:rPr>
              <w:t>竞争性磋商</w:t>
            </w:r>
            <w:r>
              <w:rPr>
                <w:rFonts w:hint="eastAsia" w:ascii="微软雅黑" w:hAnsi="微软雅黑" w:eastAsia="微软雅黑" w:cs="微软雅黑"/>
                <w:color w:val="000000" w:themeColor="text1"/>
                <w:sz w:val="21"/>
                <w:szCs w:val="21"/>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3</w:t>
            </w:r>
          </w:p>
        </w:tc>
        <w:tc>
          <w:tcPr>
            <w:tcW w:w="1560" w:type="dxa"/>
            <w:vMerge w:val="restart"/>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竞争性磋商文件的响应程度审查</w:t>
            </w: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响应文件内容</w:t>
            </w:r>
          </w:p>
        </w:tc>
        <w:tc>
          <w:tcPr>
            <w:tcW w:w="5409" w:type="dxa"/>
            <w:vAlign w:val="center"/>
          </w:tcPr>
          <w:p>
            <w:pPr>
              <w:pStyle w:val="32"/>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对竞争性磋商文件第二篇规定的磋商内容作出响应。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微软雅黑" w:hAnsi="微软雅黑" w:eastAsia="微软雅黑" w:cs="微软雅黑"/>
                <w:color w:val="000000" w:themeColor="text1"/>
                <w:kern w:val="0"/>
                <w:sz w:val="21"/>
                <w:szCs w:val="21"/>
                <w14:textFill>
                  <w14:solidFill>
                    <w14:schemeClr w14:val="tx1"/>
                  </w14:solidFill>
                </w14:textFill>
              </w:rPr>
            </w:pPr>
          </w:p>
        </w:tc>
        <w:tc>
          <w:tcPr>
            <w:tcW w:w="1560" w:type="dxa"/>
            <w:vMerge w:val="continue"/>
            <w:vAlign w:val="center"/>
          </w:tcPr>
          <w:p>
            <w:pPr>
              <w:spacing w:line="240" w:lineRule="exact"/>
              <w:rPr>
                <w:rFonts w:ascii="微软雅黑" w:hAnsi="微软雅黑" w:eastAsia="微软雅黑" w:cs="微软雅黑"/>
                <w:color w:val="000000" w:themeColor="text1"/>
                <w:sz w:val="21"/>
                <w:szCs w:val="21"/>
                <w:lang w:val="zh-CN"/>
                <w14:textFill>
                  <w14:solidFill>
                    <w14:schemeClr w14:val="tx1"/>
                  </w14:solidFill>
                </w14:textFill>
              </w:rPr>
            </w:pPr>
          </w:p>
        </w:tc>
        <w:tc>
          <w:tcPr>
            <w:tcW w:w="1984"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磋商有效期</w:t>
            </w:r>
          </w:p>
        </w:tc>
        <w:tc>
          <w:tcPr>
            <w:tcW w:w="5409" w:type="dxa"/>
            <w:vAlign w:val="center"/>
          </w:tcPr>
          <w:p>
            <w:pPr>
              <w:spacing w:line="240" w:lineRule="exact"/>
              <w:rPr>
                <w:rFonts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满足磋商文件</w:t>
            </w:r>
            <w:r>
              <w:rPr>
                <w:rFonts w:hint="eastAsia" w:ascii="微软雅黑" w:hAnsi="微软雅黑" w:eastAsia="微软雅黑" w:cs="微软雅黑"/>
                <w:color w:val="000000" w:themeColor="text1"/>
                <w:sz w:val="21"/>
                <w:szCs w:val="21"/>
                <w:lang w:val="zh-CN"/>
                <w14:textFill>
                  <w14:solidFill>
                    <w14:schemeClr w14:val="tx1"/>
                  </w14:solidFill>
                </w14:textFill>
              </w:rPr>
              <w:t>规定。</w:t>
            </w:r>
          </w:p>
        </w:tc>
      </w:tr>
    </w:tbl>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（五）在磋商过程中磋商的任何一方不得向他人透露与磋商有关的技术资料、价格或其他信息。</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（七）供应商在磋商时作出的所有书面承诺须由法定代表人或其授权代表签字。</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hint="eastAsia" w:ascii="微软雅黑" w:hAnsi="微软雅黑" w:eastAsia="微软雅黑" w:cs="微软雅黑"/>
          <w:b/>
          <w:bCs/>
          <w:color w:val="000000" w:themeColor="text1"/>
          <w:sz w:val="24"/>
          <w:szCs w:val="24"/>
          <w14:textFill>
            <w14:solidFill>
              <w14:schemeClr w14:val="tx1"/>
            </w14:solidFill>
          </w14:textFill>
        </w:rPr>
        <w:t>在未实质性变动竞争性磋商文件的情况下，最后报价不得高于上一次报价，否则失去成交供应商的资格。</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微软雅黑" w:hAnsi="微软雅黑" w:eastAsia="微软雅黑" w:cs="微软雅黑"/>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服务部分为0分，将失去成为成交候选人的资格。</w:t>
      </w:r>
    </w:p>
    <w:p>
      <w:pPr>
        <w:pStyle w:val="5"/>
        <w:spacing w:before="0" w:after="0" w:line="44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84" w:name="_Toc19140"/>
      <w:r>
        <w:rPr>
          <w:rFonts w:hint="eastAsia" w:ascii="微软雅黑" w:hAnsi="微软雅黑" w:eastAsia="微软雅黑" w:cs="微软雅黑"/>
          <w:color w:val="000000" w:themeColor="text1"/>
          <w:sz w:val="24"/>
          <w:szCs w:val="24"/>
          <w14:textFill>
            <w14:solidFill>
              <w14:schemeClr w14:val="tx1"/>
            </w14:solidFill>
          </w14:textFill>
        </w:rPr>
        <w:t>二、评审标准</w:t>
      </w:r>
      <w:bookmarkEnd w:id="81"/>
      <w:bookmarkEnd w:id="84"/>
    </w:p>
    <w:tbl>
      <w:tblPr>
        <w:tblStyle w:val="57"/>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1"/>
        <w:gridCol w:w="1366"/>
        <w:gridCol w:w="481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191"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评分因素及权值</w:t>
            </w:r>
          </w:p>
        </w:tc>
        <w:tc>
          <w:tcPr>
            <w:tcW w:w="1366"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分值</w:t>
            </w:r>
          </w:p>
        </w:tc>
        <w:tc>
          <w:tcPr>
            <w:tcW w:w="4814"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评分标准</w:t>
            </w:r>
          </w:p>
        </w:tc>
        <w:tc>
          <w:tcPr>
            <w:tcW w:w="1926" w:type="dxa"/>
            <w:vAlign w:val="center"/>
          </w:tcPr>
          <w:p>
            <w:pPr>
              <w:spacing w:line="240" w:lineRule="atLeast"/>
              <w:ind w:firstLine="28"/>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191" w:type="dxa"/>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w:t>
            </w:r>
          </w:p>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报价</w:t>
            </w:r>
          </w:p>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366" w:type="dxa"/>
            <w:vAlign w:val="center"/>
          </w:tcPr>
          <w:p>
            <w:pPr>
              <w:spacing w:line="240" w:lineRule="atLeast"/>
              <w:ind w:firstLine="28"/>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报价得分</w:t>
            </w:r>
          </w:p>
          <w:p>
            <w:pPr>
              <w:spacing w:line="240" w:lineRule="atLeast"/>
              <w:ind w:firstLine="28"/>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10</w:t>
            </w:r>
            <w:r>
              <w:rPr>
                <w:rFonts w:hint="eastAsia" w:ascii="微软雅黑" w:hAnsi="微软雅黑" w:eastAsia="微软雅黑" w:cs="微软雅黑"/>
                <w:color w:val="auto"/>
                <w:sz w:val="21"/>
                <w:szCs w:val="21"/>
                <w:lang w:val="en-US" w:eastAsia="zh-CN"/>
              </w:rPr>
              <w:t>分）</w:t>
            </w:r>
          </w:p>
        </w:tc>
        <w:tc>
          <w:tcPr>
            <w:tcW w:w="4814" w:type="dxa"/>
            <w:vAlign w:val="center"/>
          </w:tcPr>
          <w:p>
            <w:pPr>
              <w:spacing w:line="240" w:lineRule="atLeas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满足资格性、符合性要求且最后报价最低的供应商的价格为磋商基准价，其价格分为满分。其他供应商的价格分统一按照下列公式计算：</w:t>
            </w:r>
          </w:p>
          <w:p>
            <w:pPr>
              <w:spacing w:line="240" w:lineRule="atLeas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磋商报价得分=（磋商基准价/最后磋商报价）×价格权值×100</w:t>
            </w:r>
          </w:p>
        </w:tc>
        <w:tc>
          <w:tcPr>
            <w:tcW w:w="1926" w:type="dxa"/>
            <w:vAlign w:val="center"/>
          </w:tcPr>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对小型和微型企业产品的价格给予</w:t>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rPr>
              <w:t>的扣除，用扣除后的价格参与评审（注</w:t>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eq \o\ac(○,3)</w:instrTex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240" w:lineRule="atLeast"/>
              <w:ind w:firstLine="28"/>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191" w:type="dxa"/>
            <w:vMerge w:val="restart"/>
            <w:vAlign w:val="center"/>
          </w:tcPr>
          <w:p>
            <w:pPr>
              <w:spacing w:line="240" w:lineRule="atLeast"/>
              <w:ind w:firstLine="28"/>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服务</w:t>
            </w:r>
          </w:p>
          <w:p>
            <w:pPr>
              <w:spacing w:line="240" w:lineRule="atLeast"/>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部分</w:t>
            </w:r>
          </w:p>
          <w:p>
            <w:pPr>
              <w:spacing w:line="240" w:lineRule="atLeast"/>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65</w:t>
            </w:r>
            <w:r>
              <w:rPr>
                <w:rFonts w:hint="eastAsia" w:ascii="微软雅黑" w:hAnsi="微软雅黑" w:eastAsia="微软雅黑" w:cs="微软雅黑"/>
                <w:color w:val="auto"/>
                <w:sz w:val="21"/>
                <w:szCs w:val="21"/>
              </w:rPr>
              <w:t>%）</w:t>
            </w:r>
          </w:p>
        </w:tc>
        <w:tc>
          <w:tcPr>
            <w:tcW w:w="1366" w:type="dxa"/>
            <w:vAlign w:val="center"/>
          </w:tcPr>
          <w:p>
            <w:pPr>
              <w:spacing w:line="240" w:lineRule="atLeast"/>
              <w:ind w:left="-38"/>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项目技术要求（5</w:t>
            </w:r>
            <w:r>
              <w:rPr>
                <w:rFonts w:hint="eastAsia" w:ascii="微软雅黑" w:hAnsi="微软雅黑" w:eastAsia="微软雅黑" w:cs="微软雅黑"/>
                <w:color w:val="auto"/>
                <w:sz w:val="21"/>
                <w:szCs w:val="21"/>
              </w:rPr>
              <w:t>0</w:t>
            </w:r>
            <w:r>
              <w:rPr>
                <w:rFonts w:hint="eastAsia" w:ascii="微软雅黑" w:hAnsi="微软雅黑" w:eastAsia="微软雅黑" w:cs="微软雅黑"/>
                <w:color w:val="auto"/>
                <w:sz w:val="21"/>
                <w:szCs w:val="21"/>
                <w:lang w:val="en-US" w:eastAsia="zh-CN"/>
              </w:rPr>
              <w:t>分）</w:t>
            </w:r>
          </w:p>
        </w:tc>
        <w:tc>
          <w:tcPr>
            <w:tcW w:w="4814"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1.起评分：</w:t>
            </w:r>
          </w:p>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rPr>
              <w:t>有效供应商的起评分为</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0分。</w:t>
            </w:r>
          </w:p>
          <w:p>
            <w:pPr>
              <w:spacing w:line="240" w:lineRule="atLeast"/>
              <w:ind w:left="-3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2.扣分条款：</w:t>
            </w:r>
          </w:p>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2.1重要服务参数（本</w:t>
            </w:r>
            <w:r>
              <w:rPr>
                <w:rFonts w:hint="eastAsia" w:ascii="方正仿宋_GBK" w:hAnsi="宋体" w:eastAsia="方正仿宋_GBK"/>
                <w:color w:val="auto"/>
                <w:sz w:val="21"/>
                <w:szCs w:val="21"/>
                <w:lang w:val="en-US" w:eastAsia="zh-CN"/>
              </w:rPr>
              <w:t>磋商</w:t>
            </w:r>
            <w:r>
              <w:rPr>
                <w:rFonts w:hint="eastAsia" w:ascii="方正仿宋_GBK" w:hAnsi="宋体" w:eastAsia="方正仿宋_GBK"/>
                <w:color w:val="auto"/>
                <w:sz w:val="21"/>
                <w:szCs w:val="21"/>
              </w:rPr>
              <w:t>文件第二篇中带</w:t>
            </w:r>
            <w:r>
              <w:rPr>
                <w:rFonts w:hint="eastAsia" w:ascii="方正仿宋_GBK" w:hAnsi="宋体" w:eastAsia="方正仿宋_GBK"/>
                <w:color w:val="auto"/>
                <w:sz w:val="21"/>
                <w:szCs w:val="21"/>
                <w:lang w:eastAsia="zh-CN"/>
              </w:rPr>
              <w:t>（</w:t>
            </w:r>
            <w:r>
              <w:rPr>
                <w:rFonts w:hint="eastAsia" w:ascii="方正仿宋_GBK" w:hAnsi="宋体" w:eastAsia="方正仿宋_GBK"/>
                <w:b/>
                <w:bCs/>
                <w:color w:val="auto"/>
                <w:sz w:val="21"/>
                <w:szCs w:val="21"/>
                <w:lang w:val="en-US" w:eastAsia="zh-CN"/>
              </w:rPr>
              <w:t>*）</w:t>
            </w:r>
            <w:r>
              <w:rPr>
                <w:rFonts w:hint="eastAsia" w:ascii="方正仿宋_GBK" w:hAnsi="宋体" w:eastAsia="方正仿宋_GBK"/>
                <w:color w:val="auto"/>
                <w:sz w:val="21"/>
                <w:szCs w:val="21"/>
              </w:rPr>
              <w:t>号标注的部分）有一条不满足的起评分得0分。</w:t>
            </w:r>
          </w:p>
          <w:p>
            <w:pPr>
              <w:spacing w:line="240" w:lineRule="atLeast"/>
              <w:ind w:left="-38"/>
              <w:rPr>
                <w:rFonts w:hint="eastAsia" w:eastAsia="方正仿宋_GBK"/>
                <w:lang w:eastAsia="zh-CN"/>
              </w:rPr>
            </w:pPr>
            <w:r>
              <w:rPr>
                <w:rFonts w:hint="eastAsia" w:ascii="方正仿宋_GBK" w:hAnsi="宋体" w:eastAsia="方正仿宋_GBK"/>
                <w:color w:val="auto"/>
                <w:sz w:val="21"/>
                <w:szCs w:val="21"/>
              </w:rPr>
              <w:t>2.2一般性服务参数（本</w:t>
            </w:r>
            <w:r>
              <w:rPr>
                <w:rFonts w:hint="eastAsia" w:ascii="方正仿宋_GBK" w:hAnsi="宋体" w:eastAsia="方正仿宋_GBK"/>
                <w:color w:val="auto"/>
                <w:sz w:val="21"/>
                <w:szCs w:val="21"/>
                <w:lang w:val="en-US" w:eastAsia="zh-CN"/>
              </w:rPr>
              <w:t>磋商</w:t>
            </w:r>
            <w:r>
              <w:rPr>
                <w:rFonts w:hint="eastAsia" w:ascii="方正仿宋_GBK" w:hAnsi="宋体" w:eastAsia="方正仿宋_GBK"/>
                <w:color w:val="auto"/>
                <w:sz w:val="21"/>
                <w:szCs w:val="21"/>
              </w:rPr>
              <w:t>文件第二篇</w:t>
            </w:r>
            <w:r>
              <w:rPr>
                <w:rFonts w:hint="eastAsia" w:ascii="方正仿宋_GBK" w:hAnsi="宋体" w:eastAsia="方正仿宋_GBK"/>
                <w:color w:val="auto"/>
                <w:sz w:val="21"/>
                <w:szCs w:val="21"/>
                <w:lang w:val="en-US" w:eastAsia="zh-CN"/>
              </w:rPr>
              <w:t>非</w:t>
            </w:r>
            <w:r>
              <w:rPr>
                <w:rFonts w:hint="eastAsia" w:ascii="方正仿宋_GBK" w:hAnsi="宋体" w:eastAsia="方正仿宋_GBK"/>
                <w:color w:val="auto"/>
                <w:sz w:val="21"/>
                <w:szCs w:val="21"/>
                <w:lang w:eastAsia="zh-CN"/>
              </w:rPr>
              <w:t>（</w:t>
            </w:r>
            <w:r>
              <w:rPr>
                <w:rFonts w:hint="eastAsia" w:ascii="方正仿宋_GBK" w:hAnsi="宋体" w:eastAsia="方正仿宋_GBK"/>
                <w:b/>
                <w:bCs/>
                <w:color w:val="auto"/>
                <w:sz w:val="21"/>
                <w:szCs w:val="21"/>
                <w:lang w:val="en-US" w:eastAsia="zh-CN"/>
              </w:rPr>
              <w:t>*）</w:t>
            </w:r>
            <w:r>
              <w:rPr>
                <w:rFonts w:hint="eastAsia" w:ascii="方正仿宋_GBK" w:hAnsi="宋体" w:eastAsia="方正仿宋_GBK"/>
                <w:color w:val="auto"/>
                <w:sz w:val="21"/>
                <w:szCs w:val="21"/>
              </w:rPr>
              <w:t>号</w:t>
            </w:r>
            <w:r>
              <w:rPr>
                <w:rFonts w:hint="eastAsia" w:ascii="方正仿宋_GBK" w:hAnsi="宋体" w:eastAsia="方正仿宋_GBK"/>
                <w:color w:val="auto"/>
                <w:sz w:val="21"/>
                <w:szCs w:val="21"/>
                <w:lang w:val="en-US" w:eastAsia="zh-CN"/>
              </w:rPr>
              <w:t>标注部分</w:t>
            </w:r>
            <w:r>
              <w:rPr>
                <w:rFonts w:hint="eastAsia" w:ascii="方正仿宋_GBK" w:hAnsi="宋体" w:eastAsia="方正仿宋_GBK"/>
                <w:color w:val="auto"/>
                <w:sz w:val="21"/>
                <w:szCs w:val="21"/>
              </w:rPr>
              <w:t>）</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rPr>
              <w:t>达不到</w:t>
            </w:r>
            <w:r>
              <w:rPr>
                <w:rFonts w:hint="eastAsia" w:ascii="方正仿宋_GBK" w:hAnsi="宋体" w:eastAsia="方正仿宋_GBK"/>
                <w:color w:val="auto"/>
                <w:sz w:val="21"/>
                <w:szCs w:val="21"/>
                <w:lang w:val="en-US" w:eastAsia="zh-CN"/>
              </w:rPr>
              <w:t>磋商</w:t>
            </w:r>
            <w:r>
              <w:rPr>
                <w:rFonts w:hint="eastAsia" w:ascii="方正仿宋_GBK" w:hAnsi="宋体" w:eastAsia="方正仿宋_GBK"/>
                <w:color w:val="auto"/>
                <w:sz w:val="21"/>
                <w:szCs w:val="21"/>
              </w:rPr>
              <w:t>文件要求的，每负偏离一条从起评分中扣除</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分，达到5条及以上不满足的起评分得0分</w:t>
            </w:r>
            <w:r>
              <w:rPr>
                <w:rFonts w:hint="eastAsia" w:ascii="方正仿宋_GBK" w:hAnsi="宋体" w:eastAsia="方正仿宋_GBK"/>
                <w:color w:val="auto"/>
                <w:sz w:val="21"/>
                <w:szCs w:val="21"/>
                <w:lang w:eastAsia="zh-CN"/>
              </w:rPr>
              <w:t>。</w:t>
            </w:r>
          </w:p>
        </w:tc>
        <w:tc>
          <w:tcPr>
            <w:tcW w:w="1926"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供应商</w:t>
            </w:r>
            <w:r>
              <w:rPr>
                <w:rFonts w:hint="eastAsia" w:ascii="微软雅黑" w:hAnsi="微软雅黑" w:eastAsia="微软雅黑" w:cs="微软雅黑"/>
                <w:sz w:val="21"/>
                <w:szCs w:val="21"/>
              </w:rPr>
              <w:t>对竞争性磋商文件第二篇进行应答。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5"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1191" w:type="dxa"/>
            <w:vMerge w:val="continue"/>
            <w:vAlign w:val="center"/>
          </w:tcPr>
          <w:p>
            <w:pPr>
              <w:spacing w:line="240" w:lineRule="atLeast"/>
              <w:ind w:firstLine="28"/>
              <w:jc w:val="center"/>
              <w:rPr>
                <w:rFonts w:hint="eastAsia" w:ascii="微软雅黑" w:hAnsi="微软雅黑" w:eastAsia="微软雅黑" w:cs="微软雅黑"/>
                <w:color w:val="auto"/>
                <w:sz w:val="21"/>
                <w:szCs w:val="21"/>
              </w:rPr>
            </w:pPr>
          </w:p>
        </w:tc>
        <w:tc>
          <w:tcPr>
            <w:tcW w:w="1366" w:type="dxa"/>
            <w:vMerge w:val="restart"/>
            <w:vAlign w:val="center"/>
          </w:tcPr>
          <w:p>
            <w:pPr>
              <w:spacing w:line="240" w:lineRule="atLeast"/>
              <w:ind w:left="-38"/>
              <w:jc w:val="center"/>
              <w:rPr>
                <w:rFonts w:hint="eastAsia"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u w:val="none"/>
              </w:rPr>
              <w:t>运维方案（15</w:t>
            </w:r>
            <w:r>
              <w:rPr>
                <w:rFonts w:hint="eastAsia" w:ascii="微软雅黑" w:hAnsi="微软雅黑" w:eastAsia="微软雅黑" w:cs="微软雅黑"/>
                <w:color w:val="auto"/>
                <w:sz w:val="21"/>
                <w:szCs w:val="21"/>
                <w:u w:val="none"/>
                <w:lang w:val="en-US" w:eastAsia="zh-CN"/>
              </w:rPr>
              <w:t>分</w:t>
            </w:r>
            <w:r>
              <w:rPr>
                <w:rFonts w:hint="eastAsia" w:ascii="微软雅黑" w:hAnsi="微软雅黑" w:eastAsia="微软雅黑" w:cs="微软雅黑"/>
                <w:color w:val="auto"/>
                <w:sz w:val="21"/>
                <w:szCs w:val="21"/>
                <w:u w:val="none"/>
              </w:rPr>
              <w:t>）</w:t>
            </w:r>
          </w:p>
        </w:tc>
        <w:tc>
          <w:tcPr>
            <w:tcW w:w="4814" w:type="dxa"/>
            <w:vAlign w:val="center"/>
          </w:tcPr>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1.供应商提供运维组织方案（包括驻场人员组织结构、运维服务计划与工作流程、运维质量考核、运维文档模板等），优秀的得5分,良得3分，一般得2分，差或</w:t>
            </w:r>
            <w:r>
              <w:rPr>
                <w:rFonts w:hint="eastAsia" w:ascii="微软雅黑" w:hAnsi="微软雅黑" w:eastAsia="微软雅黑" w:cs="微软雅黑"/>
                <w:sz w:val="21"/>
                <w:szCs w:val="21"/>
                <w:lang w:val="en-US" w:eastAsia="zh-CN"/>
              </w:rPr>
              <w:t>未</w:t>
            </w:r>
            <w:r>
              <w:rPr>
                <w:rFonts w:hint="eastAsia" w:ascii="微软雅黑" w:hAnsi="微软雅黑" w:eastAsia="微软雅黑" w:cs="微软雅黑"/>
                <w:sz w:val="21"/>
                <w:szCs w:val="21"/>
              </w:rPr>
              <w:t>提供得0分。</w:t>
            </w:r>
          </w:p>
        </w:tc>
        <w:tc>
          <w:tcPr>
            <w:tcW w:w="1926" w:type="dxa"/>
            <w:vMerge w:val="restart"/>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描述准确完整、科学合理、条理清晰、可行性强的为“优”；方案描述准确完整、科学合理，但条理不清晰或可行性不强的为“良”；方案描述不清，但基本符合项目情况为“一般”；方案与项目无关的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5"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1191"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1366" w:type="dxa"/>
            <w:vMerge w:val="continue"/>
            <w:vAlign w:val="center"/>
          </w:tcPr>
          <w:p>
            <w:pPr>
              <w:spacing w:line="240" w:lineRule="atLeast"/>
              <w:ind w:left="-38"/>
              <w:jc w:val="center"/>
              <w:rPr>
                <w:rFonts w:hint="eastAsia" w:ascii="微软雅黑" w:hAnsi="微软雅黑" w:eastAsia="微软雅黑" w:cs="微软雅黑"/>
                <w:sz w:val="21"/>
                <w:szCs w:val="21"/>
                <w:u w:val="single"/>
              </w:rPr>
            </w:pPr>
          </w:p>
        </w:tc>
        <w:tc>
          <w:tcPr>
            <w:tcW w:w="4814"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2.供应商提供安全运维方案（包括计算机安全补丁安装与管理、防病毒软件升级与管理、计算机终端入网软件安装与管理等），优秀的得5分,良得3分，一般得2分，差或</w:t>
            </w:r>
            <w:r>
              <w:rPr>
                <w:rFonts w:hint="eastAsia" w:ascii="微软雅黑" w:hAnsi="微软雅黑" w:eastAsia="微软雅黑" w:cs="微软雅黑"/>
                <w:sz w:val="21"/>
                <w:szCs w:val="21"/>
                <w:lang w:val="en-US" w:eastAsia="zh-CN"/>
              </w:rPr>
              <w:t>未</w:t>
            </w:r>
            <w:r>
              <w:rPr>
                <w:rFonts w:hint="eastAsia" w:ascii="微软雅黑" w:hAnsi="微软雅黑" w:eastAsia="微软雅黑" w:cs="微软雅黑"/>
                <w:sz w:val="21"/>
                <w:szCs w:val="21"/>
              </w:rPr>
              <w:t>提供得0分。</w:t>
            </w:r>
          </w:p>
        </w:tc>
        <w:tc>
          <w:tcPr>
            <w:tcW w:w="1926" w:type="dxa"/>
            <w:vMerge w:val="continue"/>
            <w:vAlign w:val="center"/>
          </w:tcPr>
          <w:p>
            <w:pPr>
              <w:spacing w:line="240" w:lineRule="atLeast"/>
              <w:ind w:left="-38"/>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75"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1191" w:type="dxa"/>
            <w:vMerge w:val="continue"/>
            <w:vAlign w:val="center"/>
          </w:tcPr>
          <w:p>
            <w:pPr>
              <w:spacing w:line="240" w:lineRule="atLeast"/>
              <w:ind w:firstLine="28"/>
              <w:jc w:val="center"/>
              <w:rPr>
                <w:rFonts w:hint="eastAsia" w:ascii="微软雅黑" w:hAnsi="微软雅黑" w:eastAsia="微软雅黑" w:cs="微软雅黑"/>
                <w:sz w:val="21"/>
                <w:szCs w:val="21"/>
              </w:rPr>
            </w:pPr>
          </w:p>
        </w:tc>
        <w:tc>
          <w:tcPr>
            <w:tcW w:w="1366" w:type="dxa"/>
            <w:vMerge w:val="continue"/>
            <w:vAlign w:val="center"/>
          </w:tcPr>
          <w:p>
            <w:pPr>
              <w:spacing w:line="240" w:lineRule="atLeast"/>
              <w:ind w:left="-38"/>
              <w:jc w:val="center"/>
              <w:rPr>
                <w:rFonts w:hint="eastAsia" w:ascii="微软雅黑" w:hAnsi="微软雅黑" w:eastAsia="微软雅黑" w:cs="微软雅黑"/>
                <w:sz w:val="21"/>
                <w:szCs w:val="21"/>
              </w:rPr>
            </w:pPr>
          </w:p>
        </w:tc>
        <w:tc>
          <w:tcPr>
            <w:tcW w:w="4814" w:type="dxa"/>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3.供应商提供应急保障服务方案（包括应急驻场人员组织、应急服务计划与工作流程、应急运维工具及交通保障等），优秀的得5分,良得3分，一般得2分，差或</w:t>
            </w:r>
            <w:r>
              <w:rPr>
                <w:rFonts w:hint="eastAsia" w:ascii="微软雅黑" w:hAnsi="微软雅黑" w:eastAsia="微软雅黑" w:cs="微软雅黑"/>
                <w:sz w:val="21"/>
                <w:szCs w:val="21"/>
                <w:lang w:val="en-US" w:eastAsia="zh-CN"/>
              </w:rPr>
              <w:t>未</w:t>
            </w:r>
            <w:r>
              <w:rPr>
                <w:rFonts w:hint="eastAsia" w:ascii="微软雅黑" w:hAnsi="微软雅黑" w:eastAsia="微软雅黑" w:cs="微软雅黑"/>
                <w:sz w:val="21"/>
                <w:szCs w:val="21"/>
              </w:rPr>
              <w:t>提供得0分。</w:t>
            </w:r>
          </w:p>
        </w:tc>
        <w:tc>
          <w:tcPr>
            <w:tcW w:w="1926" w:type="dxa"/>
            <w:vMerge w:val="continue"/>
            <w:vAlign w:val="center"/>
          </w:tcPr>
          <w:p>
            <w:pPr>
              <w:spacing w:line="240" w:lineRule="atLeast"/>
              <w:ind w:left="-38"/>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972" w:type="dxa"/>
            <w:gridSpan w:val="5"/>
            <w:vAlign w:val="center"/>
          </w:tcPr>
          <w:p>
            <w:pPr>
              <w:spacing w:line="240" w:lineRule="atLeast"/>
              <w:ind w:left="-38"/>
              <w:rPr>
                <w:rFonts w:hint="eastAsia" w:ascii="微软雅黑" w:hAnsi="微软雅黑" w:eastAsia="微软雅黑" w:cs="微软雅黑"/>
                <w:sz w:val="21"/>
                <w:szCs w:val="21"/>
                <w:lang w:val="en-US" w:eastAsia="zh-Hans"/>
              </w:rPr>
            </w:pPr>
            <w:r>
              <w:rPr>
                <w:rFonts w:hint="eastAsia" w:ascii="微软雅黑" w:hAnsi="微软雅黑" w:eastAsia="微软雅黑" w:cs="微软雅黑"/>
                <w:color w:val="000000" w:themeColor="text1"/>
                <w:sz w:val="21"/>
                <w:szCs w:val="21"/>
                <w14:textFill>
                  <w14:solidFill>
                    <w14:schemeClr w14:val="tx1"/>
                  </w14:solidFill>
                </w14:textFill>
              </w:rPr>
              <w:t>供应商的应答应满足竞争性磋商文件“第三篇 采购商务要求”，商务要求有一条不满足的，商务部分得分为0分，不再进入商务部分的评审。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Merge w:val="restart"/>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191" w:type="dxa"/>
            <w:vMerge w:val="restart"/>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r>
              <w:rPr>
                <w:rFonts w:hint="eastAsia" w:ascii="微软雅黑" w:hAnsi="微软雅黑" w:eastAsia="微软雅黑" w:cs="微软雅黑"/>
                <w:sz w:val="21"/>
                <w:szCs w:val="21"/>
              </w:rPr>
              <w:t>商务部分（2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p>
        </w:tc>
        <w:tc>
          <w:tcPr>
            <w:tcW w:w="1366"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运维服务能力</w:t>
            </w:r>
          </w:p>
          <w:p>
            <w:pPr>
              <w:spacing w:line="240" w:lineRule="atLeast"/>
              <w:ind w:left="-38"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（15分）</w:t>
            </w:r>
          </w:p>
        </w:tc>
        <w:tc>
          <w:tcPr>
            <w:tcW w:w="4814" w:type="dxa"/>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.人员能力：</w:t>
            </w:r>
          </w:p>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1.1驻场工程师</w:t>
            </w:r>
            <w:r>
              <w:rPr>
                <w:rFonts w:hint="eastAsia" w:ascii="微软雅黑" w:hAnsi="微软雅黑" w:eastAsia="微软雅黑" w:cs="微软雅黑"/>
                <w:sz w:val="21"/>
                <w:szCs w:val="21"/>
                <w:lang w:val="en-US" w:eastAsia="zh-CN"/>
              </w:rPr>
              <w:t>成员</w:t>
            </w:r>
            <w:r>
              <w:rPr>
                <w:rFonts w:hint="eastAsia" w:ascii="微软雅黑" w:hAnsi="微软雅黑" w:eastAsia="微软雅黑" w:cs="微软雅黑"/>
                <w:sz w:val="21"/>
                <w:szCs w:val="21"/>
                <w:lang w:eastAsia="zh-CN"/>
              </w:rPr>
              <w:t>中有具备中级及以上的网络认证工程师认证（H3CNE/HCIP/CCNP及以上）</w:t>
            </w:r>
            <w:r>
              <w:rPr>
                <w:rFonts w:hint="eastAsia" w:ascii="微软雅黑" w:hAnsi="微软雅黑" w:eastAsia="微软雅黑" w:cs="微软雅黑"/>
                <w:sz w:val="21"/>
                <w:szCs w:val="21"/>
                <w:lang w:val="en-US" w:eastAsia="zh-CN"/>
              </w:rPr>
              <w:t>的</w:t>
            </w:r>
            <w:r>
              <w:rPr>
                <w:rFonts w:hint="eastAsia" w:ascii="微软雅黑" w:hAnsi="微软雅黑" w:eastAsia="微软雅黑" w:cs="微软雅黑"/>
                <w:sz w:val="21"/>
                <w:szCs w:val="21"/>
                <w:lang w:eastAsia="zh-CN"/>
              </w:rPr>
              <w:t>，得2分；</w:t>
            </w:r>
          </w:p>
          <w:p>
            <w:pPr>
              <w:spacing w:line="240" w:lineRule="atLeast"/>
              <w:ind w:left="-38"/>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sz w:val="21"/>
                <w:szCs w:val="21"/>
                <w:lang w:eastAsia="zh-CN"/>
              </w:rPr>
              <w:t>1.2驻场工程师</w:t>
            </w:r>
            <w:r>
              <w:rPr>
                <w:rFonts w:hint="eastAsia" w:ascii="微软雅黑" w:hAnsi="微软雅黑" w:eastAsia="微软雅黑" w:cs="微软雅黑"/>
                <w:sz w:val="21"/>
                <w:szCs w:val="21"/>
                <w:lang w:val="en-US" w:eastAsia="zh-CN"/>
              </w:rPr>
              <w:t>成员中</w:t>
            </w:r>
            <w:r>
              <w:rPr>
                <w:rFonts w:hint="eastAsia" w:ascii="微软雅黑" w:hAnsi="微软雅黑" w:eastAsia="微软雅黑" w:cs="微软雅黑"/>
                <w:sz w:val="21"/>
                <w:szCs w:val="21"/>
                <w:lang w:eastAsia="zh-CN"/>
              </w:rPr>
              <w:t>有具备工信部教育与考试中心</w:t>
            </w:r>
            <w:r>
              <w:rPr>
                <w:rFonts w:hint="eastAsia" w:ascii="微软雅黑" w:hAnsi="微软雅黑" w:eastAsia="微软雅黑" w:cs="微软雅黑"/>
                <w:color w:val="auto"/>
                <w:sz w:val="21"/>
                <w:szCs w:val="21"/>
                <w:lang w:eastAsia="zh-CN"/>
              </w:rPr>
              <w:t>颁发的网络工程师证书</w:t>
            </w:r>
            <w:r>
              <w:rPr>
                <w:rFonts w:hint="eastAsia" w:ascii="微软雅黑" w:hAnsi="微软雅黑" w:eastAsia="微软雅黑" w:cs="微软雅黑"/>
                <w:color w:val="auto"/>
                <w:sz w:val="21"/>
                <w:szCs w:val="21"/>
                <w:lang w:val="en-US" w:eastAsia="zh-CN"/>
              </w:rPr>
              <w:t>的，</w:t>
            </w:r>
            <w:r>
              <w:rPr>
                <w:rFonts w:hint="eastAsia" w:ascii="微软雅黑" w:hAnsi="微软雅黑" w:eastAsia="微软雅黑" w:cs="微软雅黑"/>
                <w:color w:val="auto"/>
                <w:sz w:val="21"/>
                <w:szCs w:val="21"/>
                <w:lang w:eastAsia="zh-CN"/>
              </w:rPr>
              <w:t>得3分。</w:t>
            </w:r>
          </w:p>
          <w:p>
            <w:pPr>
              <w:spacing w:line="240" w:lineRule="atLeast"/>
              <w:ind w:left="-38"/>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1.3驻场运维服务小组组长应具有丰富行业运维经验，</w:t>
            </w:r>
            <w:r>
              <w:rPr>
                <w:rFonts w:hint="eastAsia" w:ascii="微软雅黑" w:hAnsi="微软雅黑" w:eastAsia="微软雅黑" w:cs="微软雅黑"/>
                <w:color w:val="auto"/>
                <w:sz w:val="21"/>
                <w:szCs w:val="21"/>
                <w:highlight w:val="none"/>
                <w:lang w:val="en-US" w:eastAsia="zh-CN"/>
              </w:rPr>
              <w:t>从事行业</w:t>
            </w:r>
            <w:r>
              <w:rPr>
                <w:rFonts w:hint="eastAsia" w:ascii="微软雅黑" w:hAnsi="微软雅黑" w:eastAsia="微软雅黑" w:cs="微软雅黑"/>
                <w:color w:val="auto"/>
                <w:sz w:val="21"/>
                <w:szCs w:val="21"/>
                <w:highlight w:val="none"/>
                <w:lang w:eastAsia="zh-CN"/>
              </w:rPr>
              <w:t>工作时间满六年的得</w:t>
            </w:r>
            <w:r>
              <w:rPr>
                <w:rFonts w:hint="eastAsia" w:ascii="微软雅黑" w:hAnsi="微软雅黑" w:eastAsia="微软雅黑" w:cs="微软雅黑"/>
                <w:color w:val="auto"/>
                <w:sz w:val="21"/>
                <w:szCs w:val="21"/>
                <w:highlight w:val="none"/>
                <w:lang w:val="en-US" w:eastAsia="zh-CN"/>
              </w:rPr>
              <w:t>3分；满四年的得2分；其余得0分。（提供劳动合同或所在单位为其缴纳社保的证明材料复印件）</w:t>
            </w:r>
          </w:p>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1.4供应商后援技术支持团队中具有信息安全保障人员认证证书（包含安全运维专业级认证证书、安全软件专业级认证证书、安全集成专业级认证证书），每提供1个证书得1分，最多得3分，未提供的得0分。</w:t>
            </w:r>
          </w:p>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1.5.供应商后援技术支持团队成员具备Oracle OCM证书得2分，没有得</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lang w:eastAsia="zh-CN"/>
              </w:rPr>
              <w:t>分。</w:t>
            </w:r>
          </w:p>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1.6供应商后援技术支持团队提供一名虚拟化运维工程师，具备VCP认证（VMware Certified Professional）得2分，</w:t>
            </w:r>
            <w:r>
              <w:rPr>
                <w:rFonts w:hint="eastAsia" w:ascii="微软雅黑" w:hAnsi="微软雅黑" w:eastAsia="微软雅黑" w:cs="微软雅黑"/>
                <w:sz w:val="21"/>
                <w:szCs w:val="21"/>
                <w:lang w:val="en-US" w:eastAsia="zh-CN"/>
              </w:rPr>
              <w:t>未提供</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lang w:eastAsia="zh-CN"/>
              </w:rPr>
              <w:t>分</w:t>
            </w:r>
          </w:p>
        </w:tc>
        <w:tc>
          <w:tcPr>
            <w:tcW w:w="1926" w:type="dxa"/>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eastAsia="zh-CN"/>
              </w:rPr>
            </w:pPr>
            <w:r>
              <w:rPr>
                <w:rFonts w:hint="eastAsia" w:ascii="微软雅黑" w:hAnsi="微软雅黑" w:eastAsia="微软雅黑" w:cs="微软雅黑"/>
                <w:color w:val="auto"/>
                <w:sz w:val="21"/>
                <w:szCs w:val="21"/>
              </w:rPr>
              <w:t>提供</w:t>
            </w:r>
            <w:r>
              <w:rPr>
                <w:rFonts w:hint="eastAsia" w:ascii="微软雅黑" w:hAnsi="微软雅黑" w:eastAsia="微软雅黑" w:cs="微软雅黑"/>
                <w:color w:val="auto"/>
                <w:sz w:val="21"/>
                <w:szCs w:val="21"/>
                <w:lang w:val="en-US" w:eastAsia="zh-CN"/>
              </w:rPr>
              <w:t>有效期内的人员</w:t>
            </w:r>
            <w:r>
              <w:rPr>
                <w:rFonts w:hint="eastAsia" w:ascii="微软雅黑" w:hAnsi="微软雅黑" w:eastAsia="微软雅黑" w:cs="微软雅黑"/>
                <w:color w:val="auto"/>
                <w:sz w:val="21"/>
                <w:szCs w:val="21"/>
              </w:rPr>
              <w:t>证书复印件</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以</w:t>
            </w:r>
            <w:r>
              <w:rPr>
                <w:rFonts w:hint="eastAsia" w:ascii="微软雅黑" w:hAnsi="微软雅黑" w:eastAsia="微软雅黑" w:cs="微软雅黑"/>
                <w:color w:val="auto"/>
                <w:sz w:val="21"/>
                <w:szCs w:val="21"/>
              </w:rPr>
              <w:t>及</w:t>
            </w:r>
            <w:r>
              <w:rPr>
                <w:rFonts w:hint="eastAsia" w:ascii="微软雅黑" w:hAnsi="微软雅黑" w:eastAsia="微软雅黑" w:cs="微软雅黑"/>
                <w:color w:val="auto"/>
                <w:sz w:val="21"/>
                <w:szCs w:val="21"/>
                <w:lang w:val="en-US" w:eastAsia="zh-CN"/>
              </w:rPr>
              <w:t>供应商为其缴纳</w:t>
            </w:r>
            <w:r>
              <w:rPr>
                <w:rFonts w:hint="eastAsia" w:ascii="微软雅黑" w:hAnsi="微软雅黑" w:eastAsia="微软雅黑" w:cs="微软雅黑"/>
                <w:color w:val="auto"/>
                <w:sz w:val="21"/>
                <w:szCs w:val="21"/>
              </w:rPr>
              <w:t>社保证明</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加盖供应商公章</w:t>
            </w:r>
            <w:r>
              <w:rPr>
                <w:rFonts w:hint="eastAsia" w:ascii="微软雅黑" w:hAnsi="微软雅黑" w:eastAsia="微软雅黑" w:cs="微软雅黑"/>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191"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366" w:type="dxa"/>
            <w:vMerge w:val="restart"/>
            <w:tcBorders>
              <w:top w:val="single" w:color="auto" w:sz="4" w:space="0"/>
              <w:left w:val="single" w:color="auto" w:sz="4" w:space="0"/>
              <w:right w:val="single" w:color="auto" w:sz="4" w:space="0"/>
            </w:tcBorders>
            <w:vAlign w:val="center"/>
          </w:tcPr>
          <w:p>
            <w:pPr>
              <w:spacing w:line="240" w:lineRule="atLeast"/>
              <w:ind w:left="-38"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供应商实力及信誉</w:t>
            </w:r>
          </w:p>
          <w:p>
            <w:pPr>
              <w:spacing w:line="240" w:lineRule="atLeast"/>
              <w:ind w:left="-38" w:leftChars="0"/>
              <w:jc w:val="center"/>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lang w:val="en-US" w:eastAsia="zh-CN"/>
              </w:rPr>
              <w:t>（10分）</w:t>
            </w:r>
          </w:p>
        </w:tc>
        <w:tc>
          <w:tcPr>
            <w:tcW w:w="4814"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1.供应商具备中国电子工业标准化技术协会颁发的《信息技术服务运行维护标准符合性证书》</w:t>
            </w:r>
            <w:r>
              <w:rPr>
                <w:rFonts w:hint="eastAsia" w:ascii="微软雅黑" w:hAnsi="微软雅黑" w:eastAsia="微软雅黑" w:cs="微软雅黑"/>
                <w:sz w:val="21"/>
                <w:szCs w:val="21"/>
                <w:lang w:val="en-US" w:eastAsia="zh-CN"/>
              </w:rPr>
              <w:t>成熟度</w:t>
            </w:r>
            <w:r>
              <w:rPr>
                <w:rFonts w:hint="eastAsia" w:ascii="微软雅黑" w:hAnsi="微软雅黑" w:eastAsia="微软雅黑" w:cs="微软雅黑"/>
                <w:sz w:val="21"/>
                <w:szCs w:val="21"/>
                <w:lang w:eastAsia="zh-CN"/>
              </w:rPr>
              <w:t>肆级的得1分；</w:t>
            </w:r>
            <w:r>
              <w:rPr>
                <w:rFonts w:hint="eastAsia" w:ascii="微软雅黑" w:hAnsi="微软雅黑" w:eastAsia="微软雅黑" w:cs="微软雅黑"/>
                <w:sz w:val="21"/>
                <w:szCs w:val="21"/>
                <w:lang w:val="en-US" w:eastAsia="zh-CN"/>
              </w:rPr>
              <w:t>成熟度</w:t>
            </w:r>
            <w:r>
              <w:rPr>
                <w:rFonts w:hint="eastAsia" w:ascii="微软雅黑" w:hAnsi="微软雅黑" w:eastAsia="微软雅黑" w:cs="微软雅黑"/>
                <w:sz w:val="21"/>
                <w:szCs w:val="21"/>
                <w:lang w:eastAsia="zh-CN"/>
              </w:rPr>
              <w:t>叁级及以上的，得2分；未提供的不得分。</w:t>
            </w:r>
          </w:p>
        </w:tc>
        <w:tc>
          <w:tcPr>
            <w:tcW w:w="1926" w:type="dxa"/>
            <w:vMerge w:val="restart"/>
            <w:tcBorders>
              <w:top w:val="single" w:color="auto" w:sz="4" w:space="0"/>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提供在有效期范围内的资质证书复印件并加盖</w:t>
            </w: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公章</w:t>
            </w:r>
            <w:r>
              <w:rPr>
                <w:rFonts w:hint="eastAsia" w:ascii="微软雅黑" w:hAnsi="微软雅黑" w:eastAsia="微软雅黑" w:cs="微软雅黑"/>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191"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366" w:type="dxa"/>
            <w:vMerge w:val="continue"/>
            <w:tcBorders>
              <w:left w:val="single" w:color="auto" w:sz="4" w:space="0"/>
              <w:right w:val="single" w:color="auto" w:sz="4" w:space="0"/>
            </w:tcBorders>
            <w:vAlign w:val="center"/>
          </w:tcPr>
          <w:p>
            <w:pPr>
              <w:spacing w:line="240" w:lineRule="atLeast"/>
              <w:ind w:left="-38"/>
              <w:jc w:val="center"/>
              <w:rPr>
                <w:rFonts w:hint="eastAsia" w:ascii="微软雅黑" w:hAnsi="微软雅黑" w:eastAsia="微软雅黑" w:cs="微软雅黑"/>
                <w:sz w:val="21"/>
                <w:szCs w:val="21"/>
              </w:rPr>
            </w:pPr>
          </w:p>
        </w:tc>
        <w:tc>
          <w:tcPr>
            <w:tcW w:w="4814" w:type="dxa"/>
            <w:tcBorders>
              <w:top w:val="single" w:color="auto" w:sz="4" w:space="0"/>
              <w:left w:val="single" w:color="auto" w:sz="4" w:space="0"/>
              <w:bottom w:val="single" w:color="auto" w:sz="4" w:space="0"/>
              <w:right w:val="single" w:color="auto" w:sz="4" w:space="0"/>
            </w:tcBorders>
            <w:vAlign w:val="top"/>
          </w:tcPr>
          <w:p>
            <w:pPr>
              <w:spacing w:line="240" w:lineRule="atLeast"/>
              <w:ind w:left="-38"/>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2.供应商通过双软认证、ISO9001质量管理体系认证、ISO27001信息安全管理体系认证，每提供1个得2分，最多得6分。</w:t>
            </w:r>
          </w:p>
        </w:tc>
        <w:tc>
          <w:tcPr>
            <w:tcW w:w="1926" w:type="dxa"/>
            <w:vMerge w:val="continue"/>
            <w:tcBorders>
              <w:left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191" w:type="dxa"/>
            <w:vMerge w:val="continue"/>
            <w:tcBorders>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sz w:val="21"/>
                <w:szCs w:val="21"/>
              </w:rPr>
            </w:pPr>
          </w:p>
        </w:tc>
        <w:tc>
          <w:tcPr>
            <w:tcW w:w="1366" w:type="dxa"/>
            <w:vMerge w:val="continue"/>
            <w:tcBorders>
              <w:left w:val="single" w:color="auto" w:sz="4" w:space="0"/>
              <w:bottom w:val="single" w:color="auto" w:sz="4" w:space="0"/>
              <w:right w:val="single" w:color="auto" w:sz="4" w:space="0"/>
            </w:tcBorders>
            <w:vAlign w:val="center"/>
          </w:tcPr>
          <w:p>
            <w:pPr>
              <w:spacing w:line="240" w:lineRule="atLeast"/>
              <w:ind w:left="-38"/>
              <w:jc w:val="center"/>
              <w:rPr>
                <w:rFonts w:hint="eastAsia" w:ascii="微软雅黑" w:hAnsi="微软雅黑" w:eastAsia="微软雅黑" w:cs="微软雅黑"/>
                <w:sz w:val="21"/>
                <w:szCs w:val="21"/>
                <w:lang w:eastAsia="zh-CN"/>
              </w:rPr>
            </w:pPr>
          </w:p>
        </w:tc>
        <w:tc>
          <w:tcPr>
            <w:tcW w:w="4814" w:type="dxa"/>
            <w:tcBorders>
              <w:top w:val="single" w:color="auto" w:sz="4" w:space="0"/>
              <w:left w:val="single" w:color="auto" w:sz="4" w:space="0"/>
              <w:bottom w:val="single" w:color="auto" w:sz="4" w:space="0"/>
              <w:right w:val="single" w:color="auto" w:sz="4" w:space="0"/>
            </w:tcBorders>
            <w:vAlign w:val="top"/>
          </w:tcPr>
          <w:p>
            <w:pPr>
              <w:spacing w:line="240" w:lineRule="atLeast"/>
              <w:ind w:left="-38"/>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供应商具备重庆市国家保密局颁发的涉密信息系统集成资质</w:t>
            </w:r>
            <w:r>
              <w:rPr>
                <w:rFonts w:hint="eastAsia" w:ascii="微软雅黑" w:hAnsi="微软雅黑" w:eastAsia="微软雅黑" w:cs="微软雅黑"/>
                <w:color w:val="auto"/>
                <w:sz w:val="21"/>
                <w:szCs w:val="21"/>
                <w:lang w:eastAsia="zh-CN"/>
              </w:rPr>
              <w:t>乙级</w:t>
            </w:r>
            <w:r>
              <w:rPr>
                <w:rFonts w:hint="eastAsia" w:ascii="微软雅黑" w:hAnsi="微软雅黑" w:eastAsia="微软雅黑" w:cs="微软雅黑"/>
                <w:color w:val="auto"/>
                <w:sz w:val="21"/>
                <w:szCs w:val="21"/>
                <w:lang w:val="en-US" w:eastAsia="zh-CN"/>
              </w:rPr>
              <w:t>及</w:t>
            </w:r>
            <w:r>
              <w:rPr>
                <w:rFonts w:hint="eastAsia" w:ascii="微软雅黑" w:hAnsi="微软雅黑" w:eastAsia="微软雅黑" w:cs="微软雅黑"/>
                <w:color w:val="auto"/>
                <w:sz w:val="21"/>
                <w:szCs w:val="21"/>
                <w:lang w:eastAsia="zh-CN"/>
              </w:rPr>
              <w:t>以上的得</w:t>
            </w:r>
            <w:r>
              <w:rPr>
                <w:rFonts w:hint="eastAsia" w:ascii="微软雅黑" w:hAnsi="微软雅黑" w:eastAsia="微软雅黑" w:cs="微软雅黑"/>
                <w:sz w:val="21"/>
                <w:szCs w:val="21"/>
                <w:lang w:eastAsia="zh-CN"/>
              </w:rPr>
              <w:t>2分，</w:t>
            </w:r>
            <w:r>
              <w:rPr>
                <w:rFonts w:hint="eastAsia" w:ascii="微软雅黑" w:hAnsi="微软雅黑" w:eastAsia="微软雅黑" w:cs="微软雅黑"/>
                <w:sz w:val="21"/>
                <w:szCs w:val="21"/>
                <w:lang w:val="en-US" w:eastAsia="zh-CN"/>
              </w:rPr>
              <w:t>未提供</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lang w:eastAsia="zh-CN"/>
              </w:rPr>
              <w:t>分。</w:t>
            </w:r>
          </w:p>
        </w:tc>
        <w:tc>
          <w:tcPr>
            <w:tcW w:w="1926" w:type="dxa"/>
            <w:vMerge w:val="continue"/>
            <w:tcBorders>
              <w:left w:val="single" w:color="auto" w:sz="4" w:space="0"/>
              <w:bottom w:val="single" w:color="auto" w:sz="4" w:space="0"/>
              <w:right w:val="single" w:color="auto" w:sz="4" w:space="0"/>
            </w:tcBorders>
            <w:vAlign w:val="center"/>
          </w:tcPr>
          <w:p>
            <w:pPr>
              <w:spacing w:line="240" w:lineRule="atLeast"/>
              <w:ind w:left="-38"/>
              <w:rPr>
                <w:rFonts w:hint="eastAsia" w:ascii="微软雅黑" w:hAnsi="微软雅黑" w:eastAsia="微软雅黑" w:cs="微软雅黑"/>
                <w:color w:val="auto"/>
              </w:rPr>
            </w:pPr>
          </w:p>
        </w:tc>
      </w:tr>
    </w:tbl>
    <w:p>
      <w:pPr>
        <w:pStyle w:val="5"/>
        <w:spacing w:before="0" w:after="0" w:line="440" w:lineRule="exact"/>
        <w:rPr>
          <w:rFonts w:ascii="微软雅黑" w:hAnsi="微软雅黑" w:eastAsia="微软雅黑" w:cs="微软雅黑"/>
          <w:color w:val="000000" w:themeColor="text1"/>
          <w14:textFill>
            <w14:solidFill>
              <w14:schemeClr w14:val="tx1"/>
            </w14:solidFill>
          </w14:textFill>
        </w:rPr>
      </w:pP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注：关于小微企业报价扣除比例说明</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1.对小微企业给</w:t>
      </w:r>
      <w:r>
        <w:rPr>
          <w:rFonts w:hint="eastAsia" w:ascii="微软雅黑" w:hAnsi="微软雅黑" w:eastAsia="微软雅黑" w:cs="微软雅黑"/>
          <w:color w:val="auto"/>
          <w:sz w:val="24"/>
          <w:szCs w:val="24"/>
        </w:rPr>
        <w:t>予6%的</w:t>
      </w:r>
      <w:r>
        <w:rPr>
          <w:rFonts w:hint="eastAsia" w:ascii="微软雅黑" w:hAnsi="微软雅黑" w:eastAsia="微软雅黑" w:cs="微软雅黑"/>
          <w:color w:val="000000" w:themeColor="text1"/>
          <w:sz w:val="24"/>
          <w:szCs w:val="24"/>
          <w14:textFill>
            <w14:solidFill>
              <w14:schemeClr w14:val="tx1"/>
            </w14:solidFill>
          </w14:textFill>
        </w:rPr>
        <w:t>扣除，以扣除后的报价参与评审。</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2.监狱企业、残疾人福利性单位视同小型、微型企业。</w:t>
      </w: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85" w:name="_Toc23079"/>
      <w:r>
        <w:rPr>
          <w:rFonts w:hint="eastAsia" w:ascii="微软雅黑" w:hAnsi="微软雅黑" w:eastAsia="微软雅黑" w:cs="微软雅黑"/>
          <w:color w:val="000000" w:themeColor="text1"/>
          <w:sz w:val="24"/>
          <w:szCs w:val="24"/>
          <w14:textFill>
            <w14:solidFill>
              <w14:schemeClr w14:val="tx1"/>
            </w14:solidFill>
          </w14:textFill>
        </w:rPr>
        <w:t>三、无效响应</w:t>
      </w:r>
      <w:bookmarkEnd w:id="85"/>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供应商发生以下条款情况之一者，视为无效响应，其响应文件将被拒绝：</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（一）供应商不符合规定的资格条件的；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（二）供应商的法定代表人（或其授权代表）或自然人未参加磋商；</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（三）供应商所提交的响应文件不按第七篇“响应文件编制要求”规定签字、盖章；</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（四）供应商的最后报价超过采购预算或最高限价的；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（八）供应商磋商有效期不满足竞争性磋商文件要求的；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（九）供应商响应文件内容有与国家现行法律法规相违背的内容，或附有采购人无法接受的条件；</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（十）供应商以联合体形式参与磋商的；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（十一）供应商进行合同分包的；</w:t>
      </w:r>
    </w:p>
    <w:p>
      <w:pPr>
        <w:snapToGrid w:val="0"/>
        <w:spacing w:line="400" w:lineRule="exact"/>
        <w:ind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pPr>
        <w:snapToGrid w:val="0"/>
        <w:spacing w:line="40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四、</w:t>
      </w:r>
      <w:bookmarkEnd w:id="82"/>
      <w:bookmarkEnd w:id="83"/>
      <w:r>
        <w:rPr>
          <w:rFonts w:hint="eastAsia" w:ascii="微软雅黑" w:hAnsi="微软雅黑" w:eastAsia="微软雅黑" w:cs="微软雅黑"/>
          <w:b/>
          <w:bCs/>
          <w:color w:val="000000" w:themeColor="text1"/>
          <w:sz w:val="24"/>
          <w:szCs w:val="24"/>
          <w14:textFill>
            <w14:solidFill>
              <w14:schemeClr w14:val="tx1"/>
            </w14:solidFill>
          </w14:textFill>
        </w:rPr>
        <w:t>采购终止</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（一）因情况变化，不再符合规定的竞争性磋商采购方式适用情形的；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（二）出现影响采购公正的违法、违规行为的；</w:t>
      </w:r>
    </w:p>
    <w:p>
      <w:pPr>
        <w:snapToGrid w:val="0"/>
        <w:spacing w:line="400" w:lineRule="exact"/>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pPr>
        <w:spacing w:line="360" w:lineRule="auto"/>
        <w:rPr>
          <w:rFonts w:ascii="微软雅黑" w:hAnsi="微软雅黑" w:eastAsia="微软雅黑" w:cs="微软雅黑"/>
          <w:color w:val="000000" w:themeColor="text1"/>
          <w:sz w:val="24"/>
          <w:szCs w:val="24"/>
          <w14:textFill>
            <w14:solidFill>
              <w14:schemeClr w14:val="tx1"/>
            </w14:solidFill>
          </w14:textFill>
        </w:rPr>
        <w:sectPr>
          <w:footerReference r:id="rId8" w:type="default"/>
          <w:footerReference r:id="rId9" w:type="even"/>
          <w:pgSz w:w="11907" w:h="16840"/>
          <w:pgMar w:top="1134" w:right="1191" w:bottom="1134" w:left="1304" w:header="964" w:footer="992" w:gutter="0"/>
          <w:pgNumType w:fmt="numberInDash"/>
          <w:cols w:space="720" w:num="1"/>
          <w:rtlGutter w:val="1"/>
          <w:docGrid w:linePitch="312" w:charSpace="0"/>
        </w:sectPr>
      </w:pPr>
    </w:p>
    <w:p>
      <w:pPr>
        <w:pStyle w:val="4"/>
        <w:spacing w:line="360" w:lineRule="auto"/>
        <w:jc w:val="center"/>
        <w:rPr>
          <w:rFonts w:ascii="微软雅黑" w:hAnsi="微软雅黑" w:eastAsia="微软雅黑" w:cs="微软雅黑"/>
          <w:bCs/>
          <w:color w:val="000000" w:themeColor="text1"/>
          <w:szCs w:val="30"/>
          <w14:textFill>
            <w14:solidFill>
              <w14:schemeClr w14:val="tx1"/>
            </w14:solidFill>
          </w14:textFill>
        </w:rPr>
      </w:pPr>
      <w:bookmarkStart w:id="86" w:name="_Toc102227313"/>
      <w:bookmarkStart w:id="87" w:name="_Toc20532"/>
      <w:r>
        <w:rPr>
          <w:rFonts w:hint="eastAsia" w:ascii="微软雅黑" w:hAnsi="微软雅黑" w:eastAsia="微软雅黑" w:cs="微软雅黑"/>
          <w:bCs/>
          <w:color w:val="000000" w:themeColor="text1"/>
          <w:sz w:val="36"/>
          <w:szCs w:val="30"/>
          <w14:textFill>
            <w14:solidFill>
              <w14:schemeClr w14:val="tx1"/>
            </w14:solidFill>
          </w14:textFill>
        </w:rPr>
        <w:t>第五篇  供应商须知</w:t>
      </w:r>
      <w:bookmarkEnd w:id="86"/>
      <w:bookmarkEnd w:id="87"/>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88" w:name="_Toc342913389"/>
      <w:bookmarkStart w:id="89" w:name="_Toc12189"/>
      <w:r>
        <w:rPr>
          <w:rFonts w:hint="eastAsia" w:ascii="微软雅黑" w:hAnsi="微软雅黑" w:eastAsia="微软雅黑" w:cs="微软雅黑"/>
          <w:color w:val="000000" w:themeColor="text1"/>
          <w:sz w:val="24"/>
          <w:szCs w:val="24"/>
          <w14:textFill>
            <w14:solidFill>
              <w14:schemeClr w14:val="tx1"/>
            </w14:solidFill>
          </w14:textFill>
        </w:rPr>
        <w:t>一、磋商费用</w:t>
      </w:r>
      <w:bookmarkEnd w:id="88"/>
      <w:bookmarkEnd w:id="89"/>
    </w:p>
    <w:p>
      <w:pPr>
        <w:pStyle w:val="209"/>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0" w:name="_Toc550"/>
      <w:bookmarkStart w:id="91" w:name="_Toc342913391"/>
      <w:r>
        <w:rPr>
          <w:rFonts w:hint="eastAsia" w:ascii="微软雅黑" w:hAnsi="微软雅黑" w:eastAsia="微软雅黑" w:cs="微软雅黑"/>
          <w:color w:val="000000" w:themeColor="text1"/>
          <w:sz w:val="24"/>
          <w:szCs w:val="24"/>
          <w14:textFill>
            <w14:solidFill>
              <w14:schemeClr w14:val="tx1"/>
            </w14:solidFill>
          </w14:textFill>
        </w:rPr>
        <w:t>二、竞争性磋商文件</w:t>
      </w:r>
      <w:bookmarkEnd w:id="90"/>
      <w:bookmarkEnd w:id="91"/>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（一）竞争性磋商文件由采购邀请书、采购技术需求、采购商务需求、磋商程序及方法、评审标准、无效响应和采购终止、供应商须知、政府采购合同、响应文件编制要求七部分组成。</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bookmarkStart w:id="92" w:name="_Toc179714297"/>
      <w:bookmarkStart w:id="93" w:name="_Toc342913392"/>
      <w:bookmarkStart w:id="94" w:name="_Toc102227318"/>
      <w:r>
        <w:rPr>
          <w:rFonts w:hint="eastAsia" w:ascii="微软雅黑" w:hAnsi="微软雅黑" w:eastAsia="微软雅黑" w:cs="微软雅黑"/>
          <w:color w:val="000000" w:themeColor="text1"/>
          <w:sz w:val="24"/>
          <w:szCs w:val="24"/>
          <w14:textFill>
            <w14:solidFill>
              <w14:schemeClr w14:val="tx1"/>
            </w14:solidFill>
          </w14:textFill>
        </w:rPr>
        <w:t xml:space="preserve">    （三）竞争性磋商文件的解释</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（四）本竞争性磋商文件中，磋商小组根据与供应商进行磋商可能实质性变动的内容为竞争性磋商文件第二、三、六篇全部内容。</w:t>
      </w:r>
    </w:p>
    <w:p>
      <w:pPr>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（五）评审的依据为竞争性磋商文件和响应文件（含有效的书面承诺）。磋商小组判断响应文件对竞争性磋商文件的响应，仅基于响应文件本身而不靠外部证据。</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5" w:name="_Toc22511"/>
      <w:r>
        <w:rPr>
          <w:rFonts w:hint="eastAsia" w:ascii="微软雅黑" w:hAnsi="微软雅黑" w:eastAsia="微软雅黑" w:cs="微软雅黑"/>
          <w:color w:val="000000" w:themeColor="text1"/>
          <w:sz w:val="24"/>
          <w:szCs w:val="24"/>
          <w14:textFill>
            <w14:solidFill>
              <w14:schemeClr w14:val="tx1"/>
            </w14:solidFill>
          </w14:textFill>
        </w:rPr>
        <w:t>三、磋商要求</w:t>
      </w:r>
      <w:bookmarkEnd w:id="92"/>
      <w:bookmarkEnd w:id="93"/>
      <w:bookmarkEnd w:id="94"/>
      <w:bookmarkEnd w:id="95"/>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（一）响应文件</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2、响应文件组成</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本项目不接受联合体</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1.两个以上供应商可以组成一个联合体，以一个供应商的身份共同参与磋商。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2.以联合体形式参加磋商的，联合体各方均应满足供应商资格条件。联合体中有同类资质的供应商按照联合体分工承担相同工作的，应当按照资质等级较低的供应商确定资质等级。</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（四）修正错误</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（四）提交响应文件的份数和签署</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1、响应文件一式四份，其中正本一份，副本二份；</w:t>
      </w:r>
      <w:r>
        <w:rPr>
          <w:rFonts w:hint="eastAsia" w:ascii="微软雅黑" w:hAnsi="微软雅黑" w:eastAsia="微软雅黑" w:cs="微软雅黑"/>
          <w:b/>
          <w:bCs/>
          <w:color w:val="000000" w:themeColor="text1"/>
          <w:sz w:val="24"/>
          <w:szCs w:val="24"/>
          <w14:textFill>
            <w14:solidFill>
              <w14:schemeClr w14:val="tx1"/>
            </w14:solidFill>
          </w14:textFill>
        </w:rPr>
        <w:t>电子文档一份（正本签字盖章扫描件）</w:t>
      </w:r>
      <w:r>
        <w:rPr>
          <w:rFonts w:hint="eastAsia" w:ascii="微软雅黑" w:hAnsi="微软雅黑" w:eastAsia="微软雅黑" w:cs="微软雅黑"/>
          <w:color w:val="000000" w:themeColor="text1"/>
          <w:sz w:val="24"/>
          <w:szCs w:val="24"/>
          <w14:textFill>
            <w14:solidFill>
              <w14:schemeClr w14:val="tx1"/>
            </w14:solidFill>
          </w14:textFill>
        </w:rPr>
        <w:t>（电子文档内容应与纸质文件正本一致，如不一致以纸质文件正本为准。</w:t>
      </w:r>
      <w:r>
        <w:rPr>
          <w:rFonts w:hint="eastAsia" w:ascii="微软雅黑" w:hAnsi="微软雅黑" w:eastAsia="微软雅黑" w:cs="微软雅黑"/>
          <w:b/>
          <w:bCs/>
          <w:color w:val="000000" w:themeColor="text1"/>
          <w:sz w:val="24"/>
          <w:szCs w:val="24"/>
          <w14:textFill>
            <w14:solidFill>
              <w14:schemeClr w14:val="tx1"/>
            </w14:solidFill>
          </w14:textFill>
        </w:rPr>
        <w:t>推荐采用U盘为电子文档载体</w:t>
      </w:r>
      <w:r>
        <w:rPr>
          <w:rFonts w:hint="eastAsia" w:ascii="微软雅黑" w:hAnsi="微软雅黑" w:eastAsia="微软雅黑" w:cs="微软雅黑"/>
          <w:color w:val="000000" w:themeColor="text1"/>
          <w:sz w:val="24"/>
          <w:szCs w:val="24"/>
          <w14:textFill>
            <w14:solidFill>
              <w14:schemeClr w14:val="tx1"/>
            </w14:solidFill>
          </w14:textFill>
        </w:rPr>
        <w:t>）；副本可为正本的复印件，应与正本一致，如出现不一致情况以正本为准。</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在响应文件正本中，竞争性磋商文件第七篇响应文件编制要求中规定签字、盖章的地方必须按其规定签字、盖章。</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（五）响应文件的递交</w:t>
      </w:r>
    </w:p>
    <w:p>
      <w:pPr>
        <w:snapToGrid w:val="0"/>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响应文件</w:t>
      </w:r>
      <w:r>
        <w:rPr>
          <w:rFonts w:hint="eastAsia" w:ascii="微软雅黑" w:hAnsi="微软雅黑" w:eastAsia="微软雅黑" w:cs="微软雅黑"/>
          <w:color w:val="000000" w:themeColor="text1"/>
          <w:sz w:val="24"/>
          <w14:textFill>
            <w14:solidFill>
              <w14:schemeClr w14:val="tx1"/>
            </w14:solidFill>
          </w14:textFill>
        </w:rPr>
        <w:t>的正本、副本均应密封送达</w:t>
      </w:r>
      <w:r>
        <w:rPr>
          <w:rFonts w:hint="eastAsia" w:ascii="微软雅黑" w:hAnsi="微软雅黑" w:eastAsia="微软雅黑" w:cs="微软雅黑"/>
          <w:color w:val="000000" w:themeColor="text1"/>
          <w:sz w:val="24"/>
          <w:szCs w:val="24"/>
          <w14:textFill>
            <w14:solidFill>
              <w14:schemeClr w14:val="tx1"/>
            </w14:solidFill>
          </w14:textFill>
        </w:rPr>
        <w:t>递交响应文件地点</w:t>
      </w:r>
      <w:r>
        <w:rPr>
          <w:rFonts w:hint="eastAsia" w:ascii="微软雅黑" w:hAnsi="微软雅黑" w:eastAsia="微软雅黑" w:cs="微软雅黑"/>
          <w:color w:val="000000" w:themeColor="text1"/>
          <w:sz w:val="24"/>
          <w14:textFill>
            <w14:solidFill>
              <w14:schemeClr w14:val="tx1"/>
            </w14:solidFill>
          </w14:textFill>
        </w:rPr>
        <w:t>，应在封套上注明项目名称、供应商名称。若正本、副本以及电子文档分别进行密封的，还应在封套上注明“正本”、“副本”、“电子文档”字样。</w:t>
      </w:r>
    </w:p>
    <w:p>
      <w:pPr>
        <w:snapToGrid w:val="0"/>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2、封套的封口处应加盖供应商公章或由法定代表人授权代表签字。</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3、如果未按上述规定进行密封，采购代理机构对响应文件误投、丢失或提前拆封不负责任。</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（六）供应商参与人员</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各个供应商应当派1-2名代表参与磋商，至少1人应为法定代表人或具有法定代表人授权委托书的授权代表。</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6" w:name="_Toc20312"/>
      <w:r>
        <w:rPr>
          <w:rFonts w:hint="eastAsia" w:ascii="微软雅黑" w:hAnsi="微软雅黑" w:eastAsia="微软雅黑" w:cs="微软雅黑"/>
          <w:color w:val="000000" w:themeColor="text1"/>
          <w:sz w:val="24"/>
          <w:szCs w:val="24"/>
          <w14:textFill>
            <w14:solidFill>
              <w14:schemeClr w14:val="tx1"/>
            </w14:solidFill>
          </w14:textFill>
        </w:rPr>
        <w:t>四、成交供应商的确认和变更</w:t>
      </w:r>
      <w:bookmarkEnd w:id="96"/>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（一）成交供应商的确认</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（二）成交供应商的变更</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97" w:name="_Toc342913395"/>
      <w:bookmarkStart w:id="98" w:name="_Toc102227321"/>
      <w:bookmarkStart w:id="99" w:name="_Toc7164"/>
      <w:r>
        <w:rPr>
          <w:rFonts w:hint="eastAsia" w:ascii="微软雅黑" w:hAnsi="微软雅黑" w:eastAsia="微软雅黑" w:cs="微软雅黑"/>
          <w:color w:val="000000" w:themeColor="text1"/>
          <w:sz w:val="24"/>
          <w:szCs w:val="24"/>
          <w14:textFill>
            <w14:solidFill>
              <w14:schemeClr w14:val="tx1"/>
            </w14:solidFill>
          </w14:textFill>
        </w:rPr>
        <w:t>五、成交通知</w:t>
      </w:r>
      <w:bookmarkEnd w:id="97"/>
      <w:bookmarkEnd w:id="98"/>
      <w:bookmarkEnd w:id="99"/>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（一）成交供应商确定后，采购代理机构将在重庆市生态环境局政府公众信息网站（http://sthjj.cq.gov.cn）上发布成交结果公告。</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（三）《成交通知书》将作为签订合同的依据。</w:t>
      </w:r>
    </w:p>
    <w:p>
      <w:pPr>
        <w:spacing w:line="400" w:lineRule="exact"/>
        <w:ind w:firstLine="48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（四）如有供应商对成交结果提出质疑的，在质疑处理完毕后发出成交通知书。</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0" w:name="_Toc1506"/>
      <w:r>
        <w:rPr>
          <w:rFonts w:hint="eastAsia" w:ascii="微软雅黑" w:hAnsi="微软雅黑" w:eastAsia="微软雅黑" w:cs="微软雅黑"/>
          <w:color w:val="000000" w:themeColor="text1"/>
          <w:sz w:val="24"/>
          <w:szCs w:val="24"/>
          <w14:textFill>
            <w14:solidFill>
              <w14:schemeClr w14:val="tx1"/>
            </w14:solidFill>
          </w14:textFill>
        </w:rPr>
        <w:t>六、关于质疑和投诉</w:t>
      </w:r>
      <w:bookmarkEnd w:id="100"/>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供应商认为采购文件、采购过程和成交结果使自己的权益收到伤害的，可向采购人或采购代理机构以书面形式提出质疑。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提出质疑的应当是参与所质疑项目采购活动的供应商。 </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1.质疑时限、内容</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1.2供应商提出质疑应当提交质疑函和必要的证明材料，质疑函应当包括下列内容：</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1.2.1供应商的姓名或者名称、地址、邮编、联系人及联系电话；</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1.2.2质疑项目的名称、项目号以及磋商项目编号；</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1.2.3具体、明确的质疑事项和与质疑事项相关的请求；</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1.2.4事实依据；</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1.2.5必要的法律依据；</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1.2.6提出质疑的日期；</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1.2.7营业执照（或事业单位法人证书，或个体工商户营业执照或有效的自然人身份证明）复印件；</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2.质疑答复</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3.其他</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3.2质疑函范本可在财政部门户网站和中国政府采购网下载。</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1" w:name="_Toc24427"/>
      <w:r>
        <w:rPr>
          <w:rFonts w:hint="eastAsia" w:ascii="微软雅黑" w:hAnsi="微软雅黑" w:eastAsia="微软雅黑" w:cs="微软雅黑"/>
          <w:color w:val="000000" w:themeColor="text1"/>
          <w:sz w:val="24"/>
          <w:szCs w:val="24"/>
          <w14:textFill>
            <w14:solidFill>
              <w14:schemeClr w14:val="tx1"/>
            </w14:solidFill>
          </w14:textFill>
        </w:rPr>
        <w:t>七、采购代理服务费</w:t>
      </w:r>
      <w:bookmarkEnd w:id="101"/>
    </w:p>
    <w:p>
      <w:pPr>
        <w:spacing w:line="400" w:lineRule="exact"/>
        <w:ind w:firstLine="48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1供应商成交</w:t>
      </w:r>
      <w:r>
        <w:rPr>
          <w:rFonts w:hint="eastAsia" w:ascii="微软雅黑" w:hAnsi="微软雅黑" w:eastAsia="微软雅黑" w:cs="微软雅黑"/>
          <w:color w:val="000000" w:themeColor="text1"/>
          <w:sz w:val="24"/>
          <w14:textFill>
            <w14:solidFill>
              <w14:schemeClr w14:val="tx1"/>
            </w14:solidFill>
          </w14:textFill>
        </w:rPr>
        <w:t>后向采购代理机构缴纳招标代理服务费，招标代理服务费的收取标准按照以下标准执行（本项目代理服务费不足6000元按6000元收取）: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pPr>
              <w:spacing w:line="240" w:lineRule="atLeast"/>
              <w:jc w:val="righ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微软雅黑" w:hAnsi="微软雅黑" w:eastAsia="微软雅黑" w:cs="微软雅黑"/>
                <w:color w:val="000000" w:themeColor="text1"/>
                <w:sz w:val="21"/>
                <w:szCs w:val="21"/>
                <w14:textFill>
                  <w14:solidFill>
                    <w14:schemeClr w14:val="tx1"/>
                  </w14:solidFill>
                </w14:textFill>
              </w:rPr>
              <w:t>招标类型</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中标金额（万元）</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货物招标</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服务招标</w:t>
            </w:r>
          </w:p>
        </w:tc>
        <w:tc>
          <w:tcPr>
            <w:tcW w:w="2102" w:type="dxa"/>
            <w:vAlign w:val="center"/>
          </w:tcPr>
          <w:p>
            <w:pPr>
              <w:pStyle w:val="206"/>
              <w:widowControl w:val="0"/>
              <w:pBdr>
                <w:left w:val="none" w:color="auto" w:sz="0" w:space="0"/>
                <w:right w:val="none" w:color="auto" w:sz="0" w:space="0"/>
              </w:pBdr>
              <w:spacing w:before="0" w:beforeAutospacing="0" w:after="0" w:afterAutospacing="0" w:line="240" w:lineRule="atLeast"/>
              <w:rPr>
                <w:rFonts w:ascii="微软雅黑" w:hAnsi="微软雅黑" w:eastAsia="微软雅黑" w:cs="微软雅黑"/>
                <w:color w:val="000000" w:themeColor="text1"/>
                <w:kern w:val="2"/>
                <w:sz w:val="21"/>
                <w:szCs w:val="21"/>
                <w14:textFill>
                  <w14:solidFill>
                    <w14:schemeClr w14:val="tx1"/>
                  </w14:solidFill>
                </w14:textFill>
              </w:rPr>
            </w:pPr>
            <w:r>
              <w:rPr>
                <w:rFonts w:hint="eastAsia" w:ascii="微软雅黑" w:hAnsi="微软雅黑" w:eastAsia="微软雅黑" w:cs="微软雅黑"/>
                <w:color w:val="000000" w:themeColor="text1"/>
                <w:kern w:val="2"/>
                <w:sz w:val="2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100以下</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100-200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0.8%</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200-500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1.08%</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0.78%</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500-1000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0.76%</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0.43%</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1000-5000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0.45%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0.23%</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5000-10000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0.23%</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0.09%</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10000-100000</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100000以上</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c>
          <w:tcPr>
            <w:tcW w:w="2103"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c>
          <w:tcPr>
            <w:tcW w:w="2102"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0.009%</w:t>
            </w:r>
          </w:p>
        </w:tc>
      </w:tr>
    </w:tbl>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注：招标代理服务收费按差额定率累进法计算。例如：某服务招标代理业务中标金额为500万元，计算招标代理服务收费额如下：</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100万元×1.5%=1.5万元</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（200-100）万元×0.8%=0.8万元</w:t>
      </w:r>
    </w:p>
    <w:p>
      <w:pPr>
        <w:spacing w:line="4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（500-200）×0.78%=2.34万元</w:t>
      </w:r>
    </w:p>
    <w:p>
      <w:pPr>
        <w:spacing w:line="400" w:lineRule="exact"/>
        <w:ind w:firstLine="48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合计收费=1.5+0.8+2.34=4.64（万元）</w:t>
      </w:r>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2.服务费以转账、电汇等形式支付。</w:t>
      </w:r>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3.采购代理服务费缴纳账户信息：</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bookmarkStart w:id="102" w:name="_Toc102227322"/>
      <w:bookmarkStart w:id="103" w:name="_Toc342913396"/>
      <w:bookmarkStart w:id="104" w:name="_Toc11641055"/>
      <w:bookmarkStart w:id="105" w:name="_Toc12789059"/>
      <w:r>
        <w:rPr>
          <w:rFonts w:hint="eastAsia" w:ascii="微软雅黑" w:hAnsi="微软雅黑" w:eastAsia="微软雅黑" w:cs="微软雅黑"/>
          <w:b/>
          <w:bCs/>
          <w:color w:val="000000" w:themeColor="text1"/>
          <w:sz w:val="24"/>
          <w:szCs w:val="24"/>
          <w14:textFill>
            <w14:solidFill>
              <w14:schemeClr w14:val="tx1"/>
            </w14:solidFill>
          </w14:textFill>
        </w:rPr>
        <w:t>户  名：重庆鼎创招标代理有限公司</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开户行：招商银行股份有限公司重庆观音桥支行</w:t>
      </w:r>
    </w:p>
    <w:p>
      <w:pPr>
        <w:snapToGrid w:val="0"/>
        <w:spacing w:line="50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账  号：123911157910105</w:t>
      </w:r>
    </w:p>
    <w:p>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106" w:name="_Toc14609"/>
      <w:r>
        <w:rPr>
          <w:rFonts w:hint="eastAsia" w:ascii="微软雅黑" w:hAnsi="微软雅黑" w:eastAsia="微软雅黑" w:cs="微软雅黑"/>
          <w:color w:val="000000" w:themeColor="text1"/>
          <w:sz w:val="24"/>
          <w:szCs w:val="24"/>
          <w14:textFill>
            <w14:solidFill>
              <w14:schemeClr w14:val="tx1"/>
            </w14:solidFill>
          </w14:textFill>
        </w:rPr>
        <w:t>八、签订</w:t>
      </w:r>
      <w:bookmarkEnd w:id="102"/>
      <w:r>
        <w:rPr>
          <w:rFonts w:hint="eastAsia" w:ascii="微软雅黑" w:hAnsi="微软雅黑" w:eastAsia="微软雅黑" w:cs="微软雅黑"/>
          <w:color w:val="000000" w:themeColor="text1"/>
          <w:sz w:val="24"/>
          <w:szCs w:val="24"/>
          <w14:textFill>
            <w14:solidFill>
              <w14:schemeClr w14:val="tx1"/>
            </w14:solidFill>
          </w14:textFill>
        </w:rPr>
        <w:t>合同</w:t>
      </w:r>
      <w:bookmarkEnd w:id="103"/>
      <w:bookmarkEnd w:id="106"/>
    </w:p>
    <w:p>
      <w:pPr>
        <w:spacing w:line="40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（二）竞争性磋商文件、供应商的响应文件及澄清文件等，均为签订政府采购合同的依据。</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（四）合同原则上应按照《重庆市政府采购合同》签订，相关单位要求适用合同通用格式版本的，应按其要求另行签订其他合同。</w:t>
      </w:r>
    </w:p>
    <w:p>
      <w:pPr>
        <w:spacing w:line="380" w:lineRule="exact"/>
        <w:ind w:firstLine="360" w:firstLineChars="15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（五）采购人要求成交供应商提供履约保证金的，应当在竞争性磋商文件中予以约定。成交供应商履约完毕后，采购人</w:t>
      </w:r>
      <w:r>
        <w:rPr>
          <w:rFonts w:hint="eastAsia" w:ascii="微软雅黑" w:hAnsi="微软雅黑" w:eastAsia="微软雅黑" w:cs="微软雅黑"/>
          <w:color w:val="000000" w:themeColor="text1"/>
          <w:sz w:val="24"/>
          <w14:textFill>
            <w14:solidFill>
              <w14:schemeClr w14:val="tx1"/>
            </w14:solidFill>
          </w14:textFill>
        </w:rPr>
        <w:t>应按磋商文件及合同的约定无息退还其履约保证金。</w:t>
      </w:r>
    </w:p>
    <w:p>
      <w:pPr>
        <w:pStyle w:val="5"/>
        <w:spacing w:before="0" w:after="0" w:line="400" w:lineRule="exact"/>
        <w:rPr>
          <w:rFonts w:ascii="微软雅黑" w:hAnsi="微软雅黑" w:eastAsia="微软雅黑" w:cs="微软雅黑"/>
          <w:color w:val="000000" w:themeColor="text1"/>
          <w:sz w:val="24"/>
          <w14:textFill>
            <w14:solidFill>
              <w14:schemeClr w14:val="tx1"/>
            </w14:solidFill>
          </w14:textFill>
        </w:rPr>
      </w:pPr>
      <w:bookmarkStart w:id="107" w:name="_Toc14780"/>
      <w:bookmarkStart w:id="108" w:name="_Toc13708"/>
      <w:r>
        <w:rPr>
          <w:rFonts w:hint="eastAsia" w:ascii="微软雅黑" w:hAnsi="微软雅黑" w:eastAsia="微软雅黑" w:cs="微软雅黑"/>
          <w:color w:val="000000" w:themeColor="text1"/>
          <w:sz w:val="24"/>
          <w:szCs w:val="24"/>
          <w14:textFill>
            <w14:solidFill>
              <w14:schemeClr w14:val="tx1"/>
            </w14:solidFill>
          </w14:textFill>
        </w:rPr>
        <w:t>九、</w:t>
      </w:r>
      <w:r>
        <w:rPr>
          <w:rFonts w:hint="eastAsia" w:ascii="微软雅黑" w:hAnsi="微软雅黑" w:eastAsia="微软雅黑" w:cs="微软雅黑"/>
          <w:color w:val="000000" w:themeColor="text1"/>
          <w:sz w:val="24"/>
          <w14:textFill>
            <w14:solidFill>
              <w14:schemeClr w14:val="tx1"/>
            </w14:solidFill>
          </w14:textFill>
        </w:rPr>
        <w:t>政府采购信用融资</w:t>
      </w:r>
      <w:bookmarkEnd w:id="107"/>
      <w:bookmarkEnd w:id="108"/>
    </w:p>
    <w:p>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参与重庆市政府采购活动，成为成交供应商，并与采购人签订政府采购合同后，可按照重庆市政府采购支持中小企业信用融资办法的规定，向开展政府采购信用融资业务的银行申请贷款。具体内容详见重庆政府采购“信用融资”信息专栏。</w:t>
      </w:r>
    </w:p>
    <w:bookmarkEnd w:id="104"/>
    <w:bookmarkEnd w:id="105"/>
    <w:p>
      <w:pPr>
        <w:rPr>
          <w:rFonts w:ascii="微软雅黑" w:hAnsi="微软雅黑" w:eastAsia="微软雅黑" w:cs="微软雅黑"/>
          <w:color w:val="000000" w:themeColor="text1"/>
          <w14:textFill>
            <w14:solidFill>
              <w14:schemeClr w14:val="tx1"/>
            </w14:solidFill>
          </w14:textFill>
        </w:rPr>
        <w:sectPr>
          <w:footerReference r:id="rId10" w:type="default"/>
          <w:footerReference r:id="rId11" w:type="even"/>
          <w:pgSz w:w="11907" w:h="16840"/>
          <w:pgMar w:top="1134" w:right="1191" w:bottom="1134" w:left="1304" w:header="964" w:footer="992" w:gutter="0"/>
          <w:pgNumType w:fmt="numberInDash"/>
          <w:cols w:space="720" w:num="1"/>
          <w:rtlGutter w:val="1"/>
          <w:docGrid w:linePitch="312" w:charSpace="0"/>
        </w:sectPr>
      </w:pPr>
    </w:p>
    <w:p>
      <w:pPr>
        <w:pStyle w:val="4"/>
        <w:spacing w:before="0" w:after="0" w:line="360" w:lineRule="auto"/>
        <w:jc w:val="center"/>
        <w:rPr>
          <w:rFonts w:ascii="微软雅黑" w:hAnsi="微软雅黑" w:eastAsia="微软雅黑" w:cs="微软雅黑"/>
          <w:color w:val="000000" w:themeColor="text1"/>
          <w:sz w:val="36"/>
          <w:szCs w:val="30"/>
          <w14:textFill>
            <w14:solidFill>
              <w14:schemeClr w14:val="tx1"/>
            </w14:solidFill>
          </w14:textFill>
        </w:rPr>
      </w:pPr>
      <w:bookmarkStart w:id="109" w:name="_Toc6917"/>
      <w:bookmarkStart w:id="110" w:name="_Toc12103"/>
      <w:bookmarkStart w:id="111" w:name="_Toc148265480"/>
      <w:bookmarkStart w:id="112" w:name="_Toc303945820"/>
      <w:bookmarkStart w:id="113" w:name="_Toc12789072"/>
      <w:r>
        <w:rPr>
          <w:rFonts w:hint="eastAsia" w:ascii="微软雅黑" w:hAnsi="微软雅黑" w:eastAsia="微软雅黑" w:cs="微软雅黑"/>
          <w:color w:val="000000" w:themeColor="text1"/>
          <w:sz w:val="36"/>
          <w:szCs w:val="30"/>
          <w14:textFill>
            <w14:solidFill>
              <w14:schemeClr w14:val="tx1"/>
            </w14:solidFill>
          </w14:textFill>
        </w:rPr>
        <w:t>第六篇  合同草案条款</w:t>
      </w:r>
      <w:bookmarkEnd w:id="109"/>
      <w:r>
        <w:rPr>
          <w:rFonts w:hint="eastAsia" w:ascii="微软雅黑" w:hAnsi="微软雅黑" w:eastAsia="微软雅黑" w:cs="微软雅黑"/>
          <w:color w:val="000000" w:themeColor="text1"/>
          <w:sz w:val="36"/>
          <w:szCs w:val="30"/>
          <w14:textFill>
            <w14:solidFill>
              <w14:schemeClr w14:val="tx1"/>
            </w14:solidFill>
          </w14:textFill>
        </w:rPr>
        <w:t>(参考版本)</w:t>
      </w:r>
      <w:bookmarkEnd w:id="110"/>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1、定义</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1.1甲方（需方）即采购人，是指通过竞争性磋商采购，接受合同货物及服务的各级国家机关、事业单位和团体组织。</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1.2乙方（供方）即成交供应商，是指成交后提供合同货物和服务的自然人、法人及其他组织。</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1.3合同是指由甲乙双方按照竞争性磋商文件和响应文件的实质性内容，通过协商一致达成的书面协议。</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1.4合同价格指以成交价格为依据，在供方全面履行合同义务后，需方（或财政部门）应支付给供方的金额。</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1.5技术资料是指合同货物及其相关的设计、制造、监造、检验、验收等文件（包括图纸、各种文字说明、标准）。</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2、货物内容（合同内容）</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合同包括以下内容：货物名称、型号规格、技术参数、数量（单位）等内容。</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3、合同价格</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3.1合同价格即合同总价。</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3.3合同货物单价为不变价。</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4、转包或分包</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4.1本合同范围的货物，应由乙方直接供应，不得转让他人供应；</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4.2非经甲方书面同意，乙方不得将本合同范围的货物全部或部分分包给他人供应；</w:t>
      </w:r>
    </w:p>
    <w:p>
      <w:pPr>
        <w:snapToGrid w:val="0"/>
        <w:spacing w:line="380" w:lineRule="exact"/>
        <w:ind w:firstLine="600" w:firstLineChars="25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4.3如有转让和未经甲方同意的分包行为，甲方有权解除合同，没收履约保证金并追究乙方的违约责任。</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5、质量保证及售后服务</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5.1乙方应按竞争性磋商文件规定的货物性能、技术要求、质量标准向甲方提供未经使用的全新产品。</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5.2.1更换：由乙方承担所发生的全部费用。</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5.2.2贬值处理：由甲乙双方合议定价。</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5.3 如在使用过程中发生质量问题，乙方应同本项目“第三篇  采购商务需求”对质量保证及售后服务内容的约定。</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5.4在质保期内，乙方应对货物出现的质量及安全问题负责处理解决并承担一切费用。</w:t>
      </w:r>
    </w:p>
    <w:p>
      <w:pPr>
        <w:adjustRightInd w:val="0"/>
        <w:snapToGrid w:val="0"/>
        <w:spacing w:line="38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6、付款</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6.1本合同使用货币币制如未作特别说明均为人民币。</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6.2付款方式：银行转账、现金支票。</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6.3付款方法：同本项目“第三篇  采购商务需求”中关于付款方式的约定。</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7、检查验收</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7.1供方应随货物提供合格证和质量证明文件，如是国外进口的货物还须提供入关证明。</w:t>
      </w:r>
    </w:p>
    <w:p>
      <w:pPr>
        <w:adjustRightInd w:val="0"/>
        <w:snapToGrid w:val="0"/>
        <w:spacing w:line="300" w:lineRule="exact"/>
        <w:ind w:firstLine="600" w:firstLineChars="25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7.2货物验收</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7.3货物验收报告应由需方、供方经办人签字，并加盖双方公章，以此作为支付凭据。</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8、索赔</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8.2根据货物的疵劣和受损程度以及需方遭受损失的金额，经双方同意降低货物价格。</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9、知识产权</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9.1</w:t>
      </w:r>
      <w:r>
        <w:rPr>
          <w:rFonts w:hint="eastAsia" w:ascii="微软雅黑" w:hAnsi="微软雅黑" w:eastAsia="微软雅黑" w:cs="微软雅黑"/>
          <w:color w:val="000000" w:themeColor="text1"/>
          <w:sz w:val="24"/>
          <w:szCs w:val="24"/>
          <w14:textFill>
            <w14:solidFill>
              <w14:schemeClr w14:val="tx1"/>
            </w14:solidFill>
          </w14:textFill>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9.2</w:t>
      </w:r>
      <w:r>
        <w:rPr>
          <w:rFonts w:hint="eastAsia" w:ascii="微软雅黑" w:hAnsi="微软雅黑" w:eastAsia="微软雅黑" w:cs="微软雅黑"/>
          <w:color w:val="000000" w:themeColor="text1"/>
          <w:sz w:val="24"/>
          <w:szCs w:val="24"/>
          <w14:textFill>
            <w14:solidFill>
              <w14:schemeClr w14:val="tx1"/>
            </w14:solidFill>
          </w14:textFill>
        </w:rPr>
        <w:t>若涉及软件开发等服务类项目知识产权的，知识产权归采购人所有。</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10、合同争议的解决</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10.1当事人友好协商达成一致</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10.2在60天内当事人协商不能达成协议的，可提请采购人当地仲裁机构仲裁。</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11、违约责任</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按《中华人民共和国民法典》、《中华人民共和国政府采购法》有关条款，或由供需双方约定。</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12、合同生效及其它</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12.1合同生效及其效力应符合《中华人民共和国民法典》有关规定。</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12.2合同应经当事人法定代表人或委托代理人签字，加盖双方合同专用章或公章。</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12.3合同所包括附件，是合同不可分割的一部分，具有同等法法律效力。</w:t>
      </w:r>
    </w:p>
    <w:p>
      <w:pPr>
        <w:snapToGrid w:val="0"/>
        <w:spacing w:line="380" w:lineRule="exact"/>
        <w:ind w:firstLine="480" w:firstLineChars="200"/>
        <w:rPr>
          <w:rFonts w:ascii="微软雅黑" w:hAnsi="微软雅黑" w:eastAsia="微软雅黑" w:cs="微软雅黑"/>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12.4合同需提供担保的，按《中华人民共和国民法典》规定执行。</w:t>
      </w:r>
    </w:p>
    <w:p>
      <w:pPr>
        <w:snapToGrid w:val="0"/>
        <w:spacing w:line="38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12.5本合同条件未尽事宜依照《中华人民共和国民法典》，由供需双方共同协商确定。</w:t>
      </w:r>
    </w:p>
    <w:p>
      <w:pPr>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合同格式</w:t>
      </w:r>
      <w:bookmarkEnd w:id="111"/>
      <w:bookmarkEnd w:id="112"/>
      <w:r>
        <w:rPr>
          <w:rFonts w:hint="eastAsia" w:ascii="微软雅黑" w:hAnsi="微软雅黑" w:eastAsia="微软雅黑" w:cs="微软雅黑"/>
          <w:color w:val="000000" w:themeColor="text1"/>
          <w:sz w:val="24"/>
          <w14:textFill>
            <w14:solidFill>
              <w14:schemeClr w14:val="tx1"/>
            </w14:solidFill>
          </w14:textFill>
        </w:rPr>
        <w:t>（根据项目情况自拟）</w:t>
      </w:r>
    </w:p>
    <w:p>
      <w:pPr>
        <w:tabs>
          <w:tab w:val="left" w:pos="9000"/>
        </w:tabs>
        <w:spacing w:line="276" w:lineRule="auto"/>
        <w:rPr>
          <w:rFonts w:ascii="微软雅黑" w:hAnsi="微软雅黑" w:eastAsia="微软雅黑" w:cs="微软雅黑"/>
          <w:color w:val="000000" w:themeColor="text1"/>
          <w:sz w:val="21"/>
          <w:szCs w:val="21"/>
          <w14:textFill>
            <w14:solidFill>
              <w14:schemeClr w14:val="tx1"/>
            </w14:solidFill>
          </w14:textFill>
        </w:rPr>
      </w:pPr>
    </w:p>
    <w:p>
      <w:pPr>
        <w:spacing w:line="500" w:lineRule="exact"/>
        <w:jc w:val="center"/>
        <w:rPr>
          <w:rFonts w:ascii="微软雅黑" w:hAnsi="微软雅黑" w:eastAsia="微软雅黑" w:cs="微软雅黑"/>
          <w:b/>
          <w:color w:val="000000" w:themeColor="text1"/>
          <w:sz w:val="44"/>
          <w14:textFill>
            <w14:solidFill>
              <w14:schemeClr w14:val="tx1"/>
            </w14:solidFill>
          </w14:textFill>
        </w:rPr>
      </w:pPr>
      <w:r>
        <w:rPr>
          <w:rFonts w:hint="eastAsia" w:ascii="微软雅黑" w:hAnsi="微软雅黑" w:eastAsia="微软雅黑" w:cs="微软雅黑"/>
          <w:b/>
          <w:color w:val="000000" w:themeColor="text1"/>
          <w:sz w:val="44"/>
          <w14:textFill>
            <w14:solidFill>
              <w14:schemeClr w14:val="tx1"/>
            </w14:solidFill>
          </w14:textFill>
        </w:rPr>
        <w:t>重庆市政府采购合同（样本）</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bookmarkStart w:id="114" w:name="_Hlt41879464"/>
      <w:bookmarkEnd w:id="114"/>
      <w:r>
        <w:rPr>
          <w:rFonts w:hint="eastAsia" w:ascii="微软雅黑" w:hAnsi="微软雅黑" w:eastAsia="微软雅黑" w:cs="微软雅黑"/>
          <w:color w:val="000000" w:themeColor="text1"/>
          <w:sz w:val="24"/>
          <w:szCs w:val="24"/>
          <w14:textFill>
            <w14:solidFill>
              <w14:schemeClr w14:val="tx1"/>
            </w14:solidFill>
          </w14:textFill>
        </w:rPr>
        <w:t>（采购项目编号：     ）</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甲方（需方）：___________________________      计价单位：____________</w:t>
      </w: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乙方（供方）：___________________________      计量单位：_____________</w:t>
      </w:r>
    </w:p>
    <w:p>
      <w:pPr>
        <w:snapToGrid w:val="0"/>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项目名称</w:t>
            </w: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pPr>
              <w:pStyle w:val="32"/>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1.采购文件及其补遗文件、响应文件和承诺是本合同不可分割的部分。</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3.本合同一式__份，需方__份，供方__份，具同等法律效力。</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5"/>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pPr>
              <w:widowControl/>
              <w:spacing w:line="240" w:lineRule="atLeast"/>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p>
          <w:p>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bl>
    <w:p>
      <w:pPr>
        <w:snapToGrid w:val="0"/>
        <w:spacing w:line="400" w:lineRule="exact"/>
        <w:rPr>
          <w:rFonts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540"/>
        <w:rPr>
          <w:rFonts w:ascii="微软雅黑" w:hAnsi="微软雅黑" w:eastAsia="微软雅黑" w:cs="微软雅黑"/>
          <w:color w:val="000000" w:themeColor="text1"/>
          <w:sz w:val="24"/>
          <w:szCs w:val="24"/>
          <w14:textFill>
            <w14:solidFill>
              <w14:schemeClr w14:val="tx1"/>
            </w14:solidFill>
          </w14:textFill>
        </w:rPr>
      </w:pPr>
    </w:p>
    <w:p>
      <w:pPr>
        <w:snapToGrid w:val="0"/>
        <w:spacing w:line="400" w:lineRule="exact"/>
        <w:ind w:firstLine="54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签约时间：  年   月   日                        签约地点：</w:t>
      </w:r>
    </w:p>
    <w:bookmarkEnd w:id="113"/>
    <w:p>
      <w:pPr>
        <w:pStyle w:val="4"/>
        <w:spacing w:before="0" w:after="0" w:line="360" w:lineRule="auto"/>
        <w:jc w:val="center"/>
        <w:rPr>
          <w:rFonts w:ascii="微软雅黑" w:hAnsi="微软雅黑" w:eastAsia="微软雅黑" w:cs="微软雅黑"/>
          <w:color w:val="000000" w:themeColor="text1"/>
          <w:sz w:val="36"/>
          <w:szCs w:val="30"/>
          <w14:textFill>
            <w14:solidFill>
              <w14:schemeClr w14:val="tx1"/>
            </w14:solidFill>
          </w14:textFill>
        </w:rPr>
      </w:pPr>
      <w:bookmarkStart w:id="115" w:name="_Toc4673"/>
      <w:bookmarkStart w:id="116" w:name="_Toc1780"/>
      <w:r>
        <w:rPr>
          <w:rFonts w:hint="eastAsia" w:ascii="微软雅黑" w:hAnsi="微软雅黑" w:eastAsia="微软雅黑" w:cs="微软雅黑"/>
          <w:color w:val="000000" w:themeColor="text1"/>
          <w:sz w:val="36"/>
          <w:szCs w:val="30"/>
          <w14:textFill>
            <w14:solidFill>
              <w14:schemeClr w14:val="tx1"/>
            </w14:solidFill>
          </w14:textFill>
        </w:rPr>
        <w:t>第七篇  响应文件编制要求</w:t>
      </w:r>
      <w:bookmarkEnd w:id="115"/>
      <w:bookmarkEnd w:id="116"/>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一、经济部分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（一）竞争性磋商报价函</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（二）分项报价明细表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（一）服务方案</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三、商务部分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（一）商务要求响应情况：服务时间、地点及验收方式等</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（三）其它优惠服务承诺</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四、资格条件及其他</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（一）营业执照（副本）或事业单位法人证书（副本）复印件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（二）组织机构代码证复印件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（三）法定代表人身份证明书（格式）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（四）法定代表人授权委托书（格式）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（五）2019或2020年度财务状况报告（表）复印件，本年度新成立或成立不满一年的组织和自然人无法提供财务状况报告（表）的，可提供银行出具的资信证明复印件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（六）书面声明（格式）</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（七）税务登记证（副本）复印件</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（八）社会保险缴纳证明材料</w:t>
      </w:r>
    </w:p>
    <w:p>
      <w:pPr>
        <w:snapToGrid w:val="0"/>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（九）特定资格条件证书或证明文件</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说明：供应商按“多证合一”登记制度办理营业执照的，组织机构代码证、税务登记证（副本）和社会保险登记证以供应商所提供的营业执照（副本）复印件为准。</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五、其他应提供的资料</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（一）供应商中小微企业声明函、监狱企业证明文件、残疾人福利性单位声明函</w:t>
      </w:r>
    </w:p>
    <w:p>
      <w:pPr>
        <w:spacing w:line="44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（二）联合体共同联合协议（</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本项目不接受联合体</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440" w:lineRule="exact"/>
        <w:ind w:firstLine="480" w:firstLineChars="200"/>
        <w:rPr>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（三）其他资料</w:t>
      </w:r>
    </w:p>
    <w:p>
      <w:pPr>
        <w:snapToGrid w:val="0"/>
        <w:spacing w:line="360" w:lineRule="auto"/>
        <w:ind w:firstLine="480" w:firstLineChars="200"/>
        <w:rPr>
          <w:rFonts w:ascii="微软雅黑" w:hAnsi="微软雅黑" w:eastAsia="微软雅黑" w:cs="微软雅黑"/>
          <w:color w:val="000000" w:themeColor="text1"/>
          <w:sz w:val="24"/>
          <w:szCs w:val="24"/>
          <w:bdr w:val="single" w:color="auto" w:sz="4" w:space="0"/>
          <w14:textFill>
            <w14:solidFill>
              <w14:schemeClr w14:val="tx1"/>
            </w14:solidFill>
          </w14:textFill>
        </w:rPr>
        <w:sectPr>
          <w:headerReference r:id="rId12" w:type="default"/>
          <w:footerReference r:id="rId13" w:type="default"/>
          <w:pgSz w:w="11907" w:h="16840"/>
          <w:pgMar w:top="1134" w:right="1191" w:bottom="1134" w:left="1304" w:header="851" w:footer="992" w:gutter="0"/>
          <w:pgNumType w:fmt="numberInDash"/>
          <w:cols w:space="720" w:num="1"/>
          <w:rtlGutter w:val="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其他与项目有关的资料</w:t>
      </w: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117" w:name="_Toc499576264"/>
      <w:bookmarkStart w:id="118" w:name="_Toc342913419"/>
      <w:bookmarkStart w:id="119" w:name="_Toc313888360"/>
      <w:bookmarkStart w:id="120" w:name="_Toc10238"/>
      <w:bookmarkStart w:id="121" w:name="_Toc24509"/>
      <w:bookmarkStart w:id="122" w:name="_Toc313008356"/>
      <w:bookmarkStart w:id="123" w:name="_Toc283382454"/>
      <w:bookmarkStart w:id="124" w:name="_Toc12789073"/>
      <w:r>
        <w:rPr>
          <w:rFonts w:hint="eastAsia" w:ascii="微软雅黑" w:hAnsi="微软雅黑" w:eastAsia="微软雅黑" w:cs="微软雅黑"/>
          <w:color w:val="000000" w:themeColor="text1"/>
          <w:sz w:val="24"/>
          <w:szCs w:val="24"/>
          <w14:textFill>
            <w14:solidFill>
              <w14:schemeClr w14:val="tx1"/>
            </w14:solidFill>
          </w14:textFill>
        </w:rPr>
        <w:t>一、经济部分</w:t>
      </w:r>
      <w:bookmarkEnd w:id="117"/>
      <w:bookmarkEnd w:id="118"/>
      <w:bookmarkEnd w:id="119"/>
      <w:bookmarkEnd w:id="120"/>
      <w:bookmarkEnd w:id="121"/>
      <w:bookmarkEnd w:id="122"/>
    </w:p>
    <w:bookmarkEnd w:id="123"/>
    <w:bookmarkEnd w:id="124"/>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（一）竞争性磋商报价函</w:t>
      </w:r>
    </w:p>
    <w:p>
      <w:pPr>
        <w:tabs>
          <w:tab w:val="left" w:pos="6300"/>
        </w:tabs>
        <w:snapToGrid w:val="0"/>
        <w:spacing w:line="312" w:lineRule="auto"/>
        <w:jc w:val="center"/>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竞争性磋商报价函</w:t>
      </w:r>
    </w:p>
    <w:p>
      <w:pPr>
        <w:tabs>
          <w:tab w:val="left" w:pos="6300"/>
        </w:tabs>
        <w:snapToGrid w:val="0"/>
        <w:spacing w:line="312"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szCs w:val="24"/>
          <w14:textFill>
            <w14:solidFill>
              <w14:schemeClr w14:val="tx1"/>
            </w14:solidFill>
          </w14:textFill>
        </w:rPr>
        <w:t>：</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我方收到____________________________（项目名称）的竞争性磋商文件，经详细研究，决定参加该项目的磋商。</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1、愿意按照竞争性磋商文件中的一切要求，提供本项目的所需服务，初始报价为人民币大写：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元整；人民币小写：</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元。以我公司最后报价为准。</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2、我方现提交的响应文件为：响应文件正本</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份，副本</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份，电子文档</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份。</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3、我方承诺：本次磋商的有效期为90天。</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7、我方同意按竞争性磋商文件规定，交纳竞争性磋商文件要求的磋商保证金。如果我方成为成交供应商，保证在接到成交通知书后，向采购代理机构缴纳竞争性磋商文件规定的采购代理服务费。</w:t>
      </w: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8、</w:t>
      </w:r>
      <w:r>
        <w:rPr>
          <w:rFonts w:hint="eastAsia" w:ascii="微软雅黑" w:hAnsi="微软雅黑" w:eastAsia="微软雅黑" w:cs="微软雅黑"/>
          <w:color w:val="000000" w:themeColor="text1"/>
          <w:sz w:val="24"/>
          <w:szCs w:val="28"/>
          <w14:textFill>
            <w14:solidFill>
              <w14:schemeClr w14:val="tx1"/>
            </w14:solidFill>
          </w14:textFill>
        </w:rPr>
        <w:t>我方未</w:t>
      </w:r>
      <w:r>
        <w:rPr>
          <w:rFonts w:hint="eastAsia" w:ascii="微软雅黑" w:hAnsi="微软雅黑" w:eastAsia="微软雅黑" w:cs="微软雅黑"/>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供应商（公章）：</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地址：  </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电话：                                             传真：</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网址：                                             邮编：</w:t>
      </w:r>
    </w:p>
    <w:p>
      <w:pPr>
        <w:tabs>
          <w:tab w:val="left" w:pos="6300"/>
        </w:tabs>
        <w:snapToGrid w:val="0"/>
        <w:spacing w:line="312"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w:t>
      </w:r>
    </w:p>
    <w:p>
      <w:pPr>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rtlGutter w:val="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 xml:space="preserve">                                                  年   月   日</w:t>
      </w:r>
    </w:p>
    <w:p>
      <w:pPr>
        <w:tabs>
          <w:tab w:val="left" w:pos="6300"/>
        </w:tabs>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（二）分项报价明细表</w:t>
      </w:r>
    </w:p>
    <w:p>
      <w:pPr>
        <w:tabs>
          <w:tab w:val="left" w:pos="6300"/>
        </w:tabs>
        <w:snapToGrid w:val="0"/>
        <w:spacing w:line="480" w:lineRule="exact"/>
        <w:jc w:val="center"/>
        <w:rPr>
          <w:rFonts w:ascii="微软雅黑" w:hAnsi="微软雅黑" w:eastAsia="微软雅黑" w:cs="微软雅黑"/>
          <w:b/>
          <w:bCs/>
          <w:color w:val="000000" w:themeColor="text1"/>
          <w:szCs w:val="28"/>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分项报价明细表</w:t>
      </w:r>
    </w:p>
    <w:p>
      <w:pPr>
        <w:tabs>
          <w:tab w:val="left" w:pos="6300"/>
        </w:tabs>
        <w:snapToGrid w:val="0"/>
        <w:spacing w:line="360" w:lineRule="auto"/>
        <w:ind w:firstLine="570"/>
        <w:rPr>
          <w:rFonts w:ascii="微软雅黑" w:hAnsi="微软雅黑" w:eastAsia="微软雅黑" w:cs="微软雅黑"/>
          <w:color w:val="000000" w:themeColor="text1"/>
          <w:sz w:val="24"/>
          <w:szCs w:val="24"/>
          <w14:textFill>
            <w14:solidFill>
              <w14:schemeClr w14:val="tx1"/>
            </w14:solidFill>
          </w14:textFill>
        </w:rPr>
      </w:pPr>
    </w:p>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项目编号：                                           单位：人民币/元</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序号</w:t>
            </w:r>
          </w:p>
        </w:tc>
        <w:tc>
          <w:tcPr>
            <w:tcW w:w="1557"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名称</w:t>
            </w:r>
          </w:p>
        </w:tc>
        <w:tc>
          <w:tcPr>
            <w:tcW w:w="3127"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相关信息</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数量</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单价</w:t>
            </w:r>
          </w:p>
        </w:tc>
        <w:tc>
          <w:tcPr>
            <w:tcW w:w="1235" w:type="dxa"/>
            <w:vAlign w:val="center"/>
          </w:tcPr>
          <w:p>
            <w:pPr>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56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其他费用</w:t>
            </w: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3127"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w:t>
            </w: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c>
          <w:tcPr>
            <w:tcW w:w="1235" w:type="dxa"/>
          </w:tcPr>
          <w:p>
            <w:pPr>
              <w:jc w:val="center"/>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980" w:hanging="420"/>
              <w:outlineLvl w:val="0"/>
              <w:rPr>
                <w:rFonts w:ascii="微软雅黑" w:hAnsi="微软雅黑" w:eastAsia="微软雅黑" w:cs="微软雅黑"/>
                <w:color w:val="000000" w:themeColor="text1"/>
                <w:sz w:val="21"/>
                <w:szCs w:val="21"/>
                <w14:textFill>
                  <w14:solidFill>
                    <w14:schemeClr w14:val="tx1"/>
                  </w14:solidFill>
                </w14:textFill>
              </w:rPr>
            </w:pPr>
          </w:p>
        </w:tc>
        <w:tc>
          <w:tcPr>
            <w:tcW w:w="1557" w:type="dxa"/>
            <w:vAlign w:val="center"/>
          </w:tcPr>
          <w:p>
            <w:pPr>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总计</w:t>
            </w:r>
          </w:p>
        </w:tc>
        <w:tc>
          <w:tcPr>
            <w:tcW w:w="6832" w:type="dxa"/>
            <w:gridSpan w:val="4"/>
          </w:tcPr>
          <w:p>
            <w:pPr>
              <w:rPr>
                <w:rFonts w:ascii="微软雅黑" w:hAnsi="微软雅黑" w:eastAsia="微软雅黑" w:cs="微软雅黑"/>
                <w:color w:val="000000" w:themeColor="text1"/>
                <w:sz w:val="21"/>
                <w:szCs w:val="21"/>
                <w14:textFill>
                  <w14:solidFill>
                    <w14:schemeClr w14:val="tx1"/>
                  </w14:solidFill>
                </w14:textFill>
              </w:rPr>
            </w:pPr>
          </w:p>
        </w:tc>
      </w:tr>
    </w:tbl>
    <w:p>
      <w:pPr>
        <w:tabs>
          <w:tab w:val="left" w:pos="6300"/>
        </w:tabs>
        <w:snapToGrid w:val="0"/>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p>
    <w:p>
      <w:pPr>
        <w:pStyle w:val="37"/>
        <w:spacing w:line="360" w:lineRule="auto"/>
        <w:rPr>
          <w:rFonts w:ascii="微软雅黑" w:hAnsi="微软雅黑" w:eastAsia="微软雅黑" w:cs="微软雅黑"/>
          <w:color w:val="000000" w:themeColor="text1"/>
          <w:sz w:val="24"/>
          <w:szCs w:val="24"/>
          <w14:textFill>
            <w14:solidFill>
              <w14:schemeClr w14:val="tx1"/>
            </w14:solidFill>
          </w14:textFill>
        </w:rPr>
      </w:pPr>
    </w:p>
    <w:p>
      <w:pPr>
        <w:pStyle w:val="37"/>
        <w:spacing w:line="360" w:lineRule="auto"/>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pPr>
        <w:spacing w:line="360" w:lineRule="auto"/>
        <w:ind w:right="480" w:firstLine="6480" w:firstLineChars="27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pPr>
        <w:snapToGrid w:val="0"/>
        <w:spacing w:line="360" w:lineRule="auto"/>
        <w:ind w:firstLine="480" w:firstLineChars="200"/>
        <w:rPr>
          <w:rFonts w:ascii="微软雅黑" w:hAnsi="微软雅黑" w:eastAsia="微软雅黑" w:cs="微软雅黑"/>
          <w:color w:val="000000" w:themeColor="text1"/>
          <w:sz w:val="24"/>
          <w:szCs w:val="24"/>
          <w:bdr w:val="single" w:color="auto" w:sz="4" w:space="0"/>
          <w14:textFill>
            <w14:solidFill>
              <w14:schemeClr w14:val="tx1"/>
            </w14:solidFill>
          </w14:textFill>
        </w:rPr>
        <w:sectPr>
          <w:headerReference r:id="rId14" w:type="default"/>
          <w:pgSz w:w="11907" w:h="16840"/>
          <w:pgMar w:top="1134" w:right="1191" w:bottom="1134" w:left="1304" w:header="851" w:footer="992" w:gutter="0"/>
          <w:pgNumType w:fmt="numberInDash"/>
          <w:cols w:space="720" w:num="1"/>
          <w:rtlGutter w:val="1"/>
          <w:docGrid w:linePitch="380" w:charSpace="-5735"/>
        </w:sectPr>
      </w:pPr>
    </w:p>
    <w:p>
      <w:pPr>
        <w:pStyle w:val="5"/>
        <w:spacing w:before="0" w:after="0" w:line="440" w:lineRule="exact"/>
        <w:rPr>
          <w:rFonts w:ascii="微软雅黑" w:hAnsi="微软雅黑" w:eastAsia="微软雅黑" w:cs="微软雅黑"/>
          <w:color w:val="000000" w:themeColor="text1"/>
          <w:sz w:val="24"/>
          <w:szCs w:val="24"/>
          <w14:textFill>
            <w14:solidFill>
              <w14:schemeClr w14:val="tx1"/>
            </w14:solidFill>
          </w14:textFill>
        </w:rPr>
      </w:pPr>
      <w:bookmarkStart w:id="125" w:name="_Toc313888361"/>
      <w:bookmarkStart w:id="126" w:name="_Toc499576265"/>
      <w:bookmarkStart w:id="127" w:name="_Toc28589"/>
      <w:bookmarkStart w:id="128" w:name="_Toc313008357"/>
      <w:bookmarkStart w:id="129" w:name="_Toc7997"/>
      <w:bookmarkStart w:id="130" w:name="_Toc342913420"/>
      <w:r>
        <w:rPr>
          <w:rFonts w:hint="eastAsia" w:ascii="微软雅黑" w:hAnsi="微软雅黑" w:eastAsia="微软雅黑" w:cs="微软雅黑"/>
          <w:color w:val="000000" w:themeColor="text1"/>
          <w:sz w:val="24"/>
          <w:szCs w:val="24"/>
          <w14:textFill>
            <w14:solidFill>
              <w14:schemeClr w14:val="tx1"/>
            </w14:solidFill>
          </w14:textFill>
        </w:rPr>
        <w:t>二、服务部分</w:t>
      </w:r>
      <w:bookmarkEnd w:id="125"/>
      <w:bookmarkEnd w:id="126"/>
      <w:bookmarkEnd w:id="127"/>
      <w:bookmarkEnd w:id="128"/>
      <w:bookmarkEnd w:id="129"/>
      <w:bookmarkEnd w:id="130"/>
    </w:p>
    <w:p>
      <w:pPr>
        <w:snapToGrid w:val="0"/>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（一）服务方案（格式自定）</w:t>
      </w:r>
    </w:p>
    <w:p>
      <w:pPr>
        <w:tabs>
          <w:tab w:val="left" w:pos="6300"/>
        </w:tabs>
        <w:snapToGrid w:val="0"/>
        <w:spacing w:line="500" w:lineRule="exact"/>
        <w:rPr>
          <w:rFonts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（二）服务响应偏离表</w:t>
      </w:r>
    </w:p>
    <w:p>
      <w:pPr>
        <w:pStyle w:val="32"/>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采购项目名称：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序号</w:t>
            </w: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服务需求</w:t>
            </w: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响应情况</w:t>
            </w: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color w:val="000000" w:themeColor="text1"/>
                <w:sz w:val="21"/>
                <w:szCs w:val="21"/>
                <w14:textFill>
                  <w14:solidFill>
                    <w14:schemeClr w14:val="tx1"/>
                  </w14:solidFill>
                </w14:textFill>
              </w:rPr>
            </w:pPr>
          </w:p>
        </w:tc>
      </w:tr>
    </w:tbl>
    <w:p>
      <w:pPr>
        <w:spacing w:line="500" w:lineRule="exact"/>
        <w:ind w:firstLine="600" w:firstLineChars="2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ascii="微软雅黑" w:hAnsi="微软雅黑" w:eastAsia="微软雅黑" w:cs="微软雅黑"/>
          <w:color w:val="000000" w:themeColor="text1"/>
          <w:sz w:val="24"/>
          <w:szCs w:val="28"/>
          <w14:textFill>
            <w14:solidFill>
              <w14:schemeClr w14:val="tx1"/>
            </w14:solidFill>
          </w14:textFill>
        </w:rPr>
      </w:pPr>
    </w:p>
    <w:p>
      <w:pPr>
        <w:spacing w:line="500" w:lineRule="exact"/>
        <w:ind w:firstLine="720" w:firstLineChars="30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、本表即为对本项目“第二篇  采购服务需求”中所列服务需求进行比较和响应；</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该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3、该表可扩展</w:t>
      </w:r>
      <w:r>
        <w:rPr>
          <w:rFonts w:hint="eastAsia" w:ascii="微软雅黑" w:hAnsi="微软雅黑" w:eastAsia="微软雅黑" w:cs="微软雅黑"/>
          <w:color w:val="000000" w:themeColor="text1"/>
          <w:sz w:val="24"/>
          <w:szCs w:val="28"/>
          <w14:textFill>
            <w14:solidFill>
              <w14:schemeClr w14:val="tx1"/>
            </w14:solidFill>
          </w14:textFill>
        </w:rPr>
        <w:t>，并逐页签字或盖章</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4、可附相关支撑材料。（格式自定）</w:t>
      </w:r>
    </w:p>
    <w:p>
      <w:pPr>
        <w:pStyle w:val="5"/>
        <w:spacing w:before="0" w:after="0"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val="0"/>
          <w:color w:val="000000" w:themeColor="text1"/>
          <w14:textFill>
            <w14:solidFill>
              <w14:schemeClr w14:val="tx1"/>
            </w14:solidFill>
          </w14:textFill>
        </w:rPr>
        <w:br w:type="page"/>
      </w:r>
      <w:bookmarkStart w:id="131" w:name="_Toc342913421"/>
      <w:bookmarkStart w:id="132" w:name="_Toc313008358"/>
      <w:bookmarkStart w:id="133" w:name="_Toc313888362"/>
      <w:bookmarkStart w:id="134" w:name="_Toc17833"/>
      <w:bookmarkStart w:id="135" w:name="_Toc499576266"/>
      <w:bookmarkStart w:id="136" w:name="_Toc1871"/>
      <w:r>
        <w:rPr>
          <w:rFonts w:hint="eastAsia" w:ascii="微软雅黑" w:hAnsi="微软雅黑" w:eastAsia="微软雅黑" w:cs="微软雅黑"/>
          <w:color w:val="000000" w:themeColor="text1"/>
          <w:sz w:val="24"/>
          <w:szCs w:val="24"/>
          <w14:textFill>
            <w14:solidFill>
              <w14:schemeClr w14:val="tx1"/>
            </w14:solidFill>
          </w14:textFill>
        </w:rPr>
        <w:t>三、商务部分</w:t>
      </w:r>
      <w:bookmarkEnd w:id="131"/>
      <w:bookmarkEnd w:id="132"/>
      <w:bookmarkEnd w:id="133"/>
      <w:bookmarkEnd w:id="134"/>
      <w:bookmarkEnd w:id="135"/>
      <w:bookmarkEnd w:id="136"/>
    </w:p>
    <w:p>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（一）商务要求响应情况：</w:t>
      </w:r>
      <w:bookmarkStart w:id="137" w:name="_Toc283382459"/>
      <w:r>
        <w:rPr>
          <w:rFonts w:hint="eastAsia" w:ascii="微软雅黑" w:hAnsi="微软雅黑" w:eastAsia="微软雅黑" w:cs="微软雅黑"/>
          <w:color w:val="000000" w:themeColor="text1"/>
          <w:sz w:val="24"/>
          <w:szCs w:val="24"/>
          <w:lang w:val="en-US" w:eastAsia="zh-CN"/>
          <w14:textFill>
            <w14:solidFill>
              <w14:schemeClr w14:val="tx1"/>
            </w14:solidFill>
          </w14:textFill>
        </w:rPr>
        <w:t>运维服务期</w:t>
      </w:r>
      <w:r>
        <w:rPr>
          <w:rFonts w:hint="eastAsia" w:ascii="微软雅黑" w:hAnsi="微软雅黑" w:eastAsia="微软雅黑" w:cs="微软雅黑"/>
          <w:color w:val="000000" w:themeColor="text1"/>
          <w:sz w:val="24"/>
          <w:szCs w:val="24"/>
          <w14:textFill>
            <w14:solidFill>
              <w14:schemeClr w14:val="tx1"/>
            </w14:solidFill>
          </w14:textFill>
        </w:rPr>
        <w:t>、服务地点及验收方式等（格式自定）</w:t>
      </w:r>
    </w:p>
    <w:p>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（二）商务响应偏离表</w:t>
      </w:r>
    </w:p>
    <w:p>
      <w:pPr>
        <w:snapToGrid w:val="0"/>
        <w:spacing w:line="360" w:lineRule="auto"/>
        <w:jc w:val="center"/>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商务响应偏离表（本表可自行设计格式）</w:t>
      </w:r>
    </w:p>
    <w:p>
      <w:pPr>
        <w:snapToGrid w:val="0"/>
        <w:spacing w:line="360" w:lineRule="auto"/>
        <w:ind w:firstLine="465"/>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磋商项目商务需求</w:t>
            </w: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r>
              <w:rPr>
                <w:rFonts w:hint="eastAsia" w:ascii="微软雅黑" w:hAnsi="微软雅黑" w:eastAsia="微软雅黑" w:cs="微软雅黑"/>
                <w:color w:val="000000" w:themeColor="text1"/>
                <w:sz w:val="21"/>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color w:val="000000" w:themeColor="text1"/>
                <w:sz w:val="21"/>
                <w:szCs w:val="24"/>
                <w14:textFill>
                  <w14:solidFill>
                    <w14:schemeClr w14:val="tx1"/>
                  </w14:solidFill>
                </w14:textFill>
              </w:rPr>
            </w:pPr>
          </w:p>
        </w:tc>
      </w:tr>
    </w:tbl>
    <w:p>
      <w:pPr>
        <w:snapToGrid w:val="0"/>
        <w:spacing w:line="360" w:lineRule="auto"/>
        <w:ind w:firstLine="465"/>
        <w:rPr>
          <w:rFonts w:ascii="微软雅黑" w:hAnsi="微软雅黑" w:eastAsia="微软雅黑" w:cs="微软雅黑"/>
          <w:color w:val="000000" w:themeColor="text1"/>
          <w:sz w:val="24"/>
          <w:szCs w:val="24"/>
          <w14:textFill>
            <w14:solidFill>
              <w14:schemeClr w14:val="tx1"/>
            </w14:solidFill>
          </w14:textFill>
        </w:rPr>
      </w:pPr>
    </w:p>
    <w:p>
      <w:pPr>
        <w:spacing w:line="500" w:lineRule="exact"/>
        <w:ind w:firstLine="600" w:firstLineChars="2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                                      法定代表人授权代表：</w:t>
      </w:r>
    </w:p>
    <w:p>
      <w:pPr>
        <w:spacing w:line="500" w:lineRule="exact"/>
        <w:rPr>
          <w:rFonts w:ascii="微软雅黑" w:hAnsi="微软雅黑" w:eastAsia="微软雅黑" w:cs="微软雅黑"/>
          <w:color w:val="000000" w:themeColor="text1"/>
          <w:sz w:val="24"/>
          <w:szCs w:val="28"/>
          <w14:textFill>
            <w14:solidFill>
              <w14:schemeClr w14:val="tx1"/>
            </w14:solidFill>
          </w14:textFill>
        </w:rPr>
      </w:pPr>
    </w:p>
    <w:p>
      <w:pPr>
        <w:spacing w:line="500" w:lineRule="exact"/>
        <w:ind w:firstLine="360" w:firstLineChars="15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（供应商公章）                                 （签字或盖章）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 xml:space="preserve">                                            年     月     日</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、本表即为对本项目“第三篇 采购商务需求”中所列商务要求进行比较和响应；</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该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3、该表可扩展</w:t>
      </w:r>
      <w:r>
        <w:rPr>
          <w:rFonts w:hint="eastAsia" w:ascii="微软雅黑" w:hAnsi="微软雅黑" w:eastAsia="微软雅黑" w:cs="微软雅黑"/>
          <w:color w:val="000000" w:themeColor="text1"/>
          <w:sz w:val="24"/>
          <w:szCs w:val="28"/>
          <w14:textFill>
            <w14:solidFill>
              <w14:schemeClr w14:val="tx1"/>
            </w14:solidFill>
          </w14:textFill>
        </w:rPr>
        <w:t>，并逐页签字或盖章</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（三）其它优惠承诺（格式自定）</w:t>
      </w:r>
    </w:p>
    <w:p>
      <w:pPr>
        <w:pStyle w:val="5"/>
        <w:spacing w:before="0" w:after="0"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br w:type="page"/>
      </w:r>
      <w:bookmarkEnd w:id="137"/>
      <w:bookmarkStart w:id="138" w:name="_Toc342913422"/>
      <w:bookmarkStart w:id="139" w:name="_Toc313008359"/>
      <w:bookmarkStart w:id="140" w:name="_Toc313888363"/>
      <w:bookmarkStart w:id="141" w:name="_Toc499576267"/>
      <w:bookmarkStart w:id="142" w:name="_Toc16405"/>
      <w:bookmarkStart w:id="143" w:name="_Toc29768"/>
      <w:r>
        <w:rPr>
          <w:rFonts w:hint="eastAsia" w:ascii="微软雅黑" w:hAnsi="微软雅黑" w:eastAsia="微软雅黑" w:cs="微软雅黑"/>
          <w:color w:val="000000" w:themeColor="text1"/>
          <w:sz w:val="24"/>
          <w:szCs w:val="24"/>
          <w14:textFill>
            <w14:solidFill>
              <w14:schemeClr w14:val="tx1"/>
            </w14:solidFill>
          </w14:textFill>
        </w:rPr>
        <w:t>四、资格条件及其他</w:t>
      </w:r>
      <w:bookmarkEnd w:id="138"/>
      <w:bookmarkEnd w:id="139"/>
      <w:bookmarkEnd w:id="140"/>
      <w:bookmarkEnd w:id="141"/>
      <w:bookmarkEnd w:id="142"/>
      <w:bookmarkEnd w:id="143"/>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（一）营业执照（副本）</w:t>
      </w:r>
      <w:r>
        <w:rPr>
          <w:rFonts w:hint="eastAsia" w:ascii="微软雅黑" w:hAnsi="微软雅黑" w:eastAsia="微软雅黑" w:cs="微软雅黑"/>
          <w:color w:val="000000" w:themeColor="text1"/>
          <w:szCs w:val="28"/>
          <w14:textFill>
            <w14:solidFill>
              <w14:schemeClr w14:val="tx1"/>
            </w14:solidFill>
          </w14:textFill>
        </w:rPr>
        <w:t>或事业单位法人证书（副本）</w:t>
      </w:r>
      <w:r>
        <w:rPr>
          <w:rFonts w:hint="eastAsia" w:ascii="微软雅黑" w:hAnsi="微软雅黑" w:eastAsia="微软雅黑" w:cs="微软雅黑"/>
          <w:color w:val="000000" w:themeColor="text1"/>
          <w14:textFill>
            <w14:solidFill>
              <w14:schemeClr w14:val="tx1"/>
            </w14:solidFill>
          </w14:textFill>
        </w:rPr>
        <w:t>复印件</w:t>
      </w: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（二）组织机构代码证复印件</w:t>
      </w: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p>
    <w:p>
      <w:pPr>
        <w:widowControl/>
        <w:ind w:firstLine="560" w:firstLineChars="20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（三）法定代表人身份证明书（格式）</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w:t>
      </w:r>
      <w:r>
        <w:rPr>
          <w:rFonts w:hint="eastAsia" w:ascii="微软雅黑" w:hAnsi="微软雅黑" w:eastAsia="微软雅黑" w:cs="微软雅黑"/>
          <w:color w:val="000000" w:themeColor="text1"/>
          <w:sz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u w:val="single"/>
          <w14:textFill>
            <w14:solidFill>
              <w14:schemeClr w14:val="tx1"/>
            </w14:solidFill>
          </w14:textFill>
        </w:rPr>
        <w:t>（法定代表人姓名）</w:t>
      </w:r>
      <w:r>
        <w:rPr>
          <w:rFonts w:hint="eastAsia" w:ascii="微软雅黑" w:hAnsi="微软雅黑" w:eastAsia="微软雅黑" w:cs="微软雅黑"/>
          <w:color w:val="000000" w:themeColor="text1"/>
          <w:sz w:val="24"/>
          <w14:textFill>
            <w14:solidFill>
              <w14:schemeClr w14:val="tx1"/>
            </w14:solidFill>
          </w14:textFill>
        </w:rPr>
        <w:t>在</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任</w:t>
      </w:r>
      <w:r>
        <w:rPr>
          <w:rFonts w:hint="eastAsia" w:ascii="微软雅黑" w:hAnsi="微软雅黑" w:eastAsia="微软雅黑" w:cs="微软雅黑"/>
          <w:color w:val="000000" w:themeColor="text1"/>
          <w:sz w:val="24"/>
          <w:u w:val="single"/>
          <w14:textFill>
            <w14:solidFill>
              <w14:schemeClr w14:val="tx1"/>
            </w14:solidFill>
          </w14:textFill>
        </w:rPr>
        <w:t>（职务名称）</w:t>
      </w:r>
      <w:r>
        <w:rPr>
          <w:rFonts w:hint="eastAsia" w:ascii="微软雅黑" w:hAnsi="微软雅黑" w:eastAsia="微软雅黑" w:cs="微软雅黑"/>
          <w:color w:val="000000" w:themeColor="text1"/>
          <w:sz w:val="24"/>
          <w14:textFill>
            <w14:solidFill>
              <w14:schemeClr w14:val="tx1"/>
            </w14:solidFill>
          </w14:textFill>
        </w:rPr>
        <w:t>职务，是</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的法定代表人。</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特此证明。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（供应商公章）</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年   月   日</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column"/>
      </w:r>
      <w:r>
        <w:rPr>
          <w:rFonts w:hint="eastAsia" w:ascii="微软雅黑" w:hAnsi="微软雅黑" w:eastAsia="微软雅黑" w:cs="微软雅黑"/>
          <w:color w:val="000000" w:themeColor="text1"/>
          <w14:textFill>
            <w14:solidFill>
              <w14:schemeClr w14:val="tx1"/>
            </w14:solidFill>
          </w14:textFill>
        </w:rPr>
        <w:t>（四）法定代表人授权委托书（格式）</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w:t>
      </w:r>
      <w:r>
        <w:rPr>
          <w:rFonts w:hint="eastAsia" w:ascii="微软雅黑" w:hAnsi="微软雅黑" w:eastAsia="微软雅黑" w:cs="微软雅黑"/>
          <w:color w:val="000000" w:themeColor="text1"/>
          <w:sz w:val="24"/>
          <w:u w:val="single"/>
          <w14:textFill>
            <w14:solidFill>
              <w14:schemeClr w14:val="tx1"/>
            </w14:solidFill>
          </w14:textFill>
        </w:rPr>
        <w:t>（采购代理机构名称）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u w:val="single"/>
          <w14:textFill>
            <w14:solidFill>
              <w14:schemeClr w14:val="tx1"/>
            </w14:solidFill>
          </w14:textFill>
        </w:rPr>
        <w:t>（供应商法定代表人名称）</w:t>
      </w:r>
      <w:r>
        <w:rPr>
          <w:rFonts w:hint="eastAsia" w:ascii="微软雅黑" w:hAnsi="微软雅黑" w:eastAsia="微软雅黑" w:cs="微软雅黑"/>
          <w:color w:val="000000" w:themeColor="text1"/>
          <w:sz w:val="24"/>
          <w14:textFill>
            <w14:solidFill>
              <w14:schemeClr w14:val="tx1"/>
            </w14:solidFill>
          </w14:textFill>
        </w:rPr>
        <w:t>是</w:t>
      </w:r>
      <w:r>
        <w:rPr>
          <w:rFonts w:hint="eastAsia" w:ascii="微软雅黑" w:hAnsi="微软雅黑" w:eastAsia="微软雅黑" w:cs="微软雅黑"/>
          <w:color w:val="000000" w:themeColor="text1"/>
          <w:sz w:val="24"/>
          <w:u w:val="single"/>
          <w14:textFill>
            <w14:solidFill>
              <w14:schemeClr w14:val="tx1"/>
            </w14:solidFill>
          </w14:textFill>
        </w:rPr>
        <w:t>（供应商名称）</w:t>
      </w:r>
      <w:r>
        <w:rPr>
          <w:rFonts w:hint="eastAsia" w:ascii="微软雅黑" w:hAnsi="微软雅黑" w:eastAsia="微软雅黑" w:cs="微软雅黑"/>
          <w:color w:val="000000" w:themeColor="text1"/>
          <w:sz w:val="24"/>
          <w14:textFill>
            <w14:solidFill>
              <w14:schemeClr w14:val="tx1"/>
            </w14:solidFill>
          </w14:textFill>
        </w:rPr>
        <w:t>的法定代表人，特授权（</w:t>
      </w:r>
      <w:r>
        <w:rPr>
          <w:rFonts w:hint="eastAsia" w:ascii="微软雅黑" w:hAnsi="微软雅黑" w:eastAsia="微软雅黑" w:cs="微软雅黑"/>
          <w:color w:val="000000" w:themeColor="text1"/>
          <w:sz w:val="24"/>
          <w:u w:val="single"/>
          <w14:textFill>
            <w14:solidFill>
              <w14:schemeClr w14:val="tx1"/>
            </w14:solidFill>
          </w14:textFill>
        </w:rPr>
        <w:t>被授权人姓名及身份证代码）</w:t>
      </w:r>
      <w:r>
        <w:rPr>
          <w:rFonts w:hint="eastAsia" w:ascii="微软雅黑" w:hAnsi="微软雅黑" w:eastAsia="微软雅黑" w:cs="微软雅黑"/>
          <w:color w:val="000000" w:themeColor="text1"/>
          <w:sz w:val="24"/>
          <w14:textFill>
            <w14:solidFill>
              <w14:schemeClr w14:val="tx1"/>
            </w14:solidFill>
          </w14:textFill>
        </w:rPr>
        <w:t>代表我单位全权办理上述项目的磋商、签约等具体工作，并签署全部有关文件、协议及合同。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570"/>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（签字或盖章）                                （签字或盖章）</w:t>
      </w:r>
    </w:p>
    <w:p>
      <w:pPr>
        <w:tabs>
          <w:tab w:val="left" w:pos="6300"/>
        </w:tabs>
        <w:snapToGrid w:val="0"/>
        <w:spacing w:line="500" w:lineRule="exact"/>
        <w:ind w:firstLine="570"/>
        <w:rPr>
          <w:rFonts w:ascii="微软雅黑" w:hAnsi="微软雅黑" w:eastAsia="微软雅黑" w:cs="微软雅黑"/>
          <w:color w:val="000000" w:themeColor="text1"/>
          <w:sz w:val="24"/>
          <w:szCs w:val="28"/>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年   月   日</w:t>
      </w: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（五）2019或2020年度财务状况报告（表）复印件，本年度新成立或成立不满一年的组织和自然人无法提供财务状况报告（表）的，可提供银行出具的资信证明复印件。</w:t>
      </w: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（六）书面声明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项目名称</w:t>
      </w:r>
      <w:r>
        <w:rPr>
          <w:rFonts w:hint="eastAsia" w:ascii="微软雅黑" w:hAnsi="微软雅黑" w:eastAsia="微软雅黑" w:cs="微软雅黑"/>
          <w:color w:val="000000" w:themeColor="text1"/>
          <w:sz w:val="24"/>
          <w14:textFill>
            <w14:solidFill>
              <w14:schemeClr w14:val="tx1"/>
            </w14:solidFill>
          </w14:textFill>
        </w:rPr>
        <w:t>：</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致：（采购代理机构名称）：</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特此声明。</w:t>
      </w:r>
    </w:p>
    <w:p>
      <w:pPr>
        <w:tabs>
          <w:tab w:val="left" w:pos="6300"/>
        </w:tabs>
        <w:snapToGrid w:val="0"/>
        <w:spacing w:line="500" w:lineRule="exact"/>
        <w:ind w:firstLine="57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24"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年   月   日</w:t>
      </w: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微软雅黑" w:hAnsi="微软雅黑" w:eastAsia="微软雅黑" w:cs="微软雅黑"/>
          <w:color w:val="000000" w:themeColor="text1"/>
          <w:sz w:val="24"/>
          <w14:textFill>
            <w14:solidFill>
              <w14:schemeClr w14:val="tx1"/>
            </w14:solidFill>
          </w14:textFill>
        </w:rPr>
      </w:pPr>
    </w:p>
    <w:p>
      <w:pPr>
        <w:numPr>
          <w:ilvl w:val="0"/>
          <w:numId w:val="4"/>
        </w:num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税务登记证（副本）复印件</w:t>
      </w:r>
    </w:p>
    <w:p>
      <w:pPr>
        <w:numPr>
          <w:ilvl w:val="0"/>
          <w:numId w:val="4"/>
        </w:num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缴纳社会保障金的证明材料复印件</w:t>
      </w: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56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（九）特定资格条件证书或证明文件（本项目无）</w:t>
      </w:r>
    </w:p>
    <w:p>
      <w:pPr>
        <w:tabs>
          <w:tab w:val="left" w:pos="6300"/>
        </w:tabs>
        <w:snapToGrid w:val="0"/>
        <w:spacing w:line="360" w:lineRule="auto"/>
        <w:ind w:firstLine="560" w:firstLineChars="200"/>
        <w:rPr>
          <w:rFonts w:ascii="微软雅黑" w:hAnsi="微软雅黑" w:eastAsia="微软雅黑" w:cs="微软雅黑"/>
          <w:color w:val="000000" w:themeColor="text1"/>
          <w14:textFill>
            <w14:solidFill>
              <w14:schemeClr w14:val="tx1"/>
            </w14:solidFill>
          </w14:textFill>
        </w:rPr>
      </w:pPr>
    </w:p>
    <w:p>
      <w:pPr>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说明：</w:t>
      </w:r>
      <w:bookmarkStart w:id="144" w:name="_Toc14422"/>
      <w:bookmarkStart w:id="145" w:name="_Toc499576268"/>
      <w:r>
        <w:rPr>
          <w:rFonts w:hint="eastAsia" w:ascii="微软雅黑" w:hAnsi="微软雅黑" w:eastAsia="微软雅黑" w:cs="微软雅黑"/>
          <w:color w:val="000000" w:themeColor="text1"/>
          <w:sz w:val="24"/>
          <w:szCs w:val="24"/>
          <w14:textFill>
            <w14:solidFill>
              <w14:schemeClr w14:val="tx1"/>
            </w14:solidFill>
          </w14:textFill>
        </w:rPr>
        <w:t>供应商按“多证合一”登记制度办理营业执照的，组织机构代码证、税务登记证（副本）和社会保险登记证以供应商所提供的营业执照（副本）复印件为准。</w:t>
      </w: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5"/>
        <w:spacing w:before="0" w:after="0" w:line="360" w:lineRule="auto"/>
        <w:rPr>
          <w:rFonts w:ascii="微软雅黑" w:hAnsi="微软雅黑" w:eastAsia="微软雅黑" w:cs="微软雅黑"/>
          <w:color w:val="000000" w:themeColor="text1"/>
          <w:sz w:val="24"/>
          <w:szCs w:val="24"/>
          <w14:textFill>
            <w14:solidFill>
              <w14:schemeClr w14:val="tx1"/>
            </w14:solidFill>
          </w14:textFill>
        </w:rPr>
      </w:pPr>
      <w:bookmarkStart w:id="146" w:name="_Toc21698"/>
      <w:bookmarkStart w:id="147" w:name="_Toc28583"/>
      <w:r>
        <w:rPr>
          <w:rFonts w:hint="eastAsia" w:ascii="微软雅黑" w:hAnsi="微软雅黑" w:eastAsia="微软雅黑" w:cs="微软雅黑"/>
          <w:color w:val="000000" w:themeColor="text1"/>
          <w:sz w:val="24"/>
          <w:szCs w:val="24"/>
          <w14:textFill>
            <w14:solidFill>
              <w14:schemeClr w14:val="tx1"/>
            </w14:solidFill>
          </w14:textFill>
        </w:rPr>
        <w:t>五、其他应提供的资料</w:t>
      </w:r>
      <w:bookmarkEnd w:id="144"/>
      <w:bookmarkEnd w:id="145"/>
      <w:bookmarkEnd w:id="146"/>
      <w:bookmarkEnd w:id="147"/>
    </w:p>
    <w:p>
      <w:pPr>
        <w:tabs>
          <w:tab w:val="left" w:pos="6300"/>
        </w:tabs>
        <w:snapToGrid w:val="0"/>
        <w:spacing w:line="500" w:lineRule="exact"/>
        <w:outlineLvl w:val="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（一）供应商中小微企业声明函、监狱企业证明文件、残疾人福利性单位声明函</w:t>
      </w:r>
    </w:p>
    <w:p>
      <w:pPr>
        <w:snapToGrid w:val="0"/>
        <w:spacing w:line="500" w:lineRule="exact"/>
        <w:ind w:firstLine="560" w:firstLineChars="200"/>
        <w:jc w:val="center"/>
        <w:rPr>
          <w:rFonts w:ascii="宋体" w:hAnsi="宋体" w:cs="宋体"/>
          <w:color w:val="000000" w:themeColor="text1"/>
          <w14:textFill>
            <w14:solidFill>
              <w14:schemeClr w14:val="tx1"/>
            </w14:solidFill>
          </w14:textFill>
        </w:rPr>
      </w:pPr>
    </w:p>
    <w:p>
      <w:pPr>
        <w:snapToGrid w:val="0"/>
        <w:spacing w:line="500" w:lineRule="exact"/>
        <w:ind w:firstLine="560" w:firstLineChars="200"/>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中小企业声明函</w:t>
      </w:r>
    </w:p>
    <w:p>
      <w:pPr>
        <w:pStyle w:val="2"/>
        <w:rPr>
          <w:rFonts w:hint="eastAsia"/>
        </w:rPr>
      </w:pPr>
    </w:p>
    <w:p>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本公司（联合体）郑重声明，根据《政府采购促进中小企业发展管理办法》（财库﹝2020﹞4 6号）的规定，本公司（联合体）参加</w:t>
      </w:r>
      <w:r>
        <w:rPr>
          <w:rFonts w:hint="eastAsia" w:ascii="微软雅黑" w:hAnsi="微软雅黑" w:eastAsia="微软雅黑" w:cs="微软雅黑"/>
          <w:color w:val="000000" w:themeColor="text1"/>
          <w:sz w:val="24"/>
          <w:szCs w:val="24"/>
          <w:u w:val="single" w:color="000000"/>
          <w14:textFill>
            <w14:solidFill>
              <w14:schemeClr w14:val="tx1"/>
            </w14:solidFill>
          </w14:textFill>
        </w:rPr>
        <w:t>(单位名称)</w:t>
      </w:r>
      <w:r>
        <w:rPr>
          <w:rFonts w:hint="eastAsia" w:ascii="微软雅黑" w:hAnsi="微软雅黑" w:eastAsia="微软雅黑" w:cs="微软雅黑"/>
          <w:color w:val="000000" w:themeColor="text1"/>
          <w:sz w:val="24"/>
          <w:szCs w:val="24"/>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400" w:lineRule="exact"/>
        <w:ind w:firstLine="480" w:firstLineChars="200"/>
        <w:rPr>
          <w:rFonts w:hint="eastAsia" w:ascii="微软雅黑" w:hAnsi="微软雅黑" w:eastAsia="微软雅黑" w:cs="微软雅黑"/>
          <w:color w:val="000000" w:themeColor="text1"/>
          <w:sz w:val="24"/>
          <w:szCs w:val="24"/>
          <w:u w:val="single" w:color="00000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1. </w:t>
      </w:r>
      <w:r>
        <w:rPr>
          <w:rFonts w:hint="eastAsia" w:ascii="微软雅黑" w:hAnsi="微软雅黑" w:eastAsia="微软雅黑" w:cs="微软雅黑"/>
          <w:color w:val="000000" w:themeColor="text1"/>
          <w:sz w:val="24"/>
          <w:szCs w:val="24"/>
          <w:u w:val="single"/>
          <w14:textFill>
            <w14:solidFill>
              <w14:schemeClr w14:val="tx1"/>
            </w14:solidFill>
          </w14:textFill>
        </w:rPr>
        <w:t>（标的名称）</w:t>
      </w:r>
      <w:r>
        <w:rPr>
          <w:rFonts w:hint="eastAsia" w:ascii="微软雅黑" w:hAnsi="微软雅黑" w:eastAsia="微软雅黑" w:cs="微软雅黑"/>
          <w:color w:val="000000" w:themeColor="text1"/>
          <w:sz w:val="24"/>
          <w:szCs w:val="24"/>
          <w14:textFill>
            <w14:solidFill>
              <w14:schemeClr w14:val="tx1"/>
            </w14:solidFill>
          </w14:textFill>
        </w:rPr>
        <w:t>，属于</w:t>
      </w:r>
      <w:r>
        <w:rPr>
          <w:rFonts w:hint="eastAsia" w:ascii="微软雅黑" w:hAnsi="微软雅黑" w:eastAsia="微软雅黑" w:cs="微软雅黑"/>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s="微软雅黑"/>
          <w:color w:val="000000" w:themeColor="text1"/>
          <w:sz w:val="24"/>
          <w:szCs w:val="24"/>
          <w14:textFill>
            <w14:solidFill>
              <w14:schemeClr w14:val="tx1"/>
            </w14:solidFill>
          </w14:textFill>
        </w:rPr>
        <w:t>；承接企业为</w:t>
      </w:r>
      <w:r>
        <w:rPr>
          <w:rFonts w:hint="eastAsia" w:ascii="微软雅黑" w:hAnsi="微软雅黑" w:eastAsia="微软雅黑" w:cs="微软雅黑"/>
          <w:color w:val="000000" w:themeColor="text1"/>
          <w:sz w:val="24"/>
          <w:szCs w:val="24"/>
          <w:u w:val="single" w:color="000000"/>
          <w14:textFill>
            <w14:solidFill>
              <w14:schemeClr w14:val="tx1"/>
            </w14:solidFill>
          </w14:textFill>
        </w:rPr>
        <w:t>(企业名称)</w:t>
      </w:r>
      <w:r>
        <w:rPr>
          <w:rFonts w:hint="eastAsia" w:ascii="微软雅黑" w:hAnsi="微软雅黑" w:eastAsia="微软雅黑" w:cs="微软雅黑"/>
          <w:color w:val="000000" w:themeColor="text1"/>
          <w:sz w:val="24"/>
          <w:szCs w:val="24"/>
          <w14:textFill>
            <w14:solidFill>
              <w14:schemeClr w14:val="tx1"/>
            </w14:solidFill>
          </w14:textFill>
        </w:rPr>
        <w:t>，从业人员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人，营业收入为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万元，资产总额为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万元'，属于</w:t>
      </w:r>
      <w:r>
        <w:rPr>
          <w:rFonts w:hint="eastAsia" w:ascii="微软雅黑" w:hAnsi="微软雅黑" w:eastAsia="微软雅黑" w:cs="微软雅黑"/>
          <w:color w:val="000000" w:themeColor="text1"/>
          <w:sz w:val="24"/>
          <w:szCs w:val="24"/>
          <w:u w:val="single" w:color="000000"/>
          <w14:textFill>
            <w14:solidFill>
              <w14:schemeClr w14:val="tx1"/>
            </w14:solidFill>
          </w14:textFill>
        </w:rPr>
        <w:t>（中型企业、小型企业、微型企业）。</w:t>
      </w:r>
    </w:p>
    <w:p>
      <w:pPr>
        <w:spacing w:line="400" w:lineRule="exact"/>
        <w:ind w:firstLine="480" w:firstLineChars="2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人，其他人员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w:t>
      </w:r>
      <w:r>
        <w:rPr>
          <w:rFonts w:hint="eastAsia" w:ascii="微软雅黑" w:hAnsi="微软雅黑" w:eastAsia="微软雅黑" w:cs="微软雅黑"/>
          <w:b/>
          <w:color w:val="000000" w:themeColor="text1"/>
          <w:sz w:val="24"/>
          <w:szCs w:val="24"/>
          <w14:textFill>
            <w14:solidFill>
              <w14:schemeClr w14:val="tx1"/>
            </w14:solidFill>
          </w14:textFill>
        </w:rPr>
        <w:t>有其他人员的不符合中小企业扶持政策;</w:t>
      </w:r>
    </w:p>
    <w:p>
      <w:pPr>
        <w:spacing w:line="400" w:lineRule="exact"/>
        <w:ind w:firstLine="480" w:firstLineChars="200"/>
        <w:rPr>
          <w:rFonts w:hint="eastAsia" w:ascii="微软雅黑" w:hAnsi="微软雅黑" w:eastAsia="微软雅黑" w:cs="微软雅黑"/>
          <w:color w:val="000000" w:themeColor="text1"/>
          <w:sz w:val="24"/>
          <w:szCs w:val="24"/>
          <w:u w:val="single" w:color="00000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2. </w:t>
      </w:r>
      <w:r>
        <w:rPr>
          <w:rFonts w:hint="eastAsia" w:ascii="微软雅黑" w:hAnsi="微软雅黑" w:eastAsia="微软雅黑" w:cs="微软雅黑"/>
          <w:color w:val="000000" w:themeColor="text1"/>
          <w:sz w:val="24"/>
          <w:szCs w:val="24"/>
          <w:u w:val="single"/>
          <w14:textFill>
            <w14:solidFill>
              <w14:schemeClr w14:val="tx1"/>
            </w14:solidFill>
          </w14:textFill>
        </w:rPr>
        <w:t>（标的名称）</w:t>
      </w:r>
      <w:r>
        <w:rPr>
          <w:rFonts w:hint="eastAsia" w:ascii="微软雅黑" w:hAnsi="微软雅黑" w:eastAsia="微软雅黑" w:cs="微软雅黑"/>
          <w:color w:val="000000" w:themeColor="text1"/>
          <w:sz w:val="24"/>
          <w:szCs w:val="24"/>
          <w14:textFill>
            <w14:solidFill>
              <w14:schemeClr w14:val="tx1"/>
            </w14:solidFill>
          </w14:textFill>
        </w:rPr>
        <w:t>，属于</w:t>
      </w:r>
      <w:r>
        <w:rPr>
          <w:rFonts w:hint="eastAsia" w:ascii="微软雅黑" w:hAnsi="微软雅黑" w:eastAsia="微软雅黑" w:cs="微软雅黑"/>
          <w:color w:val="000000" w:themeColor="text1"/>
          <w:sz w:val="24"/>
          <w:szCs w:val="24"/>
          <w:u w:val="single"/>
          <w14:textFill>
            <w14:solidFill>
              <w14:schemeClr w14:val="tx1"/>
            </w14:solidFill>
          </w14:textFill>
        </w:rPr>
        <w:t>（采购文件中明确的所属行业）</w:t>
      </w:r>
      <w:r>
        <w:rPr>
          <w:rFonts w:hint="eastAsia" w:ascii="微软雅黑" w:hAnsi="微软雅黑" w:eastAsia="微软雅黑" w:cs="微软雅黑"/>
          <w:color w:val="000000" w:themeColor="text1"/>
          <w:sz w:val="24"/>
          <w:szCs w:val="24"/>
          <w14:textFill>
            <w14:solidFill>
              <w14:schemeClr w14:val="tx1"/>
            </w14:solidFill>
          </w14:textFill>
        </w:rPr>
        <w:t>；承接企业为</w:t>
      </w:r>
      <w:r>
        <w:rPr>
          <w:rFonts w:hint="eastAsia" w:ascii="微软雅黑" w:hAnsi="微软雅黑" w:eastAsia="微软雅黑" w:cs="微软雅黑"/>
          <w:color w:val="000000" w:themeColor="text1"/>
          <w:sz w:val="24"/>
          <w:szCs w:val="24"/>
          <w:u w:val="single"/>
          <w14:textFill>
            <w14:solidFill>
              <w14:schemeClr w14:val="tx1"/>
            </w14:solidFill>
          </w14:textFill>
        </w:rPr>
        <w:t>（企业名称）</w:t>
      </w:r>
      <w:r>
        <w:rPr>
          <w:rFonts w:hint="eastAsia" w:ascii="微软雅黑" w:hAnsi="微软雅黑" w:eastAsia="微软雅黑" w:cs="微软雅黑"/>
          <w:color w:val="000000" w:themeColor="text1"/>
          <w:sz w:val="24"/>
          <w:szCs w:val="24"/>
          <w14:textFill>
            <w14:solidFill>
              <w14:schemeClr w14:val="tx1"/>
            </w14:solidFill>
          </w14:textFill>
        </w:rPr>
        <w:t>，从业人员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人，营业收入为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万元，资产总额为</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万元，属于 </w:t>
      </w:r>
      <w:r>
        <w:rPr>
          <w:rFonts w:hint="eastAsia" w:ascii="微软雅黑" w:hAnsi="微软雅黑" w:eastAsia="微软雅黑" w:cs="微软雅黑"/>
          <w:color w:val="000000" w:themeColor="text1"/>
          <w:sz w:val="24"/>
          <w:szCs w:val="24"/>
          <w:u w:val="single" w:color="000000"/>
          <w14:textFill>
            <w14:solidFill>
              <w14:schemeClr w14:val="tx1"/>
            </w14:solidFill>
          </w14:textFill>
        </w:rPr>
        <w:t>（中型企业、小型企业、微型企业）。</w:t>
      </w:r>
    </w:p>
    <w:p>
      <w:pPr>
        <w:spacing w:line="400" w:lineRule="exact"/>
        <w:ind w:firstLine="480" w:firstLineChars="200"/>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为本标的提供的服务人员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人，其中与本企业签订劳动合同</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人，其他人员</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w:t>
      </w:r>
      <w:r>
        <w:rPr>
          <w:rFonts w:hint="eastAsia" w:ascii="微软雅黑" w:hAnsi="微软雅黑" w:eastAsia="微软雅黑" w:cs="微软雅黑"/>
          <w:b/>
          <w:color w:val="000000" w:themeColor="text1"/>
          <w:sz w:val="24"/>
          <w:szCs w:val="24"/>
          <w14:textFill>
            <w14:solidFill>
              <w14:schemeClr w14:val="tx1"/>
            </w14:solidFill>
          </w14:textFill>
        </w:rPr>
        <w:t>有其他人员的不符合中小企业扶持政策;</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本企业对上述声明内容的真实性负责。如有虚假，将依法承担相应责任。</w:t>
      </w:r>
    </w:p>
    <w:p>
      <w:pPr>
        <w:snapToGrid w:val="0"/>
        <w:spacing w:line="5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snapToGrid w:val="0"/>
        <w:spacing w:line="500" w:lineRule="exact"/>
        <w:ind w:firstLine="6120" w:firstLineChars="25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企业名称（盖章）： </w:t>
      </w:r>
    </w:p>
    <w:p>
      <w:pPr>
        <w:snapToGrid w:val="0"/>
        <w:spacing w:line="500" w:lineRule="exact"/>
        <w:ind w:right="784" w:firstLine="6120" w:firstLineChars="25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日期：</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填写时应注意以下事项：</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1.从业人员、营业收入、资产总额填报上一年度数据，无上一年度数据的新成立企业可不填报。</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2.投标人未按照采购文件第一篇“采购标的对应的中小企业划分标准所属行业”填写所属行业，或所填写企业类型与相应行业划型标准不一致的，视为未提供《中小企业声明函》，不享受中小企业扶持政策。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3.中小企业应当按照《中小企业划型标准规定》（工信部联企业〔2011〕300号），如实填写并提交《中小企业声明函》。</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注：各行业划型标准：</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sz w:val="24"/>
          <w:szCs w:val="18"/>
          <w14:textFill>
            <w14:solidFill>
              <w14:schemeClr w14:val="tx1"/>
            </w14:solidFill>
          </w14:textFill>
        </w:rPr>
      </w:pPr>
      <w:r>
        <w:rPr>
          <w:rFonts w:hint="eastAsia" w:ascii="微软雅黑" w:hAnsi="微软雅黑" w:eastAsia="微软雅黑" w:cs="微软雅黑"/>
          <w:color w:val="000000" w:themeColor="text1"/>
          <w:sz w:val="24"/>
          <w:szCs w:val="18"/>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outlineLvl w:val="0"/>
        <w:rPr>
          <w:rFonts w:hint="eastAsia"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outlineLvl w:val="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9"/>
          <w:szCs w:val="29"/>
          <w14:textFill>
            <w14:solidFill>
              <w14:schemeClr w14:val="tx1"/>
            </w14:solidFill>
          </w14:textFill>
        </w:rPr>
        <w:t>监狱企业证明文件</w:t>
      </w:r>
    </w:p>
    <w:p>
      <w:pPr>
        <w:tabs>
          <w:tab w:val="left" w:pos="6300"/>
        </w:tabs>
        <w:snapToGrid w:val="0"/>
        <w:spacing w:line="500" w:lineRule="exact"/>
        <w:ind w:firstLine="480" w:firstLineChars="200"/>
        <w:outlineLvl w:val="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以省级以上监狱管理局、戒毒管理局（含新疆生产建设兵团）出具的属于监狱企业的证明文件为准。</w:t>
      </w:r>
      <w:r>
        <w:rPr>
          <w:rFonts w:hint="eastAsia" w:ascii="微软雅黑" w:hAnsi="微软雅黑" w:eastAsia="微软雅黑" w:cs="微软雅黑"/>
          <w:color w:val="000000" w:themeColor="text1"/>
          <w:sz w:val="21"/>
          <w:szCs w:val="21"/>
          <w14:textFill>
            <w14:solidFill>
              <w14:schemeClr w14:val="tx1"/>
            </w14:solidFill>
          </w14:textFill>
        </w:rPr>
        <w:br w:type="page"/>
      </w:r>
    </w:p>
    <w:p>
      <w:pPr>
        <w:tabs>
          <w:tab w:val="left" w:pos="6300"/>
        </w:tabs>
        <w:snapToGrid w:val="0"/>
        <w:spacing w:line="500" w:lineRule="exact"/>
        <w:ind w:firstLine="560" w:firstLineChars="200"/>
        <w:jc w:val="center"/>
        <w:outlineLvl w:val="0"/>
        <w:rPr>
          <w:rFonts w:hint="eastAsia"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ind w:firstLine="2800" w:firstLineChars="1000"/>
        <w:jc w:val="both"/>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残疾人福利性单位声明函</w:t>
      </w:r>
    </w:p>
    <w:p>
      <w:pPr>
        <w:pStyle w:val="2"/>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供应商名称（盖章）：</w:t>
      </w:r>
    </w:p>
    <w:p>
      <w:pPr>
        <w:tabs>
          <w:tab w:val="left" w:pos="6300"/>
        </w:tabs>
        <w:snapToGrid w:val="0"/>
        <w:spacing w:line="500" w:lineRule="exact"/>
        <w:ind w:firstLine="57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日  期：</w:t>
      </w:r>
    </w:p>
    <w:p>
      <w:pPr>
        <w:spacing w:line="360" w:lineRule="auto"/>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pStyle w:val="2"/>
        <w:rPr>
          <w:rFonts w:ascii="微软雅黑" w:hAnsi="微软雅黑" w:eastAsia="微软雅黑" w:cs="微软雅黑"/>
          <w:color w:val="000000" w:themeColor="text1"/>
          <w:szCs w:val="24"/>
          <w14:textFill>
            <w14:solidFill>
              <w14:schemeClr w14:val="tx1"/>
            </w14:solidFill>
          </w14:textFill>
        </w:rPr>
      </w:pPr>
    </w:p>
    <w:p>
      <w:pPr>
        <w:rPr>
          <w:rFonts w:ascii="微软雅黑" w:hAnsi="微软雅黑" w:eastAsia="微软雅黑" w:cs="微软雅黑"/>
          <w:color w:val="000000" w:themeColor="text1"/>
          <w:sz w:val="24"/>
          <w:szCs w:val="24"/>
          <w14:textFill>
            <w14:solidFill>
              <w14:schemeClr w14:val="tx1"/>
            </w14:solidFill>
          </w14:textFill>
        </w:rPr>
      </w:pPr>
    </w:p>
    <w:p>
      <w:pPr>
        <w:spacing w:line="360" w:lineRule="auto"/>
        <w:rPr>
          <w:rFonts w:ascii="微软雅黑" w:hAnsi="微软雅黑" w:eastAsia="微软雅黑" w:cs="微软雅黑"/>
          <w:color w:val="000000" w:themeColor="text1"/>
          <w:sz w:val="24"/>
          <w:szCs w:val="24"/>
          <w14:textFill>
            <w14:solidFill>
              <w14:schemeClr w14:val="tx1"/>
            </w14:solidFill>
          </w14:textFill>
        </w:rPr>
      </w:pPr>
    </w:p>
    <w:p>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（二）联合体共同联合协议（</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本项目不接受联合体</w:t>
      </w:r>
      <w:r>
        <w:rPr>
          <w:rFonts w:hint="eastAsia" w:ascii="微软雅黑" w:hAnsi="微软雅黑" w:eastAsia="微软雅黑" w:cs="微软雅黑"/>
          <w:color w:val="000000" w:themeColor="text1"/>
          <w:sz w:val="24"/>
          <w:szCs w:val="24"/>
          <w14:textFill>
            <w14:solidFill>
              <w14:schemeClr w14:val="tx1"/>
            </w14:solidFill>
          </w14:textFill>
        </w:rPr>
        <w:t>）</w:t>
      </w:r>
    </w:p>
    <w:p>
      <w:pPr>
        <w:spacing w:line="360"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（三）其他资料</w:t>
      </w:r>
    </w:p>
    <w:p>
      <w:pPr>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1、其他与项目有关的资料（自附）：供应商总体情况介绍、其他与本项目有关的资料等。</w:t>
      </w: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（结束）</w:t>
      </w:r>
    </w:p>
    <w:p>
      <w:pPr>
        <w:spacing w:line="360" w:lineRule="auto"/>
        <w:jc w:val="center"/>
        <w:rPr>
          <w:rFonts w:ascii="微软雅黑" w:hAnsi="微软雅黑" w:eastAsia="微软雅黑" w:cs="微软雅黑"/>
          <w:color w:val="000000" w:themeColor="text1"/>
          <w14:textFill>
            <w14:solidFill>
              <w14:schemeClr w14:val="tx1"/>
            </w14:solidFill>
          </w14:textFill>
        </w:rPr>
      </w:pPr>
    </w:p>
    <w:sectPr>
      <w:headerReference r:id="rId15" w:type="default"/>
      <w:footerReference r:id="rId16" w:type="default"/>
      <w:pgSz w:w="11907" w:h="16840"/>
      <w:pgMar w:top="1134" w:right="1191" w:bottom="1134" w:left="1304" w:header="851" w:footer="992" w:gutter="0"/>
      <w:pgNumType w:fmt="numberInDash"/>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BB9B9B4-71B9-4442-8C29-6E2291E62E19}"/>
  </w:font>
  <w:font w:name="PMingLiU">
    <w:altName w:val="PMingLiU-ExtB"/>
    <w:panose1 w:val="02020500000000000000"/>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6F27B51-B473-44CD-9DD5-8F289BBF1840}"/>
  </w:font>
  <w:font w:name="仿宋">
    <w:panose1 w:val="02010609060101010101"/>
    <w:charset w:val="86"/>
    <w:family w:val="auto"/>
    <w:pitch w:val="default"/>
    <w:sig w:usb0="800002BF" w:usb1="38CF7CFA" w:usb2="00000016" w:usb3="00000000" w:csb0="00040001" w:csb1="00000000"/>
    <w:embedRegular r:id="rId3" w:fontKey="{8D2077B7-EE72-4737-82E4-4DDF49E2D6A6}"/>
  </w:font>
  <w:font w:name="方正仿宋_GBK">
    <w:altName w:val="微软雅黑"/>
    <w:panose1 w:val="02000000000000000000"/>
    <w:charset w:val="86"/>
    <w:family w:val="script"/>
    <w:pitch w:val="default"/>
    <w:sig w:usb0="00000000" w:usb1="00000000" w:usb2="00000000" w:usb3="00000000" w:csb0="00000000" w:csb1="00000000"/>
    <w:embedRegular r:id="rId4" w:fontKey="{D80BEC9D-5553-4405-A8E9-519144E37FE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- 27 -</w:t>
    </w:r>
    <w:r>
      <w:rPr>
        <w:rFonts w:ascii="宋体" w:hAnsi="宋体"/>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abstractNum w:abstractNumId="1">
    <w:nsid w:val="D1A00428"/>
    <w:multiLevelType w:val="singleLevel"/>
    <w:tmpl w:val="D1A00428"/>
    <w:lvl w:ilvl="0" w:tentative="0">
      <w:start w:val="2"/>
      <w:numFmt w:val="chineseCounting"/>
      <w:suff w:val="space"/>
      <w:lvlText w:val="第%1篇"/>
      <w:lvlJc w:val="left"/>
      <w:rPr>
        <w:rFonts w:hint="eastAsia"/>
      </w:rPr>
    </w:lvl>
  </w:abstractNum>
  <w:abstractNum w:abstractNumId="2">
    <w:nsid w:val="E0A4F141"/>
    <w:multiLevelType w:val="singleLevel"/>
    <w:tmpl w:val="E0A4F141"/>
    <w:lvl w:ilvl="0" w:tentative="0">
      <w:start w:val="1"/>
      <w:numFmt w:val="chineseCounting"/>
      <w:suff w:val="nothing"/>
      <w:lvlText w:val="%1、"/>
      <w:lvlJc w:val="left"/>
      <w:rPr>
        <w:rFonts w:hint="eastAsia" w:cs="Times New Roman"/>
      </w:rPr>
    </w:lvl>
  </w:abstractNum>
  <w:abstractNum w:abstractNumId="3">
    <w:nsid w:val="02892447"/>
    <w:multiLevelType w:val="singleLevel"/>
    <w:tmpl w:val="02892447"/>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A66"/>
    <w:rsid w:val="0008423B"/>
    <w:rsid w:val="000B68AA"/>
    <w:rsid w:val="000D3C74"/>
    <w:rsid w:val="000F126B"/>
    <w:rsid w:val="0013562B"/>
    <w:rsid w:val="00172A27"/>
    <w:rsid w:val="001821C5"/>
    <w:rsid w:val="001A0223"/>
    <w:rsid w:val="001B56BE"/>
    <w:rsid w:val="00200842"/>
    <w:rsid w:val="00236038"/>
    <w:rsid w:val="00237493"/>
    <w:rsid w:val="002460FA"/>
    <w:rsid w:val="00252953"/>
    <w:rsid w:val="00295CDD"/>
    <w:rsid w:val="002A4EED"/>
    <w:rsid w:val="002C5DB9"/>
    <w:rsid w:val="002E6C3D"/>
    <w:rsid w:val="00333FEB"/>
    <w:rsid w:val="00346BD3"/>
    <w:rsid w:val="00382A07"/>
    <w:rsid w:val="0040020E"/>
    <w:rsid w:val="00422B5B"/>
    <w:rsid w:val="00450D61"/>
    <w:rsid w:val="0045743C"/>
    <w:rsid w:val="00483A92"/>
    <w:rsid w:val="004D1A39"/>
    <w:rsid w:val="004D556F"/>
    <w:rsid w:val="004D6435"/>
    <w:rsid w:val="004E747D"/>
    <w:rsid w:val="005452D4"/>
    <w:rsid w:val="0055272A"/>
    <w:rsid w:val="00552B00"/>
    <w:rsid w:val="0056303B"/>
    <w:rsid w:val="00564C86"/>
    <w:rsid w:val="005838E6"/>
    <w:rsid w:val="005A14C0"/>
    <w:rsid w:val="005F188A"/>
    <w:rsid w:val="005F1ABB"/>
    <w:rsid w:val="006064F0"/>
    <w:rsid w:val="00606741"/>
    <w:rsid w:val="00650358"/>
    <w:rsid w:val="00661C5D"/>
    <w:rsid w:val="00690DF6"/>
    <w:rsid w:val="0069545E"/>
    <w:rsid w:val="006C0E1D"/>
    <w:rsid w:val="006E5BAF"/>
    <w:rsid w:val="006F3086"/>
    <w:rsid w:val="00792144"/>
    <w:rsid w:val="007D1654"/>
    <w:rsid w:val="007D21A6"/>
    <w:rsid w:val="00836D36"/>
    <w:rsid w:val="00871DF8"/>
    <w:rsid w:val="0087444B"/>
    <w:rsid w:val="00877B8A"/>
    <w:rsid w:val="00882B2D"/>
    <w:rsid w:val="009A7342"/>
    <w:rsid w:val="00A057D3"/>
    <w:rsid w:val="00A203D7"/>
    <w:rsid w:val="00A5142C"/>
    <w:rsid w:val="00AA16C1"/>
    <w:rsid w:val="00AD0130"/>
    <w:rsid w:val="00AE6CE8"/>
    <w:rsid w:val="00AF10C6"/>
    <w:rsid w:val="00B314CC"/>
    <w:rsid w:val="00B534EA"/>
    <w:rsid w:val="00B93997"/>
    <w:rsid w:val="00BB6450"/>
    <w:rsid w:val="00BB7457"/>
    <w:rsid w:val="00BE60C2"/>
    <w:rsid w:val="00BF0051"/>
    <w:rsid w:val="00C002B8"/>
    <w:rsid w:val="00C13205"/>
    <w:rsid w:val="00C952A2"/>
    <w:rsid w:val="00CC4113"/>
    <w:rsid w:val="00CE166B"/>
    <w:rsid w:val="00D10EED"/>
    <w:rsid w:val="00D4258A"/>
    <w:rsid w:val="00D43D89"/>
    <w:rsid w:val="00DB4B49"/>
    <w:rsid w:val="00DB6B3A"/>
    <w:rsid w:val="00DE42C1"/>
    <w:rsid w:val="00DE46DF"/>
    <w:rsid w:val="00DF55F1"/>
    <w:rsid w:val="00DF7B2D"/>
    <w:rsid w:val="00E0279E"/>
    <w:rsid w:val="00E223C0"/>
    <w:rsid w:val="00E959FC"/>
    <w:rsid w:val="00EA31BE"/>
    <w:rsid w:val="00ED1913"/>
    <w:rsid w:val="00EF54D3"/>
    <w:rsid w:val="00F44428"/>
    <w:rsid w:val="00F512D2"/>
    <w:rsid w:val="00FE3B26"/>
    <w:rsid w:val="00FE403F"/>
    <w:rsid w:val="00FF3CDE"/>
    <w:rsid w:val="019B55D1"/>
    <w:rsid w:val="019D1959"/>
    <w:rsid w:val="01EA4AF8"/>
    <w:rsid w:val="02027657"/>
    <w:rsid w:val="0213623D"/>
    <w:rsid w:val="02294B00"/>
    <w:rsid w:val="02811BAD"/>
    <w:rsid w:val="02853582"/>
    <w:rsid w:val="029C56A3"/>
    <w:rsid w:val="02A4262D"/>
    <w:rsid w:val="0309061F"/>
    <w:rsid w:val="031248AC"/>
    <w:rsid w:val="03346E3D"/>
    <w:rsid w:val="034A2830"/>
    <w:rsid w:val="038553B5"/>
    <w:rsid w:val="03CC7C7C"/>
    <w:rsid w:val="03DB29EC"/>
    <w:rsid w:val="03F36199"/>
    <w:rsid w:val="049022FF"/>
    <w:rsid w:val="05046E9E"/>
    <w:rsid w:val="050C2E27"/>
    <w:rsid w:val="053563BD"/>
    <w:rsid w:val="05676809"/>
    <w:rsid w:val="06323A19"/>
    <w:rsid w:val="065974FD"/>
    <w:rsid w:val="069963F4"/>
    <w:rsid w:val="074825C3"/>
    <w:rsid w:val="07644CF8"/>
    <w:rsid w:val="077E0B02"/>
    <w:rsid w:val="0789586E"/>
    <w:rsid w:val="079A480F"/>
    <w:rsid w:val="07C2410E"/>
    <w:rsid w:val="07DC741A"/>
    <w:rsid w:val="07DF027A"/>
    <w:rsid w:val="080273C3"/>
    <w:rsid w:val="087E4495"/>
    <w:rsid w:val="09026204"/>
    <w:rsid w:val="091D145D"/>
    <w:rsid w:val="092211B5"/>
    <w:rsid w:val="093C4D3E"/>
    <w:rsid w:val="09517944"/>
    <w:rsid w:val="09864881"/>
    <w:rsid w:val="09AC314B"/>
    <w:rsid w:val="09B80559"/>
    <w:rsid w:val="09E366F4"/>
    <w:rsid w:val="0A340F11"/>
    <w:rsid w:val="0A6A7D1A"/>
    <w:rsid w:val="0A7121DA"/>
    <w:rsid w:val="0A793A2E"/>
    <w:rsid w:val="0A8F0952"/>
    <w:rsid w:val="0A9F2459"/>
    <w:rsid w:val="0AC959DA"/>
    <w:rsid w:val="0AF816C4"/>
    <w:rsid w:val="0B040301"/>
    <w:rsid w:val="0B1968C3"/>
    <w:rsid w:val="0BAB3064"/>
    <w:rsid w:val="0BB923D0"/>
    <w:rsid w:val="0BC126B3"/>
    <w:rsid w:val="0BEA5720"/>
    <w:rsid w:val="0C0624F3"/>
    <w:rsid w:val="0C4867FB"/>
    <w:rsid w:val="0C945683"/>
    <w:rsid w:val="0CB54492"/>
    <w:rsid w:val="0CCE3126"/>
    <w:rsid w:val="0CFE294D"/>
    <w:rsid w:val="0D1962EE"/>
    <w:rsid w:val="0D3E3574"/>
    <w:rsid w:val="0D712717"/>
    <w:rsid w:val="0D986DC4"/>
    <w:rsid w:val="0DA8437F"/>
    <w:rsid w:val="0DD71C05"/>
    <w:rsid w:val="0DE00C0B"/>
    <w:rsid w:val="0DF875DC"/>
    <w:rsid w:val="0E046A11"/>
    <w:rsid w:val="0E2C6D18"/>
    <w:rsid w:val="0E300D44"/>
    <w:rsid w:val="0EF05683"/>
    <w:rsid w:val="0F6A0D0D"/>
    <w:rsid w:val="0F9526BB"/>
    <w:rsid w:val="10353C8C"/>
    <w:rsid w:val="10587BA8"/>
    <w:rsid w:val="105C4535"/>
    <w:rsid w:val="105D7C7D"/>
    <w:rsid w:val="10B477B0"/>
    <w:rsid w:val="10F70FED"/>
    <w:rsid w:val="112C386F"/>
    <w:rsid w:val="11741C87"/>
    <w:rsid w:val="11F71C03"/>
    <w:rsid w:val="127E3EAB"/>
    <w:rsid w:val="12957AAF"/>
    <w:rsid w:val="12D00551"/>
    <w:rsid w:val="12D03193"/>
    <w:rsid w:val="12D64474"/>
    <w:rsid w:val="12E442B7"/>
    <w:rsid w:val="13101EF5"/>
    <w:rsid w:val="132A10D3"/>
    <w:rsid w:val="132D3965"/>
    <w:rsid w:val="137A43BD"/>
    <w:rsid w:val="1383225E"/>
    <w:rsid w:val="13915246"/>
    <w:rsid w:val="13A138F5"/>
    <w:rsid w:val="13C70DD3"/>
    <w:rsid w:val="13CE50AA"/>
    <w:rsid w:val="140459E8"/>
    <w:rsid w:val="141564A3"/>
    <w:rsid w:val="1426739E"/>
    <w:rsid w:val="144D6EBF"/>
    <w:rsid w:val="14A63623"/>
    <w:rsid w:val="1553683E"/>
    <w:rsid w:val="15826839"/>
    <w:rsid w:val="15AA505D"/>
    <w:rsid w:val="15CA3338"/>
    <w:rsid w:val="15DA142C"/>
    <w:rsid w:val="15E409F3"/>
    <w:rsid w:val="160C4FAC"/>
    <w:rsid w:val="16333A59"/>
    <w:rsid w:val="165D78E5"/>
    <w:rsid w:val="166B0912"/>
    <w:rsid w:val="16E11DAC"/>
    <w:rsid w:val="16E233EE"/>
    <w:rsid w:val="170D76B7"/>
    <w:rsid w:val="1714400C"/>
    <w:rsid w:val="1739317C"/>
    <w:rsid w:val="17A415E0"/>
    <w:rsid w:val="17EC0D07"/>
    <w:rsid w:val="17F2157E"/>
    <w:rsid w:val="18382CA8"/>
    <w:rsid w:val="184D5BF1"/>
    <w:rsid w:val="18575D38"/>
    <w:rsid w:val="186A617B"/>
    <w:rsid w:val="186F26E9"/>
    <w:rsid w:val="187B6D1D"/>
    <w:rsid w:val="18D12DF5"/>
    <w:rsid w:val="18ED585A"/>
    <w:rsid w:val="18ED5880"/>
    <w:rsid w:val="19127222"/>
    <w:rsid w:val="198D4A9F"/>
    <w:rsid w:val="19E91876"/>
    <w:rsid w:val="1A282DDA"/>
    <w:rsid w:val="1A2B301F"/>
    <w:rsid w:val="1A43273A"/>
    <w:rsid w:val="1A9354DB"/>
    <w:rsid w:val="1AE738E4"/>
    <w:rsid w:val="1AFE5477"/>
    <w:rsid w:val="1B0C559F"/>
    <w:rsid w:val="1B121581"/>
    <w:rsid w:val="1B2D5678"/>
    <w:rsid w:val="1B601C65"/>
    <w:rsid w:val="1B631991"/>
    <w:rsid w:val="1B8C33F4"/>
    <w:rsid w:val="1B98469D"/>
    <w:rsid w:val="1BA84479"/>
    <w:rsid w:val="1BC814F3"/>
    <w:rsid w:val="1BCD4A66"/>
    <w:rsid w:val="1BDE2883"/>
    <w:rsid w:val="1C004178"/>
    <w:rsid w:val="1C3A3714"/>
    <w:rsid w:val="1C5D11C3"/>
    <w:rsid w:val="1D826775"/>
    <w:rsid w:val="1D981CC2"/>
    <w:rsid w:val="1DCA7FA5"/>
    <w:rsid w:val="1E253E9A"/>
    <w:rsid w:val="1E4B542F"/>
    <w:rsid w:val="1E622558"/>
    <w:rsid w:val="1E882ABA"/>
    <w:rsid w:val="1E963FB8"/>
    <w:rsid w:val="1EDB79E1"/>
    <w:rsid w:val="1EE019A3"/>
    <w:rsid w:val="1FB06E2D"/>
    <w:rsid w:val="1FCD0A84"/>
    <w:rsid w:val="203D5420"/>
    <w:rsid w:val="20A82934"/>
    <w:rsid w:val="20E51212"/>
    <w:rsid w:val="20F669B0"/>
    <w:rsid w:val="2105635C"/>
    <w:rsid w:val="21102A49"/>
    <w:rsid w:val="21124499"/>
    <w:rsid w:val="216C5203"/>
    <w:rsid w:val="216D6770"/>
    <w:rsid w:val="21903690"/>
    <w:rsid w:val="21AD399F"/>
    <w:rsid w:val="21CC09CA"/>
    <w:rsid w:val="227F6C94"/>
    <w:rsid w:val="228213E7"/>
    <w:rsid w:val="22A7590B"/>
    <w:rsid w:val="22B4528F"/>
    <w:rsid w:val="22D838CF"/>
    <w:rsid w:val="22F825DB"/>
    <w:rsid w:val="22FD20FA"/>
    <w:rsid w:val="231F77C7"/>
    <w:rsid w:val="23374475"/>
    <w:rsid w:val="233B0914"/>
    <w:rsid w:val="237C59BB"/>
    <w:rsid w:val="23BF2464"/>
    <w:rsid w:val="23F3488A"/>
    <w:rsid w:val="243B3EB7"/>
    <w:rsid w:val="24551FD1"/>
    <w:rsid w:val="24C60186"/>
    <w:rsid w:val="24C6775F"/>
    <w:rsid w:val="251304A2"/>
    <w:rsid w:val="25602216"/>
    <w:rsid w:val="256F2A8D"/>
    <w:rsid w:val="25A315A3"/>
    <w:rsid w:val="25CB74EC"/>
    <w:rsid w:val="261F72E0"/>
    <w:rsid w:val="26334D6D"/>
    <w:rsid w:val="2640356F"/>
    <w:rsid w:val="264C6FBD"/>
    <w:rsid w:val="26767805"/>
    <w:rsid w:val="26DA0E0C"/>
    <w:rsid w:val="26F942CB"/>
    <w:rsid w:val="27205B2B"/>
    <w:rsid w:val="2767225B"/>
    <w:rsid w:val="276830CB"/>
    <w:rsid w:val="277609EB"/>
    <w:rsid w:val="27AA2C77"/>
    <w:rsid w:val="27B25CEA"/>
    <w:rsid w:val="27D9637B"/>
    <w:rsid w:val="281E5310"/>
    <w:rsid w:val="28522780"/>
    <w:rsid w:val="288B25DE"/>
    <w:rsid w:val="28BB7068"/>
    <w:rsid w:val="294B4B4D"/>
    <w:rsid w:val="29605B23"/>
    <w:rsid w:val="2A824925"/>
    <w:rsid w:val="2A84522F"/>
    <w:rsid w:val="2BB56560"/>
    <w:rsid w:val="2BCB3BBA"/>
    <w:rsid w:val="2BE75958"/>
    <w:rsid w:val="2BE83786"/>
    <w:rsid w:val="2BE956E1"/>
    <w:rsid w:val="2C1D24D1"/>
    <w:rsid w:val="2D367E96"/>
    <w:rsid w:val="2D4B4662"/>
    <w:rsid w:val="2D6F3C91"/>
    <w:rsid w:val="2D88429C"/>
    <w:rsid w:val="2DED648E"/>
    <w:rsid w:val="2E0559B4"/>
    <w:rsid w:val="2E1A6D19"/>
    <w:rsid w:val="2E482812"/>
    <w:rsid w:val="2E4C697C"/>
    <w:rsid w:val="2E5B353C"/>
    <w:rsid w:val="2EAE5B84"/>
    <w:rsid w:val="2F017C73"/>
    <w:rsid w:val="2F193000"/>
    <w:rsid w:val="2F4475F2"/>
    <w:rsid w:val="2F8452BB"/>
    <w:rsid w:val="2F8856E8"/>
    <w:rsid w:val="2F931F3E"/>
    <w:rsid w:val="2FA20543"/>
    <w:rsid w:val="30793B1F"/>
    <w:rsid w:val="307A6406"/>
    <w:rsid w:val="30EB003C"/>
    <w:rsid w:val="31392548"/>
    <w:rsid w:val="31A1797F"/>
    <w:rsid w:val="31C00EF8"/>
    <w:rsid w:val="31D623CF"/>
    <w:rsid w:val="31E050B0"/>
    <w:rsid w:val="32310628"/>
    <w:rsid w:val="323413C5"/>
    <w:rsid w:val="324B3E79"/>
    <w:rsid w:val="325167B6"/>
    <w:rsid w:val="326266B4"/>
    <w:rsid w:val="32753D0B"/>
    <w:rsid w:val="327F7554"/>
    <w:rsid w:val="32B60A23"/>
    <w:rsid w:val="32DB2081"/>
    <w:rsid w:val="32F42D9E"/>
    <w:rsid w:val="333D477F"/>
    <w:rsid w:val="33AA1058"/>
    <w:rsid w:val="33AF6CE8"/>
    <w:rsid w:val="33C1005A"/>
    <w:rsid w:val="33C11175"/>
    <w:rsid w:val="340A02ED"/>
    <w:rsid w:val="34A17D4A"/>
    <w:rsid w:val="34CF4905"/>
    <w:rsid w:val="350D23A0"/>
    <w:rsid w:val="35905D41"/>
    <w:rsid w:val="35B17626"/>
    <w:rsid w:val="35E74616"/>
    <w:rsid w:val="35EB69CC"/>
    <w:rsid w:val="35EE30CD"/>
    <w:rsid w:val="35F77C74"/>
    <w:rsid w:val="36264A5B"/>
    <w:rsid w:val="36452A76"/>
    <w:rsid w:val="36845780"/>
    <w:rsid w:val="36EC30E9"/>
    <w:rsid w:val="370A058B"/>
    <w:rsid w:val="3734069D"/>
    <w:rsid w:val="3782347A"/>
    <w:rsid w:val="37C103D6"/>
    <w:rsid w:val="37E529E9"/>
    <w:rsid w:val="37FE6E39"/>
    <w:rsid w:val="381572B8"/>
    <w:rsid w:val="38536701"/>
    <w:rsid w:val="385E3204"/>
    <w:rsid w:val="387A1DB3"/>
    <w:rsid w:val="388B11B0"/>
    <w:rsid w:val="38B873E2"/>
    <w:rsid w:val="38F67F51"/>
    <w:rsid w:val="39044BAD"/>
    <w:rsid w:val="391A778D"/>
    <w:rsid w:val="3964371B"/>
    <w:rsid w:val="3A3A057F"/>
    <w:rsid w:val="3A837AB1"/>
    <w:rsid w:val="3A964F46"/>
    <w:rsid w:val="3B027E69"/>
    <w:rsid w:val="3B6808F8"/>
    <w:rsid w:val="3BC1657B"/>
    <w:rsid w:val="3BE316E1"/>
    <w:rsid w:val="3BEB4966"/>
    <w:rsid w:val="3C6E2905"/>
    <w:rsid w:val="3CD87AFA"/>
    <w:rsid w:val="3CD91AB9"/>
    <w:rsid w:val="3D1122D9"/>
    <w:rsid w:val="3D1C7E93"/>
    <w:rsid w:val="3D4C4C97"/>
    <w:rsid w:val="3D501BC3"/>
    <w:rsid w:val="3D647F2A"/>
    <w:rsid w:val="3D6F5BDB"/>
    <w:rsid w:val="3D824ED6"/>
    <w:rsid w:val="3DD33B82"/>
    <w:rsid w:val="3E171E42"/>
    <w:rsid w:val="3E2307A3"/>
    <w:rsid w:val="3E384D3D"/>
    <w:rsid w:val="3E5276FB"/>
    <w:rsid w:val="3E76777E"/>
    <w:rsid w:val="3EAA423E"/>
    <w:rsid w:val="3EC309B7"/>
    <w:rsid w:val="3F467593"/>
    <w:rsid w:val="3F8668E2"/>
    <w:rsid w:val="3FBD4F5B"/>
    <w:rsid w:val="407F77F1"/>
    <w:rsid w:val="40935BB3"/>
    <w:rsid w:val="40A2785A"/>
    <w:rsid w:val="40B2745F"/>
    <w:rsid w:val="40F7014B"/>
    <w:rsid w:val="410F4E53"/>
    <w:rsid w:val="41154A97"/>
    <w:rsid w:val="4119041B"/>
    <w:rsid w:val="412D6014"/>
    <w:rsid w:val="4132693C"/>
    <w:rsid w:val="414E240B"/>
    <w:rsid w:val="41A3369B"/>
    <w:rsid w:val="41A87E4D"/>
    <w:rsid w:val="41AC2B40"/>
    <w:rsid w:val="41CD13FD"/>
    <w:rsid w:val="41DC0929"/>
    <w:rsid w:val="41F405DF"/>
    <w:rsid w:val="420C6134"/>
    <w:rsid w:val="422F7D49"/>
    <w:rsid w:val="42411497"/>
    <w:rsid w:val="426113CD"/>
    <w:rsid w:val="42852229"/>
    <w:rsid w:val="42BB5A65"/>
    <w:rsid w:val="42C47367"/>
    <w:rsid w:val="4312153B"/>
    <w:rsid w:val="43251AA8"/>
    <w:rsid w:val="43B27935"/>
    <w:rsid w:val="44331EC6"/>
    <w:rsid w:val="443426E9"/>
    <w:rsid w:val="445539FA"/>
    <w:rsid w:val="44741DB7"/>
    <w:rsid w:val="449D243B"/>
    <w:rsid w:val="44C05078"/>
    <w:rsid w:val="451259F2"/>
    <w:rsid w:val="45240E10"/>
    <w:rsid w:val="4534265D"/>
    <w:rsid w:val="456F631B"/>
    <w:rsid w:val="45AB480C"/>
    <w:rsid w:val="45C738DC"/>
    <w:rsid w:val="45E3036C"/>
    <w:rsid w:val="460022EF"/>
    <w:rsid w:val="461611FF"/>
    <w:rsid w:val="46302237"/>
    <w:rsid w:val="4648420D"/>
    <w:rsid w:val="46A14C12"/>
    <w:rsid w:val="46E90656"/>
    <w:rsid w:val="4724163E"/>
    <w:rsid w:val="47264769"/>
    <w:rsid w:val="474D2E3F"/>
    <w:rsid w:val="47633BD9"/>
    <w:rsid w:val="47652830"/>
    <w:rsid w:val="47805912"/>
    <w:rsid w:val="47860F1E"/>
    <w:rsid w:val="479E4EDD"/>
    <w:rsid w:val="47A866C0"/>
    <w:rsid w:val="47D24294"/>
    <w:rsid w:val="47DD0DA2"/>
    <w:rsid w:val="48647E91"/>
    <w:rsid w:val="48D7799B"/>
    <w:rsid w:val="48EA7135"/>
    <w:rsid w:val="491518EB"/>
    <w:rsid w:val="49893EBD"/>
    <w:rsid w:val="49AA63AF"/>
    <w:rsid w:val="49D14229"/>
    <w:rsid w:val="4A92473F"/>
    <w:rsid w:val="4BA44E82"/>
    <w:rsid w:val="4BCF3EB6"/>
    <w:rsid w:val="4BE53CA8"/>
    <w:rsid w:val="4BF413A3"/>
    <w:rsid w:val="4C0A317C"/>
    <w:rsid w:val="4C2919FF"/>
    <w:rsid w:val="4CC255AB"/>
    <w:rsid w:val="4CFD1306"/>
    <w:rsid w:val="4D5E16C5"/>
    <w:rsid w:val="4D957FE3"/>
    <w:rsid w:val="4DE9049B"/>
    <w:rsid w:val="4DEF79C6"/>
    <w:rsid w:val="4E4A1E4D"/>
    <w:rsid w:val="4E5F55FC"/>
    <w:rsid w:val="4E7C2C07"/>
    <w:rsid w:val="4E894504"/>
    <w:rsid w:val="4EEC61D3"/>
    <w:rsid w:val="4F0959C6"/>
    <w:rsid w:val="4F1B4C77"/>
    <w:rsid w:val="4F4108D9"/>
    <w:rsid w:val="4F550CF0"/>
    <w:rsid w:val="4F570D38"/>
    <w:rsid w:val="4F5C18E6"/>
    <w:rsid w:val="4F816161"/>
    <w:rsid w:val="4F9C359E"/>
    <w:rsid w:val="50132EF6"/>
    <w:rsid w:val="50587752"/>
    <w:rsid w:val="505C7454"/>
    <w:rsid w:val="50C81C3A"/>
    <w:rsid w:val="50CB22FD"/>
    <w:rsid w:val="51354906"/>
    <w:rsid w:val="51621B49"/>
    <w:rsid w:val="51654349"/>
    <w:rsid w:val="518A613E"/>
    <w:rsid w:val="519535B1"/>
    <w:rsid w:val="51BB5A53"/>
    <w:rsid w:val="51FD2761"/>
    <w:rsid w:val="5253749C"/>
    <w:rsid w:val="52ED6907"/>
    <w:rsid w:val="533E04DE"/>
    <w:rsid w:val="53623718"/>
    <w:rsid w:val="537A10E6"/>
    <w:rsid w:val="53A0130F"/>
    <w:rsid w:val="53D02BF5"/>
    <w:rsid w:val="54034FFD"/>
    <w:rsid w:val="5407402D"/>
    <w:rsid w:val="54154DC9"/>
    <w:rsid w:val="543365B2"/>
    <w:rsid w:val="545221AF"/>
    <w:rsid w:val="5464711F"/>
    <w:rsid w:val="54733E51"/>
    <w:rsid w:val="54B45541"/>
    <w:rsid w:val="54EA658D"/>
    <w:rsid w:val="550F678A"/>
    <w:rsid w:val="55125391"/>
    <w:rsid w:val="55184DE5"/>
    <w:rsid w:val="55196BF7"/>
    <w:rsid w:val="552E1A3E"/>
    <w:rsid w:val="553D4707"/>
    <w:rsid w:val="557564E7"/>
    <w:rsid w:val="55921A1A"/>
    <w:rsid w:val="55AB4B2E"/>
    <w:rsid w:val="563E0449"/>
    <w:rsid w:val="56490E7E"/>
    <w:rsid w:val="569037CB"/>
    <w:rsid w:val="56935F0D"/>
    <w:rsid w:val="574834BD"/>
    <w:rsid w:val="577601D3"/>
    <w:rsid w:val="57884849"/>
    <w:rsid w:val="57C43775"/>
    <w:rsid w:val="583D4389"/>
    <w:rsid w:val="586918CE"/>
    <w:rsid w:val="58CE70F0"/>
    <w:rsid w:val="59696800"/>
    <w:rsid w:val="597C4F99"/>
    <w:rsid w:val="59AA24D9"/>
    <w:rsid w:val="59CD006E"/>
    <w:rsid w:val="5A015962"/>
    <w:rsid w:val="5A0A3797"/>
    <w:rsid w:val="5A0E5FCD"/>
    <w:rsid w:val="5A1D590D"/>
    <w:rsid w:val="5A45472E"/>
    <w:rsid w:val="5A6B17E6"/>
    <w:rsid w:val="5A763D4F"/>
    <w:rsid w:val="5A8037CA"/>
    <w:rsid w:val="5A930966"/>
    <w:rsid w:val="5AD1449C"/>
    <w:rsid w:val="5AD84CB1"/>
    <w:rsid w:val="5AEF5CC8"/>
    <w:rsid w:val="5AF16AC3"/>
    <w:rsid w:val="5B0B3F55"/>
    <w:rsid w:val="5B0C1E13"/>
    <w:rsid w:val="5B2E52F1"/>
    <w:rsid w:val="5B630F3C"/>
    <w:rsid w:val="5B757E7A"/>
    <w:rsid w:val="5B9676DC"/>
    <w:rsid w:val="5B9A555D"/>
    <w:rsid w:val="5BD54BE1"/>
    <w:rsid w:val="5BDF7095"/>
    <w:rsid w:val="5C13413A"/>
    <w:rsid w:val="5C290D9D"/>
    <w:rsid w:val="5C6312A0"/>
    <w:rsid w:val="5C717056"/>
    <w:rsid w:val="5C9C0F22"/>
    <w:rsid w:val="5CFE30FF"/>
    <w:rsid w:val="5D0B54DD"/>
    <w:rsid w:val="5D102783"/>
    <w:rsid w:val="5D711CEE"/>
    <w:rsid w:val="5D8C4409"/>
    <w:rsid w:val="5E0C5D98"/>
    <w:rsid w:val="5E153089"/>
    <w:rsid w:val="5E194310"/>
    <w:rsid w:val="5EB8640C"/>
    <w:rsid w:val="5EC92295"/>
    <w:rsid w:val="5F0B16F5"/>
    <w:rsid w:val="5F12099B"/>
    <w:rsid w:val="5F2035EB"/>
    <w:rsid w:val="5F4E560C"/>
    <w:rsid w:val="5F66592C"/>
    <w:rsid w:val="5F9A6357"/>
    <w:rsid w:val="5FA1065E"/>
    <w:rsid w:val="5FC2179B"/>
    <w:rsid w:val="5FDB4C83"/>
    <w:rsid w:val="5FDE3600"/>
    <w:rsid w:val="603665CD"/>
    <w:rsid w:val="603B51FC"/>
    <w:rsid w:val="611322D1"/>
    <w:rsid w:val="61291C00"/>
    <w:rsid w:val="612A7A57"/>
    <w:rsid w:val="613E5314"/>
    <w:rsid w:val="6147286C"/>
    <w:rsid w:val="618D0FF6"/>
    <w:rsid w:val="61F07F5C"/>
    <w:rsid w:val="61FF059B"/>
    <w:rsid w:val="628E64AF"/>
    <w:rsid w:val="62A063FC"/>
    <w:rsid w:val="62CE7D97"/>
    <w:rsid w:val="62D51D59"/>
    <w:rsid w:val="62EE0E1F"/>
    <w:rsid w:val="62EE4265"/>
    <w:rsid w:val="630B3E0C"/>
    <w:rsid w:val="636E5BB0"/>
    <w:rsid w:val="639C016B"/>
    <w:rsid w:val="64157664"/>
    <w:rsid w:val="6425270D"/>
    <w:rsid w:val="64420C2A"/>
    <w:rsid w:val="64A6696C"/>
    <w:rsid w:val="64C004D8"/>
    <w:rsid w:val="64C5259F"/>
    <w:rsid w:val="64EA0FCF"/>
    <w:rsid w:val="655167CA"/>
    <w:rsid w:val="656C491B"/>
    <w:rsid w:val="65A00D84"/>
    <w:rsid w:val="66086B65"/>
    <w:rsid w:val="66346A66"/>
    <w:rsid w:val="66471453"/>
    <w:rsid w:val="66C6469C"/>
    <w:rsid w:val="67250883"/>
    <w:rsid w:val="674D64E7"/>
    <w:rsid w:val="6751418F"/>
    <w:rsid w:val="677700E3"/>
    <w:rsid w:val="67BF3E7A"/>
    <w:rsid w:val="67D266B3"/>
    <w:rsid w:val="67D70B7C"/>
    <w:rsid w:val="67DA0018"/>
    <w:rsid w:val="680A3E47"/>
    <w:rsid w:val="686730F2"/>
    <w:rsid w:val="686C2DA0"/>
    <w:rsid w:val="68756FA8"/>
    <w:rsid w:val="689E4D14"/>
    <w:rsid w:val="68F25091"/>
    <w:rsid w:val="694456E3"/>
    <w:rsid w:val="69555CD9"/>
    <w:rsid w:val="697D4736"/>
    <w:rsid w:val="69E9120E"/>
    <w:rsid w:val="69F96630"/>
    <w:rsid w:val="6A08390A"/>
    <w:rsid w:val="6A3613AC"/>
    <w:rsid w:val="6A38564B"/>
    <w:rsid w:val="6A9B06AB"/>
    <w:rsid w:val="6B7F17B1"/>
    <w:rsid w:val="6BA72125"/>
    <w:rsid w:val="6C410FEA"/>
    <w:rsid w:val="6CBF3486"/>
    <w:rsid w:val="6D18269B"/>
    <w:rsid w:val="6D1B5C7E"/>
    <w:rsid w:val="6D4E5217"/>
    <w:rsid w:val="6D561AB4"/>
    <w:rsid w:val="6D5E7BE9"/>
    <w:rsid w:val="6D7D377F"/>
    <w:rsid w:val="6DA5609A"/>
    <w:rsid w:val="6DE224F6"/>
    <w:rsid w:val="6DE360F1"/>
    <w:rsid w:val="6E1B2B27"/>
    <w:rsid w:val="6E256347"/>
    <w:rsid w:val="6E2E712C"/>
    <w:rsid w:val="6EA271B1"/>
    <w:rsid w:val="6EA91348"/>
    <w:rsid w:val="6EB63D5D"/>
    <w:rsid w:val="6EC63B4E"/>
    <w:rsid w:val="6F0B6010"/>
    <w:rsid w:val="6F114A9A"/>
    <w:rsid w:val="6F9805EE"/>
    <w:rsid w:val="70163CF3"/>
    <w:rsid w:val="70691153"/>
    <w:rsid w:val="708906D1"/>
    <w:rsid w:val="70C76100"/>
    <w:rsid w:val="71593B40"/>
    <w:rsid w:val="715E70FD"/>
    <w:rsid w:val="71AF59F3"/>
    <w:rsid w:val="71BB48E8"/>
    <w:rsid w:val="71F32BFA"/>
    <w:rsid w:val="71FD1FC9"/>
    <w:rsid w:val="72C96B68"/>
    <w:rsid w:val="72CC487C"/>
    <w:rsid w:val="72F774F5"/>
    <w:rsid w:val="74097BB1"/>
    <w:rsid w:val="74104207"/>
    <w:rsid w:val="745D0172"/>
    <w:rsid w:val="74993C82"/>
    <w:rsid w:val="74F008B3"/>
    <w:rsid w:val="752D3A4F"/>
    <w:rsid w:val="753362C5"/>
    <w:rsid w:val="75822A16"/>
    <w:rsid w:val="759B5A5A"/>
    <w:rsid w:val="75D20971"/>
    <w:rsid w:val="75F33F9B"/>
    <w:rsid w:val="75FA59FA"/>
    <w:rsid w:val="762768F9"/>
    <w:rsid w:val="76577D91"/>
    <w:rsid w:val="765A755B"/>
    <w:rsid w:val="77522230"/>
    <w:rsid w:val="7787400A"/>
    <w:rsid w:val="77905FE5"/>
    <w:rsid w:val="77954689"/>
    <w:rsid w:val="779B18FC"/>
    <w:rsid w:val="77BB691C"/>
    <w:rsid w:val="77D702A8"/>
    <w:rsid w:val="7876004E"/>
    <w:rsid w:val="787C73F9"/>
    <w:rsid w:val="792175C5"/>
    <w:rsid w:val="79303C51"/>
    <w:rsid w:val="795E4766"/>
    <w:rsid w:val="795F1582"/>
    <w:rsid w:val="79804EF7"/>
    <w:rsid w:val="799D3616"/>
    <w:rsid w:val="79E058C9"/>
    <w:rsid w:val="7A242F20"/>
    <w:rsid w:val="7AD37ED3"/>
    <w:rsid w:val="7B2B3FE0"/>
    <w:rsid w:val="7B4C30E7"/>
    <w:rsid w:val="7BD5086A"/>
    <w:rsid w:val="7C2F4BDD"/>
    <w:rsid w:val="7C737FCE"/>
    <w:rsid w:val="7C772A93"/>
    <w:rsid w:val="7D127985"/>
    <w:rsid w:val="7D660923"/>
    <w:rsid w:val="7D7B6AD8"/>
    <w:rsid w:val="7DD064C2"/>
    <w:rsid w:val="7DD43CC2"/>
    <w:rsid w:val="7E001EAC"/>
    <w:rsid w:val="7E230656"/>
    <w:rsid w:val="7E291AF0"/>
    <w:rsid w:val="7E41185C"/>
    <w:rsid w:val="7E5B3296"/>
    <w:rsid w:val="7E6D4839"/>
    <w:rsid w:val="7ECC061A"/>
    <w:rsid w:val="7EFC7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rPr>
  </w:style>
  <w:style w:type="paragraph" w:styleId="4">
    <w:name w:val="heading 2"/>
    <w:basedOn w:val="1"/>
    <w:next w:val="1"/>
    <w:link w:val="7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4"/>
    <w:qFormat/>
    <w:uiPriority w:val="0"/>
    <w:pPr>
      <w:keepNext/>
      <w:keepLines/>
      <w:spacing w:before="260" w:after="260" w:line="413" w:lineRule="auto"/>
      <w:outlineLvl w:val="2"/>
    </w:pPr>
    <w:rPr>
      <w:b/>
      <w:sz w:val="32"/>
    </w:rPr>
  </w:style>
  <w:style w:type="paragraph" w:styleId="6">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6"/>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7"/>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0"/>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425" w:hanging="425"/>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69"/>
    <w:qFormat/>
    <w:uiPriority w:val="0"/>
    <w:pPr>
      <w:shd w:val="clear" w:color="auto" w:fill="000080"/>
    </w:pPr>
  </w:style>
  <w:style w:type="paragraph" w:styleId="19">
    <w:name w:val="annotation text"/>
    <w:basedOn w:val="1"/>
    <w:link w:val="148"/>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5"/>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link w:val="142"/>
    <w:unhideWhenUsed/>
    <w:qFormat/>
    <w:uiPriority w:val="0"/>
    <w:pPr>
      <w:spacing w:after="120"/>
    </w:pPr>
  </w:style>
  <w:style w:type="paragraph" w:styleId="23">
    <w:name w:val="Body Text Indent"/>
    <w:basedOn w:val="1"/>
    <w:link w:val="137"/>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6"/>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7"/>
    <w:qFormat/>
    <w:uiPriority w:val="0"/>
    <w:rPr>
      <w:rFonts w:asciiTheme="minorHAnsi" w:hAnsiTheme="minorHAnsi" w:eastAsiaTheme="minorEastAsia" w:cstheme="minorBidi"/>
      <w:szCs w:val="22"/>
    </w:rPr>
  </w:style>
  <w:style w:type="paragraph" w:styleId="33">
    <w:name w:val="Body Text Indent 2"/>
    <w:basedOn w:val="1"/>
    <w:link w:val="174"/>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4"/>
    <w:qFormat/>
    <w:uiPriority w:val="0"/>
    <w:rPr>
      <w:sz w:val="18"/>
    </w:rPr>
  </w:style>
  <w:style w:type="paragraph" w:styleId="35">
    <w:name w:val="footer"/>
    <w:basedOn w:val="1"/>
    <w:link w:val="181"/>
    <w:qFormat/>
    <w:uiPriority w:val="0"/>
    <w:pPr>
      <w:tabs>
        <w:tab w:val="center" w:pos="4153"/>
        <w:tab w:val="right" w:pos="8306"/>
      </w:tabs>
      <w:snapToGrid w:val="0"/>
      <w:jc w:val="left"/>
    </w:pPr>
    <w:rPr>
      <w:sz w:val="18"/>
    </w:rPr>
  </w:style>
  <w:style w:type="paragraph" w:styleId="36">
    <w:name w:val="header"/>
    <w:basedOn w:val="1"/>
    <w:link w:val="17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78"/>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5"/>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4"/>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0"/>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2"/>
    <w:qFormat/>
    <w:uiPriority w:val="0"/>
    <w:pPr>
      <w:adjustRightInd/>
      <w:spacing w:line="240" w:lineRule="auto"/>
      <w:textAlignment w:val="auto"/>
    </w:pPr>
  </w:style>
  <w:style w:type="paragraph" w:styleId="55">
    <w:name w:val="Body Text First Indent"/>
    <w:basedOn w:val="22"/>
    <w:link w:val="143"/>
    <w:qFormat/>
    <w:uiPriority w:val="0"/>
    <w:pPr>
      <w:spacing w:line="360" w:lineRule="auto"/>
      <w:ind w:firstLine="420"/>
    </w:pPr>
    <w:rPr>
      <w:rFonts w:ascii="宋体" w:hAnsi="宋体"/>
      <w:sz w:val="24"/>
    </w:rPr>
  </w:style>
  <w:style w:type="paragraph" w:styleId="56">
    <w:name w:val="Body Text First Indent 2"/>
    <w:basedOn w:val="23"/>
    <w:link w:val="138"/>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标题 1 字符"/>
    <w:basedOn w:val="59"/>
    <w:link w:val="3"/>
    <w:qFormat/>
    <w:uiPriority w:val="0"/>
    <w:rPr>
      <w:rFonts w:ascii="宋体" w:hAnsi="Times New Roman" w:eastAsia="宋体" w:cs="Times New Roman"/>
      <w:sz w:val="28"/>
      <w:szCs w:val="20"/>
    </w:rPr>
  </w:style>
  <w:style w:type="character" w:customStyle="1" w:styleId="73">
    <w:name w:val="标题 2 字符"/>
    <w:basedOn w:val="59"/>
    <w:link w:val="4"/>
    <w:qFormat/>
    <w:uiPriority w:val="0"/>
    <w:rPr>
      <w:rFonts w:ascii="Arial" w:hAnsi="Arial" w:eastAsia="黑体" w:cs="Times New Roman"/>
      <w:b/>
      <w:sz w:val="32"/>
      <w:szCs w:val="20"/>
    </w:rPr>
  </w:style>
  <w:style w:type="character" w:customStyle="1" w:styleId="74">
    <w:name w:val="标题 3 字符"/>
    <w:basedOn w:val="59"/>
    <w:link w:val="5"/>
    <w:qFormat/>
    <w:uiPriority w:val="0"/>
    <w:rPr>
      <w:rFonts w:ascii="Times New Roman" w:hAnsi="Times New Roman" w:eastAsia="宋体" w:cs="Times New Roman"/>
      <w:b/>
      <w:sz w:val="32"/>
      <w:szCs w:val="20"/>
    </w:rPr>
  </w:style>
  <w:style w:type="character" w:customStyle="1" w:styleId="75">
    <w:name w:val="标题 4 字符"/>
    <w:basedOn w:val="59"/>
    <w:link w:val="6"/>
    <w:qFormat/>
    <w:uiPriority w:val="0"/>
    <w:rPr>
      <w:rFonts w:ascii="Arial" w:hAnsi="Arial" w:eastAsia="黑体" w:cs="Times New Roman"/>
      <w:b/>
      <w:sz w:val="28"/>
      <w:szCs w:val="20"/>
    </w:rPr>
  </w:style>
  <w:style w:type="character" w:customStyle="1" w:styleId="76">
    <w:name w:val="标题 5 字符"/>
    <w:basedOn w:val="59"/>
    <w:link w:val="7"/>
    <w:qFormat/>
    <w:uiPriority w:val="0"/>
    <w:rPr>
      <w:rFonts w:ascii="Times New Roman" w:hAnsi="Times New Roman" w:eastAsia="宋体" w:cs="Times New Roman"/>
      <w:b/>
      <w:sz w:val="28"/>
      <w:szCs w:val="20"/>
    </w:rPr>
  </w:style>
  <w:style w:type="character" w:customStyle="1" w:styleId="77">
    <w:name w:val="标题 6 字符"/>
    <w:basedOn w:val="59"/>
    <w:link w:val="8"/>
    <w:qFormat/>
    <w:uiPriority w:val="0"/>
    <w:rPr>
      <w:rFonts w:ascii="Arial" w:hAnsi="Arial" w:eastAsia="黑体" w:cs="Times New Roman"/>
      <w:b/>
      <w:sz w:val="24"/>
      <w:szCs w:val="20"/>
    </w:rPr>
  </w:style>
  <w:style w:type="character" w:customStyle="1" w:styleId="78">
    <w:name w:val="标题 7 字符"/>
    <w:basedOn w:val="59"/>
    <w:link w:val="9"/>
    <w:qFormat/>
    <w:uiPriority w:val="0"/>
    <w:rPr>
      <w:rFonts w:ascii="Arial" w:hAnsi="Arial" w:eastAsia="黑体" w:cs="Times New Roman"/>
      <w:b/>
      <w:sz w:val="24"/>
      <w:szCs w:val="20"/>
    </w:rPr>
  </w:style>
  <w:style w:type="character" w:customStyle="1" w:styleId="79">
    <w:name w:val="标题 8 字符"/>
    <w:basedOn w:val="59"/>
    <w:link w:val="10"/>
    <w:qFormat/>
    <w:uiPriority w:val="0"/>
    <w:rPr>
      <w:rFonts w:ascii="Arial" w:hAnsi="Arial" w:eastAsia="黑体" w:cs="Times New Roman"/>
      <w:b/>
      <w:sz w:val="24"/>
      <w:szCs w:val="20"/>
    </w:rPr>
  </w:style>
  <w:style w:type="character" w:customStyle="1" w:styleId="80">
    <w:name w:val="标题 9 字符"/>
    <w:basedOn w:val="59"/>
    <w:link w:val="11"/>
    <w:qFormat/>
    <w:uiPriority w:val="0"/>
    <w:rPr>
      <w:rFonts w:ascii="Arial" w:hAnsi="Arial" w:eastAsia="黑体" w:cs="Times New Roman"/>
      <w:b/>
      <w:sz w:val="24"/>
      <w:szCs w:val="20"/>
    </w:rPr>
  </w:style>
  <w:style w:type="character" w:customStyle="1" w:styleId="81">
    <w:name w:val="正文文本缩进 Char"/>
    <w:qFormat/>
    <w:uiPriority w:val="0"/>
    <w:rPr>
      <w:kern w:val="2"/>
      <w:sz w:val="44"/>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样式 宋体"/>
    <w:qFormat/>
    <w:uiPriority w:val="0"/>
    <w:rPr>
      <w:rFonts w:ascii="宋体" w:hAnsi="宋体" w:eastAsia="宋体"/>
      <w:sz w:val="28"/>
    </w:rPr>
  </w:style>
  <w:style w:type="character" w:customStyle="1" w:styleId="84">
    <w:name w:val="Char Char4"/>
    <w:qFormat/>
    <w:uiPriority w:val="0"/>
    <w:rPr>
      <w:rFonts w:eastAsia="宋体"/>
      <w:b/>
      <w:kern w:val="2"/>
      <w:sz w:val="21"/>
      <w:lang w:val="en-US" w:eastAsia="zh-CN"/>
    </w:rPr>
  </w:style>
  <w:style w:type="character" w:customStyle="1" w:styleId="85">
    <w:name w:val="title_emph1"/>
    <w:qFormat/>
    <w:uiPriority w:val="0"/>
    <w:rPr>
      <w:rFonts w:hint="default" w:ascii="Arial" w:hAnsi="Arial"/>
      <w:b/>
      <w:sz w:val="20"/>
    </w:rPr>
  </w:style>
  <w:style w:type="character" w:customStyle="1" w:styleId="86">
    <w:name w:val="文字 Char"/>
    <w:link w:val="87"/>
    <w:qFormat/>
    <w:uiPriority w:val="0"/>
    <w:rPr>
      <w:rFonts w:ascii="宋体"/>
      <w:sz w:val="28"/>
    </w:rPr>
  </w:style>
  <w:style w:type="paragraph" w:customStyle="1" w:styleId="87">
    <w:name w:val="文字"/>
    <w:basedOn w:val="1"/>
    <w:link w:val="86"/>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8">
    <w:name w:val="正文文本缩进 2 Char"/>
    <w:qFormat/>
    <w:uiPriority w:val="0"/>
    <w:rPr>
      <w:sz w:val="28"/>
    </w:rPr>
  </w:style>
  <w:style w:type="character" w:customStyle="1" w:styleId="89">
    <w:name w:val="Char Char11"/>
    <w:qFormat/>
    <w:uiPriority w:val="0"/>
    <w:rPr>
      <w:rFonts w:ascii="宋体"/>
      <w:kern w:val="2"/>
      <w:sz w:val="28"/>
    </w:rPr>
  </w:style>
  <w:style w:type="character" w:customStyle="1" w:styleId="90">
    <w:name w:val="批注文字 Char"/>
    <w:qFormat/>
    <w:uiPriority w:val="0"/>
    <w:rPr>
      <w:sz w:val="24"/>
    </w:rPr>
  </w:style>
  <w:style w:type="character" w:customStyle="1" w:styleId="91">
    <w:name w:val="Char Char6"/>
    <w:qFormat/>
    <w:uiPriority w:val="0"/>
    <w:rPr>
      <w:rFonts w:ascii="仿宋_GB2312" w:eastAsia="仿宋_GB2312"/>
      <w:kern w:val="2"/>
      <w:sz w:val="32"/>
    </w:rPr>
  </w:style>
  <w:style w:type="character" w:customStyle="1" w:styleId="92">
    <w:name w:val="正文 + 三号 Char"/>
    <w:qFormat/>
    <w:uiPriority w:val="0"/>
    <w:rPr>
      <w:rFonts w:eastAsia="宋体"/>
      <w:kern w:val="2"/>
      <w:sz w:val="21"/>
      <w:lang w:val="en-US" w:eastAsia="zh-CN"/>
    </w:rPr>
  </w:style>
  <w:style w:type="character" w:customStyle="1" w:styleId="93">
    <w:name w:val="脚注文本 Char"/>
    <w:qFormat/>
    <w:uiPriority w:val="0"/>
    <w:rPr>
      <w:sz w:val="18"/>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v151"/>
    <w:qFormat/>
    <w:uiPriority w:val="0"/>
    <w:rPr>
      <w:sz w:val="18"/>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未命名11"/>
    <w:qFormat/>
    <w:uiPriority w:val="0"/>
    <w:rPr>
      <w:color w:val="77FFFF"/>
      <w:sz w:val="24"/>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标书正文:  0.74 厘米 Char1"/>
    <w:qFormat/>
    <w:uiPriority w:val="0"/>
    <w:rPr>
      <w:rFonts w:eastAsia="宋体"/>
      <w:kern w:val="2"/>
      <w:sz w:val="24"/>
      <w:lang w:val="en-US" w:eastAsia="zh-CN"/>
    </w:rPr>
  </w:style>
  <w:style w:type="character" w:customStyle="1" w:styleId="101">
    <w:name w:val="Char Char2"/>
    <w:qFormat/>
    <w:uiPriority w:val="0"/>
    <w:rPr>
      <w:rFonts w:eastAsia="宋体"/>
      <w:kern w:val="2"/>
      <w:sz w:val="18"/>
      <w:lang w:val="en-US" w:eastAsia="zh-CN"/>
    </w:rPr>
  </w:style>
  <w:style w:type="character" w:customStyle="1" w:styleId="102">
    <w:name w:val="top-det1"/>
    <w:qFormat/>
    <w:uiPriority w:val="0"/>
    <w:rPr>
      <w:b/>
      <w:color w:val="000000"/>
    </w:rPr>
  </w:style>
  <w:style w:type="character" w:customStyle="1" w:styleId="103">
    <w:name w:val="日期 Char"/>
    <w:qFormat/>
    <w:uiPriority w:val="0"/>
    <w:rPr>
      <w:sz w:val="28"/>
    </w:rPr>
  </w:style>
  <w:style w:type="character" w:customStyle="1" w:styleId="104">
    <w:name w:val="批注主题 Char"/>
    <w:basedOn w:val="90"/>
    <w:qFormat/>
    <w:uiPriority w:val="0"/>
    <w:rPr>
      <w:sz w:val="24"/>
    </w:rPr>
  </w:style>
  <w:style w:type="character" w:customStyle="1" w:styleId="105">
    <w:name w:val="Char Char3"/>
    <w:qFormat/>
    <w:uiPriority w:val="0"/>
    <w:rPr>
      <w:rFonts w:eastAsia="宋体"/>
      <w:kern w:val="2"/>
      <w:sz w:val="18"/>
      <w:lang w:val="en-US" w:eastAsia="zh-CN"/>
    </w:rPr>
  </w:style>
  <w:style w:type="character" w:customStyle="1" w:styleId="106">
    <w:name w:val="Table Text Char"/>
    <w:link w:val="107"/>
    <w:qFormat/>
    <w:uiPriority w:val="0"/>
    <w:rPr>
      <w:rFonts w:ascii="Arial" w:hAnsi="Arial"/>
      <w:sz w:val="18"/>
    </w:rPr>
  </w:style>
  <w:style w:type="paragraph" w:customStyle="1" w:styleId="107">
    <w:name w:val="Table Text"/>
    <w:link w:val="10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8">
    <w:name w:val="crowed11"/>
    <w:qFormat/>
    <w:uiPriority w:val="0"/>
    <w:rPr>
      <w:rFonts w:hint="default"/>
      <w:sz w:val="24"/>
    </w:rPr>
  </w:style>
  <w:style w:type="character" w:customStyle="1" w:styleId="109">
    <w:name w:val="font1"/>
    <w:qFormat/>
    <w:uiPriority w:val="0"/>
    <w:rPr>
      <w:color w:val="000000"/>
      <w:sz w:val="18"/>
    </w:rPr>
  </w:style>
  <w:style w:type="character" w:customStyle="1" w:styleId="110">
    <w:name w:val="Table Text Char Char Char Char"/>
    <w:link w:val="111"/>
    <w:qFormat/>
    <w:uiPriority w:val="0"/>
    <w:rPr>
      <w:rFonts w:ascii="Arial" w:hAnsi="Arial"/>
      <w:sz w:val="18"/>
    </w:rPr>
  </w:style>
  <w:style w:type="paragraph" w:customStyle="1" w:styleId="111">
    <w:name w:val="Table Text Char Char Char"/>
    <w:link w:val="11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2">
    <w:name w:val="H2 Char"/>
    <w:qFormat/>
    <w:uiPriority w:val="0"/>
    <w:rPr>
      <w:rFonts w:ascii="Arial" w:hAnsi="Arial" w:eastAsia="宋体"/>
      <w:kern w:val="2"/>
      <w:sz w:val="28"/>
      <w:lang w:val="en-US" w:eastAsia="zh-CN"/>
    </w:rPr>
  </w:style>
  <w:style w:type="character" w:customStyle="1" w:styleId="113">
    <w:name w:val="content-white1"/>
    <w:qFormat/>
    <w:uiPriority w:val="0"/>
    <w:rPr>
      <w:color w:val="auto"/>
      <w:sz w:val="18"/>
      <w:u w:val="none"/>
    </w:rPr>
  </w:style>
  <w:style w:type="character" w:customStyle="1" w:styleId="114">
    <w:name w:val="正文首行缩进 2 Char"/>
    <w:basedOn w:val="81"/>
    <w:qFormat/>
    <w:uiPriority w:val="0"/>
    <w:rPr>
      <w:kern w:val="2"/>
      <w:sz w:val="44"/>
    </w:rPr>
  </w:style>
  <w:style w:type="character" w:customStyle="1" w:styleId="115">
    <w:name w:val="Char Char7"/>
    <w:qFormat/>
    <w:uiPriority w:val="0"/>
    <w:rPr>
      <w:rFonts w:ascii="宋体" w:hAnsi="宋体" w:eastAsia="宋体"/>
      <w:kern w:val="2"/>
      <w:sz w:val="28"/>
    </w:rPr>
  </w:style>
  <w:style w:type="paragraph" w:customStyle="1" w:styleId="116">
    <w:name w:val="样式 首行缩进:  0.74 厘米"/>
    <w:basedOn w:val="1"/>
    <w:qFormat/>
    <w:uiPriority w:val="0"/>
    <w:pPr>
      <w:spacing w:line="360" w:lineRule="auto"/>
      <w:ind w:firstLine="420"/>
    </w:pPr>
    <w:rPr>
      <w:sz w:val="24"/>
    </w:rPr>
  </w:style>
  <w:style w:type="paragraph" w:customStyle="1" w:styleId="11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19">
    <w:name w:val="正文 + 三号"/>
    <w:basedOn w:val="1"/>
    <w:qFormat/>
    <w:uiPriority w:val="0"/>
    <w:rPr>
      <w:sz w:val="21"/>
    </w:rPr>
  </w:style>
  <w:style w:type="character" w:customStyle="1" w:styleId="120">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3">
    <w:name w:val="样式 正文缩进正文（首行缩进两字）表正文正文非缩进特点标题4段1 + 首行缩进:  2 字符"/>
    <w:basedOn w:val="16"/>
    <w:qFormat/>
    <w:uiPriority w:val="0"/>
    <w:pPr>
      <w:ind w:firstLine="480" w:firstLineChars="200"/>
    </w:pPr>
  </w:style>
  <w:style w:type="paragraph" w:customStyle="1" w:styleId="124">
    <w:name w:val="1.正文"/>
    <w:basedOn w:val="1"/>
    <w:qFormat/>
    <w:uiPriority w:val="0"/>
    <w:pPr>
      <w:spacing w:line="360" w:lineRule="auto"/>
      <w:ind w:left="540" w:leftChars="225" w:firstLine="540" w:firstLineChars="225"/>
    </w:pPr>
    <w:rPr>
      <w:sz w:val="24"/>
    </w:rPr>
  </w:style>
  <w:style w:type="paragraph" w:customStyle="1" w:styleId="125">
    <w:name w:val="正文4"/>
    <w:basedOn w:val="1"/>
    <w:qFormat/>
    <w:uiPriority w:val="0"/>
    <w:pPr>
      <w:tabs>
        <w:tab w:val="left" w:pos="1275"/>
      </w:tabs>
      <w:spacing w:before="60" w:after="60" w:line="360" w:lineRule="auto"/>
      <w:ind w:left="820" w:leftChars="400" w:hanging="705"/>
    </w:pPr>
    <w:rPr>
      <w:sz w:val="24"/>
    </w:rPr>
  </w:style>
  <w:style w:type="character" w:customStyle="1" w:styleId="126">
    <w:name w:val="纯文本 字符"/>
    <w:basedOn w:val="59"/>
    <w:link w:val="30"/>
    <w:qFormat/>
    <w:uiPriority w:val="0"/>
    <w:rPr>
      <w:rFonts w:ascii="宋体" w:hAnsi="Courier New" w:eastAsia="宋体" w:cs="Times New Roman"/>
      <w:szCs w:val="20"/>
    </w:rPr>
  </w:style>
  <w:style w:type="paragraph" w:customStyle="1" w:styleId="127">
    <w:name w:val="Char"/>
    <w:basedOn w:val="1"/>
    <w:qFormat/>
    <w:uiPriority w:val="0"/>
    <w:pPr>
      <w:spacing w:line="240" w:lineRule="atLeast"/>
      <w:ind w:left="420" w:firstLine="420"/>
    </w:pPr>
    <w:rPr>
      <w:kern w:val="0"/>
      <w:sz w:val="21"/>
    </w:rPr>
  </w:style>
  <w:style w:type="paragraph" w:customStyle="1" w:styleId="12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2">
    <w:name w:val="Char2"/>
    <w:basedOn w:val="1"/>
    <w:qFormat/>
    <w:uiPriority w:val="0"/>
    <w:pPr>
      <w:spacing w:line="240" w:lineRule="atLeast"/>
      <w:ind w:left="420" w:firstLine="420"/>
    </w:pPr>
    <w:rPr>
      <w:kern w:val="0"/>
      <w:sz w:val="21"/>
    </w:rPr>
  </w:style>
  <w:style w:type="paragraph" w:customStyle="1" w:styleId="1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文章正文"/>
    <w:basedOn w:val="1"/>
    <w:qFormat/>
    <w:uiPriority w:val="0"/>
    <w:pPr>
      <w:ind w:firstLine="560" w:firstLineChars="200"/>
    </w:pPr>
    <w:rPr>
      <w:rFonts w:ascii="仿宋_GB2312" w:hAnsi="宋体" w:eastAsia="仿宋_GB2312"/>
      <w:color w:val="000000"/>
    </w:rPr>
  </w:style>
  <w:style w:type="paragraph" w:customStyle="1" w:styleId="136">
    <w:name w:val="表头文本"/>
    <w:qFormat/>
    <w:uiPriority w:val="0"/>
    <w:pPr>
      <w:jc w:val="center"/>
    </w:pPr>
    <w:rPr>
      <w:rFonts w:ascii="Arial" w:hAnsi="Arial" w:eastAsia="宋体" w:cs="Times New Roman"/>
      <w:b/>
      <w:sz w:val="21"/>
      <w:lang w:val="en-US" w:eastAsia="zh-CN" w:bidi="ar-SA"/>
    </w:rPr>
  </w:style>
  <w:style w:type="character" w:customStyle="1" w:styleId="137">
    <w:name w:val="正文文本缩进 字符"/>
    <w:basedOn w:val="59"/>
    <w:link w:val="23"/>
    <w:semiHidden/>
    <w:qFormat/>
    <w:uiPriority w:val="99"/>
    <w:rPr>
      <w:rFonts w:ascii="Times New Roman" w:hAnsi="Times New Roman" w:eastAsia="宋体" w:cs="Times New Roman"/>
      <w:sz w:val="28"/>
      <w:szCs w:val="20"/>
    </w:rPr>
  </w:style>
  <w:style w:type="character" w:customStyle="1" w:styleId="138">
    <w:name w:val="正文文本首行缩进 2 字符"/>
    <w:basedOn w:val="137"/>
    <w:link w:val="56"/>
    <w:semiHidden/>
    <w:qFormat/>
    <w:uiPriority w:val="99"/>
    <w:rPr>
      <w:rFonts w:ascii="Times New Roman" w:hAnsi="Times New Roman" w:eastAsia="宋体" w:cs="Times New Roman"/>
      <w:sz w:val="28"/>
      <w:szCs w:val="20"/>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2">
    <w:name w:val="正文文本 字符"/>
    <w:basedOn w:val="59"/>
    <w:link w:val="22"/>
    <w:semiHidden/>
    <w:qFormat/>
    <w:uiPriority w:val="99"/>
    <w:rPr>
      <w:rFonts w:ascii="Times New Roman" w:hAnsi="Times New Roman" w:eastAsia="宋体" w:cs="Times New Roman"/>
      <w:sz w:val="28"/>
      <w:szCs w:val="20"/>
    </w:rPr>
  </w:style>
  <w:style w:type="character" w:customStyle="1" w:styleId="143">
    <w:name w:val="正文文本首行缩进 字符"/>
    <w:basedOn w:val="142"/>
    <w:link w:val="55"/>
    <w:qFormat/>
    <w:uiPriority w:val="0"/>
    <w:rPr>
      <w:rFonts w:ascii="宋体" w:hAnsi="宋体" w:eastAsia="宋体" w:cs="Times New Roman"/>
      <w:sz w:val="24"/>
      <w:szCs w:val="20"/>
    </w:rPr>
  </w:style>
  <w:style w:type="character" w:customStyle="1" w:styleId="144">
    <w:name w:val="正文文本 2 字符"/>
    <w:basedOn w:val="59"/>
    <w:link w:val="47"/>
    <w:qFormat/>
    <w:uiPriority w:val="0"/>
    <w:rPr>
      <w:rFonts w:ascii="Times New Roman" w:hAnsi="Times New Roman" w:eastAsia="宋体" w:cs="Times New Roman"/>
      <w:sz w:val="24"/>
      <w:szCs w:val="20"/>
    </w:rPr>
  </w:style>
  <w:style w:type="paragraph" w:customStyle="1" w:styleId="145">
    <w:name w:val="Char Char14 Char Char"/>
    <w:basedOn w:val="1"/>
    <w:qFormat/>
    <w:uiPriority w:val="0"/>
    <w:rPr>
      <w:sz w:val="21"/>
      <w:szCs w:val="24"/>
    </w:rPr>
  </w:style>
  <w:style w:type="paragraph" w:customStyle="1" w:styleId="1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7">
    <w:name w:val="Char Char Char"/>
    <w:basedOn w:val="1"/>
    <w:qFormat/>
    <w:uiPriority w:val="0"/>
    <w:rPr>
      <w:rFonts w:ascii="Tahoma" w:hAnsi="Tahoma"/>
      <w:sz w:val="24"/>
    </w:rPr>
  </w:style>
  <w:style w:type="character" w:customStyle="1" w:styleId="148">
    <w:name w:val="批注文字 字符"/>
    <w:basedOn w:val="59"/>
    <w:link w:val="19"/>
    <w:semiHidden/>
    <w:qFormat/>
    <w:uiPriority w:val="99"/>
    <w:rPr>
      <w:rFonts w:ascii="Times New Roman" w:hAnsi="Times New Roman" w:eastAsia="宋体" w:cs="Times New Roman"/>
      <w:sz w:val="28"/>
      <w:szCs w:val="20"/>
    </w:rPr>
  </w:style>
  <w:style w:type="paragraph" w:customStyle="1" w:styleId="14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0">
    <w:name w:val="样式4"/>
    <w:basedOn w:val="6"/>
    <w:qFormat/>
    <w:uiPriority w:val="0"/>
    <w:pPr>
      <w:adjustRightInd w:val="0"/>
      <w:snapToGrid w:val="0"/>
    </w:pPr>
  </w:style>
  <w:style w:type="paragraph" w:customStyle="1" w:styleId="151">
    <w:name w:val="编号正文"/>
    <w:basedOn w:val="128"/>
    <w:qFormat/>
    <w:uiPriority w:val="0"/>
    <w:pPr>
      <w:snapToGrid/>
      <w:spacing w:line="360" w:lineRule="auto"/>
      <w:ind w:left="1407" w:hanging="1047"/>
      <w:jc w:val="left"/>
    </w:pPr>
    <w:rPr>
      <w:rFonts w:eastAsia="仿宋_GB2312"/>
    </w:rPr>
  </w:style>
  <w:style w:type="paragraph" w:customStyle="1" w:styleId="152">
    <w:name w:val="Char1 Char Char Char"/>
    <w:basedOn w:val="1"/>
    <w:qFormat/>
    <w:uiPriority w:val="0"/>
    <w:rPr>
      <w:rFonts w:ascii="Tahoma" w:hAnsi="Tahoma"/>
      <w:sz w:val="24"/>
    </w:rPr>
  </w:style>
  <w:style w:type="paragraph" w:customStyle="1" w:styleId="153">
    <w:name w:val="正文1"/>
    <w:basedOn w:val="1"/>
    <w:qFormat/>
    <w:uiPriority w:val="0"/>
    <w:pPr>
      <w:spacing w:line="300" w:lineRule="auto"/>
      <w:ind w:firstLine="200" w:firstLineChars="200"/>
    </w:pPr>
    <w:rPr>
      <w:sz w:val="24"/>
    </w:rPr>
  </w:style>
  <w:style w:type="character" w:customStyle="1" w:styleId="154">
    <w:name w:val="批注框文本 字符"/>
    <w:basedOn w:val="59"/>
    <w:link w:val="34"/>
    <w:qFormat/>
    <w:uiPriority w:val="0"/>
    <w:rPr>
      <w:rFonts w:ascii="Times New Roman" w:hAnsi="Times New Roman" w:eastAsia="宋体" w:cs="Times New Roman"/>
      <w:sz w:val="18"/>
      <w:szCs w:val="20"/>
    </w:rPr>
  </w:style>
  <w:style w:type="paragraph" w:customStyle="1" w:styleId="155">
    <w:name w:val="af"/>
    <w:basedOn w:val="1"/>
    <w:qFormat/>
    <w:uiPriority w:val="0"/>
    <w:pPr>
      <w:widowControl/>
      <w:spacing w:line="300" w:lineRule="atLeast"/>
      <w:jc w:val="left"/>
    </w:pPr>
    <w:rPr>
      <w:rFonts w:ascii="宋体" w:hAnsi="宋体"/>
      <w:kern w:val="0"/>
      <w:sz w:val="18"/>
    </w:rPr>
  </w:style>
  <w:style w:type="paragraph" w:customStyle="1" w:styleId="15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7">
    <w:name w:val="日期 字符"/>
    <w:basedOn w:val="59"/>
    <w:link w:val="32"/>
    <w:semiHidden/>
    <w:qFormat/>
    <w:uiPriority w:val="99"/>
    <w:rPr>
      <w:rFonts w:ascii="Times New Roman" w:hAnsi="Times New Roman" w:eastAsia="宋体" w:cs="Times New Roman"/>
      <w:sz w:val="28"/>
      <w:szCs w:val="20"/>
    </w:rPr>
  </w:style>
  <w:style w:type="paragraph" w:customStyle="1" w:styleId="158">
    <w:name w:val="样式1xz"/>
    <w:basedOn w:val="1"/>
    <w:qFormat/>
    <w:uiPriority w:val="0"/>
    <w:pPr>
      <w:tabs>
        <w:tab w:val="left" w:pos="1050"/>
        <w:tab w:val="right" w:leader="dot" w:pos="8296"/>
      </w:tabs>
    </w:pPr>
    <w:rPr>
      <w:caps/>
      <w:spacing w:val="20"/>
      <w:sz w:val="24"/>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1">
    <w:name w:val="正文文本 21"/>
    <w:basedOn w:val="1"/>
    <w:qFormat/>
    <w:uiPriority w:val="0"/>
    <w:pPr>
      <w:adjustRightInd w:val="0"/>
      <w:spacing w:before="120" w:line="360" w:lineRule="auto"/>
      <w:ind w:firstLine="480"/>
      <w:textAlignment w:val="baseline"/>
    </w:pPr>
    <w:rPr>
      <w:sz w:val="24"/>
    </w:rPr>
  </w:style>
  <w:style w:type="character" w:customStyle="1" w:styleId="162">
    <w:name w:val="批注主题 字符"/>
    <w:basedOn w:val="148"/>
    <w:link w:val="54"/>
    <w:semiHidden/>
    <w:qFormat/>
    <w:uiPriority w:val="99"/>
    <w:rPr>
      <w:rFonts w:ascii="Times New Roman" w:hAnsi="Times New Roman" w:eastAsia="宋体" w:cs="Times New Roman"/>
      <w:b/>
      <w:bCs/>
      <w:sz w:val="28"/>
      <w:szCs w:val="20"/>
    </w:rPr>
  </w:style>
  <w:style w:type="paragraph" w:customStyle="1" w:styleId="163">
    <w:name w:val="一级条标题"/>
    <w:basedOn w:val="164"/>
    <w:next w:val="133"/>
    <w:qFormat/>
    <w:uiPriority w:val="0"/>
    <w:pPr>
      <w:ind w:left="525"/>
      <w:outlineLvl w:val="2"/>
    </w:pPr>
    <w:rPr>
      <w:sz w:val="21"/>
    </w:rPr>
  </w:style>
  <w:style w:type="paragraph" w:customStyle="1" w:styleId="164">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5">
    <w:name w:val="正文文本缩进 3 字符"/>
    <w:basedOn w:val="59"/>
    <w:link w:val="43"/>
    <w:qFormat/>
    <w:uiPriority w:val="0"/>
    <w:rPr>
      <w:rFonts w:ascii="黑体" w:hAnsi="Times New Roman" w:eastAsia="黑体" w:cs="Times New Roman"/>
      <w:sz w:val="28"/>
      <w:szCs w:val="20"/>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8">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69">
    <w:name w:val="文档结构图 字符"/>
    <w:basedOn w:val="59"/>
    <w:link w:val="18"/>
    <w:qFormat/>
    <w:uiPriority w:val="0"/>
    <w:rPr>
      <w:rFonts w:ascii="Times New Roman" w:hAnsi="Times New Roman" w:eastAsia="宋体" w:cs="Times New Roman"/>
      <w:sz w:val="28"/>
      <w:szCs w:val="20"/>
      <w:shd w:val="clear" w:color="auto" w:fill="000080"/>
    </w:rPr>
  </w:style>
  <w:style w:type="character" w:customStyle="1" w:styleId="170">
    <w:name w:val="页眉 字符"/>
    <w:basedOn w:val="59"/>
    <w:link w:val="36"/>
    <w:qFormat/>
    <w:uiPriority w:val="0"/>
    <w:rPr>
      <w:rFonts w:ascii="Times New Roman" w:hAnsi="Times New Roman" w:eastAsia="宋体" w:cs="Times New Roman"/>
      <w:sz w:val="18"/>
      <w:szCs w:val="20"/>
    </w:rPr>
  </w:style>
  <w:style w:type="paragraph" w:customStyle="1" w:styleId="171">
    <w:name w:val="标题无"/>
    <w:basedOn w:val="1"/>
    <w:qFormat/>
    <w:uiPriority w:val="0"/>
    <w:pPr>
      <w:spacing w:line="360" w:lineRule="auto"/>
    </w:pPr>
    <w:rPr>
      <w:sz w:val="24"/>
    </w:rPr>
  </w:style>
  <w:style w:type="paragraph" w:customStyle="1" w:styleId="17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3">
    <w:name w:val="Char Char1 Char"/>
    <w:basedOn w:val="1"/>
    <w:qFormat/>
    <w:uiPriority w:val="0"/>
    <w:rPr>
      <w:rFonts w:ascii="Tahoma" w:hAnsi="Tahoma"/>
      <w:sz w:val="24"/>
      <w:szCs w:val="24"/>
    </w:rPr>
  </w:style>
  <w:style w:type="character" w:customStyle="1" w:styleId="174">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8">
    <w:name w:val="脚注文本 字符"/>
    <w:basedOn w:val="59"/>
    <w:link w:val="40"/>
    <w:semiHidden/>
    <w:qFormat/>
    <w:uiPriority w:val="99"/>
    <w:rPr>
      <w:rFonts w:ascii="Times New Roman" w:hAnsi="Times New Roman" w:eastAsia="宋体" w:cs="Times New Roman"/>
      <w:sz w:val="18"/>
      <w:szCs w:val="18"/>
    </w:rPr>
  </w:style>
  <w:style w:type="paragraph" w:customStyle="1" w:styleId="179">
    <w:name w:val="00"/>
    <w:basedOn w:val="1"/>
    <w:qFormat/>
    <w:uiPriority w:val="0"/>
    <w:pPr>
      <w:autoSpaceDE w:val="0"/>
      <w:autoSpaceDN w:val="0"/>
      <w:adjustRightInd w:val="0"/>
      <w:jc w:val="left"/>
    </w:pPr>
    <w:rPr>
      <w:rFonts w:ascii="黑体" w:eastAsia="黑体"/>
      <w:b/>
      <w:kern w:val="0"/>
      <w:sz w:val="20"/>
    </w:rPr>
  </w:style>
  <w:style w:type="paragraph" w:customStyle="1" w:styleId="18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1">
    <w:name w:val="页脚 字符"/>
    <w:basedOn w:val="59"/>
    <w:link w:val="35"/>
    <w:qFormat/>
    <w:uiPriority w:val="0"/>
    <w:rPr>
      <w:rFonts w:ascii="Times New Roman" w:hAnsi="Times New Roman" w:eastAsia="宋体" w:cs="Times New Roman"/>
      <w:sz w:val="18"/>
      <w:szCs w:val="20"/>
    </w:rPr>
  </w:style>
  <w:style w:type="paragraph" w:customStyle="1" w:styleId="182">
    <w:name w:val="正文（首行不缩进）"/>
    <w:basedOn w:val="1"/>
    <w:qFormat/>
    <w:uiPriority w:val="0"/>
    <w:pPr>
      <w:autoSpaceDE w:val="0"/>
      <w:autoSpaceDN w:val="0"/>
      <w:adjustRightInd w:val="0"/>
      <w:spacing w:line="360" w:lineRule="auto"/>
      <w:jc w:val="left"/>
    </w:pPr>
    <w:rPr>
      <w:kern w:val="0"/>
      <w:sz w:val="21"/>
    </w:rPr>
  </w:style>
  <w:style w:type="paragraph" w:customStyle="1" w:styleId="183">
    <w:name w:val="Title - Revision"/>
    <w:basedOn w:val="53"/>
    <w:qFormat/>
    <w:uiPriority w:val="0"/>
    <w:pPr>
      <w:spacing w:before="720"/>
    </w:pPr>
  </w:style>
  <w:style w:type="paragraph" w:customStyle="1" w:styleId="184">
    <w:name w:val="首行缩进 1"/>
    <w:basedOn w:val="1"/>
    <w:qFormat/>
    <w:uiPriority w:val="0"/>
    <w:pPr>
      <w:spacing w:after="120" w:line="360" w:lineRule="auto"/>
      <w:ind w:firstLine="200" w:firstLineChars="200"/>
    </w:pPr>
    <w:rPr>
      <w:sz w:val="24"/>
    </w:rPr>
  </w:style>
  <w:style w:type="character" w:customStyle="1" w:styleId="185">
    <w:name w:val="正文文本 3 字符"/>
    <w:basedOn w:val="59"/>
    <w:link w:val="20"/>
    <w:qFormat/>
    <w:uiPriority w:val="0"/>
    <w:rPr>
      <w:rFonts w:ascii="Times New Roman" w:hAnsi="Times New Roman" w:eastAsia="宋体" w:cs="Times New Roman"/>
      <w:sz w:val="16"/>
      <w:szCs w:val="20"/>
    </w:rPr>
  </w:style>
  <w:style w:type="paragraph" w:customStyle="1" w:styleId="186">
    <w:name w:val="Char Char Char Char Char Char Char Char Char Char Char Char Char Char Char Char"/>
    <w:basedOn w:val="1"/>
    <w:qFormat/>
    <w:uiPriority w:val="0"/>
    <w:pPr>
      <w:tabs>
        <w:tab w:val="left" w:pos="360"/>
      </w:tabs>
    </w:pPr>
    <w:rPr>
      <w:sz w:val="24"/>
    </w:rPr>
  </w:style>
  <w:style w:type="paragraph" w:customStyle="1" w:styleId="187">
    <w:name w:val="二级列表"/>
    <w:basedOn w:val="188"/>
    <w:next w:val="188"/>
    <w:qFormat/>
    <w:uiPriority w:val="0"/>
    <w:pPr>
      <w:tabs>
        <w:tab w:val="left" w:pos="2120"/>
      </w:tabs>
      <w:ind w:firstLine="0" w:firstLineChars="0"/>
    </w:pPr>
    <w:rPr>
      <w:b/>
    </w:rPr>
  </w:style>
  <w:style w:type="paragraph" w:customStyle="1" w:styleId="188">
    <w:name w:val="段落正文"/>
    <w:basedOn w:val="1"/>
    <w:qFormat/>
    <w:uiPriority w:val="0"/>
    <w:pPr>
      <w:spacing w:beforeLines="50" w:line="360" w:lineRule="auto"/>
      <w:ind w:firstLine="200" w:firstLineChars="200"/>
    </w:pPr>
    <w:rPr>
      <w:spacing w:val="2"/>
      <w:sz w:val="24"/>
    </w:rPr>
  </w:style>
  <w:style w:type="paragraph" w:customStyle="1" w:styleId="18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2">
    <w:name w:val="标书正文:  0.74 厘米"/>
    <w:basedOn w:val="1"/>
    <w:qFormat/>
    <w:uiPriority w:val="0"/>
    <w:pPr>
      <w:snapToGrid w:val="0"/>
      <w:spacing w:line="360" w:lineRule="auto"/>
      <w:ind w:firstLine="420"/>
    </w:pPr>
    <w:rPr>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正文文本缩进 21"/>
    <w:basedOn w:val="1"/>
    <w:qFormat/>
    <w:uiPriority w:val="0"/>
    <w:pPr>
      <w:adjustRightInd w:val="0"/>
      <w:spacing w:before="120"/>
      <w:ind w:firstLine="420"/>
      <w:textAlignment w:val="baseline"/>
    </w:pPr>
    <w:rPr>
      <w:sz w:val="24"/>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_Style 1"/>
    <w:basedOn w:val="1"/>
    <w:qFormat/>
    <w:uiPriority w:val="0"/>
    <w:pPr>
      <w:ind w:firstLine="420" w:firstLineChars="200"/>
    </w:pPr>
    <w:rPr>
      <w:rFonts w:ascii="Calibri" w:hAnsi="Calibri"/>
      <w:sz w:val="21"/>
      <w:szCs w:val="24"/>
    </w:rPr>
  </w:style>
  <w:style w:type="paragraph" w:customStyle="1" w:styleId="197">
    <w:name w:val="表格内文字"/>
    <w:basedOn w:val="30"/>
    <w:qFormat/>
    <w:uiPriority w:val="0"/>
    <w:pPr>
      <w:adjustRightInd w:val="0"/>
    </w:pPr>
    <w:rPr>
      <w:color w:val="000000"/>
      <w:lang w:val="en-GB"/>
    </w:rPr>
  </w:style>
  <w:style w:type="paragraph" w:customStyle="1" w:styleId="198">
    <w:name w:val="Title - Date"/>
    <w:basedOn w:val="53"/>
    <w:next w:val="1"/>
    <w:qFormat/>
    <w:uiPriority w:val="0"/>
    <w:pPr>
      <w:spacing w:before="240" w:after="720"/>
    </w:pPr>
    <w:rPr>
      <w:sz w:val="28"/>
    </w:rPr>
  </w:style>
  <w:style w:type="paragraph" w:customStyle="1" w:styleId="199">
    <w:name w:val="默认段落字体 Para Char Char Char Char Char Char Char"/>
    <w:basedOn w:val="1"/>
    <w:qFormat/>
    <w:uiPriority w:val="0"/>
    <w:rPr>
      <w:rFonts w:ascii="Tahoma" w:hAnsi="Tahoma"/>
      <w:sz w:val="24"/>
    </w:rPr>
  </w:style>
  <w:style w:type="paragraph" w:customStyle="1" w:styleId="200">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1">
    <w:name w:val="Table Contents"/>
    <w:basedOn w:val="22"/>
    <w:qFormat/>
    <w:uiPriority w:val="0"/>
    <w:pPr>
      <w:suppressAutoHyphens/>
      <w:spacing w:after="0"/>
      <w:jc w:val="left"/>
    </w:pPr>
    <w:rPr>
      <w:rFonts w:eastAsia="Times New Roman"/>
      <w:kern w:val="0"/>
      <w:sz w:val="24"/>
    </w:rPr>
  </w:style>
  <w:style w:type="paragraph" w:customStyle="1" w:styleId="20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3">
    <w:name w:val="Char Char Char Char Char Char"/>
    <w:basedOn w:val="1"/>
    <w:qFormat/>
    <w:uiPriority w:val="0"/>
    <w:pPr>
      <w:widowControl/>
      <w:spacing w:after="160" w:line="240" w:lineRule="exact"/>
      <w:jc w:val="left"/>
    </w:pPr>
  </w:style>
  <w:style w:type="paragraph" w:customStyle="1" w:styleId="204">
    <w:name w:val="标准正文"/>
    <w:basedOn w:val="23"/>
    <w:qFormat/>
    <w:uiPriority w:val="0"/>
    <w:pPr>
      <w:spacing w:before="60" w:after="60" w:line="360" w:lineRule="auto"/>
      <w:ind w:left="0" w:leftChars="0" w:firstLine="482"/>
    </w:pPr>
    <w:rPr>
      <w:rFonts w:ascii="Arial" w:hAnsi="Arial"/>
      <w:sz w:val="24"/>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8">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09">
    <w:name w:val="1"/>
    <w:basedOn w:val="1"/>
    <w:next w:val="30"/>
    <w:qFormat/>
    <w:uiPriority w:val="0"/>
    <w:rPr>
      <w:rFonts w:ascii="宋体" w:hAnsi="Courier New"/>
      <w:sz w:val="21"/>
    </w:rPr>
  </w:style>
  <w:style w:type="paragraph" w:customStyle="1" w:styleId="210">
    <w:name w:val="图片文字"/>
    <w:basedOn w:val="1"/>
    <w:qFormat/>
    <w:uiPriority w:val="0"/>
    <w:pPr>
      <w:spacing w:line="240" w:lineRule="atLeast"/>
      <w:jc w:val="center"/>
    </w:pPr>
    <w:rPr>
      <w:sz w:val="21"/>
    </w:rPr>
  </w:style>
  <w:style w:type="paragraph" w:customStyle="1" w:styleId="21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Char Char 字元 字元 字元 Char Char Char Char"/>
    <w:basedOn w:val="1"/>
    <w:qFormat/>
    <w:uiPriority w:val="0"/>
    <w:pPr>
      <w:adjustRightInd w:val="0"/>
      <w:spacing w:line="360" w:lineRule="auto"/>
    </w:pPr>
    <w:rPr>
      <w:kern w:val="0"/>
      <w:sz w:val="24"/>
    </w:rPr>
  </w:style>
  <w:style w:type="paragraph" w:customStyle="1" w:styleId="21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8">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1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表文字"/>
    <w:qFormat/>
    <w:uiPriority w:val="0"/>
    <w:rPr>
      <w:rFonts w:ascii="宋体" w:hAnsi="Times New Roman" w:eastAsia="宋体" w:cs="Times New Roman"/>
      <w:kern w:val="2"/>
      <w:lang w:val="en-US" w:eastAsia="zh-CN" w:bidi="ar-SA"/>
    </w:rPr>
  </w:style>
  <w:style w:type="paragraph" w:customStyle="1" w:styleId="221">
    <w:name w:val="样式 行距: 1.5 倍行距1"/>
    <w:basedOn w:val="1"/>
    <w:qFormat/>
    <w:uiPriority w:val="0"/>
    <w:pPr>
      <w:snapToGrid w:val="0"/>
    </w:pPr>
    <w:rPr>
      <w:sz w:val="21"/>
    </w:rPr>
  </w:style>
  <w:style w:type="paragraph" w:customStyle="1" w:styleId="222">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2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4">
    <w:name w:val="默认段落字体 Para Char Char Char Char Char Char Char Char Char1 Char Char Char Char"/>
    <w:basedOn w:val="1"/>
    <w:qFormat/>
    <w:uiPriority w:val="0"/>
    <w:rPr>
      <w:rFonts w:ascii="Tahoma" w:hAnsi="Tahoma"/>
      <w:sz w:val="24"/>
    </w:rPr>
  </w:style>
  <w:style w:type="paragraph" w:customStyle="1" w:styleId="22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6">
    <w:name w:val="表头样式"/>
    <w:basedOn w:val="1"/>
    <w:qFormat/>
    <w:uiPriority w:val="0"/>
    <w:pPr>
      <w:autoSpaceDE w:val="0"/>
      <w:autoSpaceDN w:val="0"/>
      <w:adjustRightInd w:val="0"/>
      <w:spacing w:line="360" w:lineRule="auto"/>
      <w:jc w:val="left"/>
    </w:pPr>
    <w:rPr>
      <w:b/>
      <w:kern w:val="0"/>
      <w:sz w:val="21"/>
    </w:rPr>
  </w:style>
  <w:style w:type="paragraph" w:customStyle="1" w:styleId="227">
    <w:name w:val="IN Feature"/>
    <w:next w:val="22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0">
    <w:name w:val="列表项目"/>
    <w:basedOn w:val="1"/>
    <w:qFormat/>
    <w:uiPriority w:val="0"/>
    <w:pPr>
      <w:tabs>
        <w:tab w:val="left" w:pos="420"/>
      </w:tabs>
      <w:spacing w:line="288" w:lineRule="auto"/>
      <w:ind w:left="840" w:leftChars="200" w:hanging="420" w:hangingChars="200"/>
    </w:pPr>
    <w:rPr>
      <w:sz w:val="21"/>
    </w:rPr>
  </w:style>
  <w:style w:type="paragraph" w:customStyle="1" w:styleId="23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2">
    <w:name w:val="简单回函地址"/>
    <w:basedOn w:val="1"/>
    <w:qFormat/>
    <w:uiPriority w:val="0"/>
    <w:pPr>
      <w:adjustRightInd w:val="0"/>
      <w:snapToGrid w:val="0"/>
      <w:spacing w:line="360" w:lineRule="auto"/>
    </w:pPr>
    <w:rPr>
      <w:sz w:val="24"/>
    </w:rPr>
  </w:style>
  <w:style w:type="paragraph" w:customStyle="1" w:styleId="23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4">
    <w:name w:val="摘要"/>
    <w:basedOn w:val="1"/>
    <w:next w:val="4"/>
    <w:qFormat/>
    <w:uiPriority w:val="0"/>
    <w:pPr>
      <w:spacing w:line="360" w:lineRule="auto"/>
    </w:pPr>
    <w:rPr>
      <w:rFonts w:eastAsia="黑体"/>
      <w:sz w:val="20"/>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Char2 Char Char Char Char Char Char"/>
    <w:basedOn w:val="1"/>
    <w:qFormat/>
    <w:uiPriority w:val="0"/>
    <w:rPr>
      <w:rFonts w:ascii="仿宋_GB2312"/>
      <w:b/>
      <w:sz w:val="30"/>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没有缩进（为图形使用）"/>
    <w:basedOn w:val="1"/>
    <w:qFormat/>
    <w:uiPriority w:val="0"/>
    <w:pPr>
      <w:spacing w:before="120" w:after="120" w:line="360" w:lineRule="auto"/>
    </w:pPr>
    <w:rPr>
      <w:sz w:val="24"/>
    </w:rPr>
  </w:style>
  <w:style w:type="paragraph" w:customStyle="1" w:styleId="23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24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2">
    <w:name w:val="内容标题"/>
    <w:basedOn w:val="18"/>
    <w:qFormat/>
    <w:uiPriority w:val="0"/>
    <w:rPr>
      <w:rFonts w:ascii="Tahoma" w:hAnsi="Tahoma"/>
      <w:sz w:val="24"/>
    </w:rPr>
  </w:style>
  <w:style w:type="paragraph" w:customStyle="1" w:styleId="243">
    <w:name w:val="二级条标题"/>
    <w:basedOn w:val="163"/>
    <w:next w:val="133"/>
    <w:qFormat/>
    <w:uiPriority w:val="0"/>
    <w:pPr>
      <w:ind w:left="840"/>
      <w:outlineLvl w:val="3"/>
    </w:pPr>
  </w:style>
  <w:style w:type="paragraph" w:customStyle="1" w:styleId="2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5">
    <w:name w:val="文本1"/>
    <w:basedOn w:val="1"/>
    <w:qFormat/>
    <w:uiPriority w:val="0"/>
    <w:pPr>
      <w:adjustRightInd w:val="0"/>
      <w:spacing w:line="312" w:lineRule="atLeast"/>
      <w:jc w:val="center"/>
      <w:textAlignment w:val="baseline"/>
    </w:pPr>
    <w:rPr>
      <w:kern w:val="0"/>
      <w:sz w:val="18"/>
    </w:rPr>
  </w:style>
  <w:style w:type="paragraph" w:customStyle="1" w:styleId="24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7">
    <w:name w:val="Char Char Char Char Char"/>
    <w:basedOn w:val="1"/>
    <w:qFormat/>
    <w:uiPriority w:val="0"/>
    <w:pPr>
      <w:tabs>
        <w:tab w:val="left" w:pos="425"/>
      </w:tabs>
      <w:ind w:left="1620" w:hanging="360"/>
    </w:pPr>
    <w:rPr>
      <w:rFonts w:ascii="Tahoma" w:hAnsi="Tahoma"/>
      <w:sz w:val="24"/>
    </w:rPr>
  </w:style>
  <w:style w:type="paragraph" w:customStyle="1" w:styleId="248">
    <w:name w:val="样式 样式 首行缩进:  2 字符 + 首行缩进:  2 字符"/>
    <w:basedOn w:val="1"/>
    <w:qFormat/>
    <w:uiPriority w:val="0"/>
    <w:pPr>
      <w:spacing w:line="360" w:lineRule="auto"/>
      <w:ind w:firstLine="480" w:firstLineChars="200"/>
    </w:pPr>
    <w:rPr>
      <w:sz w:val="24"/>
    </w:rPr>
  </w:style>
  <w:style w:type="paragraph" w:customStyle="1" w:styleId="249">
    <w:name w:val="关键词"/>
    <w:basedOn w:val="1"/>
    <w:next w:val="1"/>
    <w:qFormat/>
    <w:uiPriority w:val="0"/>
    <w:pPr>
      <w:spacing w:line="360" w:lineRule="auto"/>
    </w:pPr>
    <w:rPr>
      <w:rFonts w:eastAsia="黑体"/>
      <w:sz w:val="20"/>
    </w:rPr>
  </w:style>
  <w:style w:type="paragraph" w:customStyle="1" w:styleId="250">
    <w:name w:val="正文字缩2字"/>
    <w:basedOn w:val="1"/>
    <w:qFormat/>
    <w:uiPriority w:val="0"/>
    <w:pPr>
      <w:spacing w:before="60" w:after="60" w:line="360" w:lineRule="auto"/>
      <w:ind w:left="200" w:leftChars="200" w:firstLine="200" w:firstLineChars="200"/>
    </w:pPr>
    <w:rPr>
      <w:sz w:val="24"/>
    </w:rPr>
  </w:style>
  <w:style w:type="paragraph" w:customStyle="1" w:styleId="251">
    <w:name w:val="正文表格"/>
    <w:basedOn w:val="1"/>
    <w:qFormat/>
    <w:uiPriority w:val="0"/>
    <w:pPr>
      <w:adjustRightInd w:val="0"/>
      <w:spacing w:before="40" w:after="40"/>
    </w:pPr>
    <w:rPr>
      <w:sz w:val="24"/>
    </w:rPr>
  </w:style>
  <w:style w:type="paragraph" w:customStyle="1" w:styleId="252">
    <w:name w:val="Char Char Char Char Char Char Char"/>
    <w:basedOn w:val="18"/>
    <w:qFormat/>
    <w:uiPriority w:val="0"/>
    <w:rPr>
      <w:rFonts w:ascii="宋体" w:hAnsi="Tahoma"/>
    </w:rPr>
  </w:style>
  <w:style w:type="paragraph" w:customStyle="1" w:styleId="253">
    <w:name w:val="CSS1级正文 Char"/>
    <w:basedOn w:val="22"/>
    <w:qFormat/>
    <w:uiPriority w:val="0"/>
    <w:pPr>
      <w:adjustRightInd w:val="0"/>
      <w:snapToGrid w:val="0"/>
      <w:spacing w:after="0" w:line="360" w:lineRule="auto"/>
      <w:ind w:firstLine="480"/>
    </w:pPr>
    <w:rPr>
      <w:sz w:val="24"/>
    </w:rPr>
  </w:style>
  <w:style w:type="paragraph" w:customStyle="1" w:styleId="254">
    <w:name w:val="样式 宋体 五号 行距: 单倍行距"/>
    <w:basedOn w:val="1"/>
    <w:qFormat/>
    <w:uiPriority w:val="0"/>
    <w:pPr>
      <w:adjustRightInd w:val="0"/>
      <w:jc w:val="left"/>
    </w:pPr>
    <w:rPr>
      <w:rFonts w:ascii="宋体" w:hAnsi="宋体"/>
      <w:kern w:val="0"/>
      <w:sz w:val="21"/>
    </w:rPr>
  </w:style>
  <w:style w:type="paragraph" w:customStyle="1" w:styleId="2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6">
    <w:name w:val="图例"/>
    <w:basedOn w:val="1"/>
    <w:qFormat/>
    <w:uiPriority w:val="0"/>
    <w:pPr>
      <w:spacing w:before="120" w:after="120" w:line="360" w:lineRule="auto"/>
      <w:jc w:val="center"/>
    </w:pPr>
    <w:rPr>
      <w:rFonts w:eastAsia="仿宋_GB2312"/>
      <w:b/>
      <w:sz w:val="24"/>
    </w:rPr>
  </w:style>
  <w:style w:type="paragraph" w:customStyle="1" w:styleId="257">
    <w:name w:val="附录3"/>
    <w:basedOn w:val="1"/>
    <w:next w:val="1"/>
    <w:qFormat/>
    <w:uiPriority w:val="0"/>
    <w:pPr>
      <w:tabs>
        <w:tab w:val="left" w:pos="851"/>
      </w:tabs>
      <w:ind w:left="425" w:hanging="425"/>
      <w:outlineLvl w:val="2"/>
    </w:pPr>
    <w:rPr>
      <w:rFonts w:eastAsia="黑体"/>
      <w:b/>
      <w:sz w:val="32"/>
    </w:rPr>
  </w:style>
  <w:style w:type="paragraph" w:customStyle="1" w:styleId="258">
    <w:name w:val="Style Heading 3h3Heading 3 - oldLevel 3 HeadH3level_3PIM 3se..."/>
    <w:basedOn w:val="5"/>
    <w:qFormat/>
    <w:uiPriority w:val="0"/>
    <w:pPr>
      <w:tabs>
        <w:tab w:val="left" w:pos="709"/>
        <w:tab w:val="left" w:pos="1620"/>
      </w:tabs>
      <w:ind w:left="1620" w:hanging="360"/>
    </w:pPr>
  </w:style>
  <w:style w:type="paragraph" w:customStyle="1" w:styleId="259">
    <w:name w:val="首行缩进"/>
    <w:basedOn w:val="1"/>
    <w:qFormat/>
    <w:uiPriority w:val="0"/>
    <w:pPr>
      <w:tabs>
        <w:tab w:val="left" w:pos="540"/>
      </w:tabs>
      <w:spacing w:line="360" w:lineRule="auto"/>
      <w:ind w:left="540"/>
    </w:pPr>
    <w:rPr>
      <w:rFonts w:eastAsia="仿宋_GB2312"/>
    </w:rPr>
  </w:style>
  <w:style w:type="paragraph" w:customStyle="1" w:styleId="2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1">
    <w:name w:val="Char1 Char Char Char1"/>
    <w:basedOn w:val="1"/>
    <w:qFormat/>
    <w:uiPriority w:val="0"/>
    <w:rPr>
      <w:rFonts w:ascii="Tahoma" w:hAnsi="Tahoma"/>
      <w:sz w:val="30"/>
    </w:rPr>
  </w:style>
  <w:style w:type="paragraph" w:customStyle="1" w:styleId="262">
    <w:name w:val="Char Char Char Char Char Char Char1"/>
    <w:basedOn w:val="1"/>
    <w:qFormat/>
    <w:uiPriority w:val="0"/>
    <w:rPr>
      <w:rFonts w:ascii="Tahoma" w:hAnsi="Tahoma"/>
      <w:sz w:val="24"/>
    </w:rPr>
  </w:style>
  <w:style w:type="paragraph" w:customStyle="1" w:styleId="263">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修订1"/>
    <w:qFormat/>
    <w:uiPriority w:val="0"/>
    <w:rPr>
      <w:rFonts w:ascii="Times New Roman" w:hAnsi="Times New Roman" w:eastAsia="宋体" w:cs="Times New Roman"/>
      <w:kern w:val="2"/>
      <w:sz w:val="21"/>
      <w:lang w:val="en-US" w:eastAsia="zh-CN" w:bidi="ar-SA"/>
    </w:rPr>
  </w:style>
  <w:style w:type="paragraph" w:customStyle="1" w:styleId="265">
    <w:name w:val="Char1"/>
    <w:basedOn w:val="1"/>
    <w:qFormat/>
    <w:uiPriority w:val="0"/>
    <w:rPr>
      <w:sz w:val="21"/>
    </w:rPr>
  </w:style>
  <w:style w:type="paragraph" w:customStyle="1" w:styleId="266">
    <w:name w:val="样式1"/>
    <w:basedOn w:val="6"/>
    <w:qFormat/>
    <w:uiPriority w:val="0"/>
    <w:pPr>
      <w:tabs>
        <w:tab w:val="left" w:pos="720"/>
      </w:tabs>
      <w:spacing w:before="500" w:after="260" w:line="560" w:lineRule="atLeast"/>
      <w:ind w:left="420" w:hanging="420"/>
    </w:pPr>
  </w:style>
  <w:style w:type="paragraph" w:customStyle="1" w:styleId="267">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8">
    <w:name w:val="ant-tree-switcher"/>
    <w:basedOn w:val="59"/>
    <w:qFormat/>
    <w:uiPriority w:val="0"/>
  </w:style>
  <w:style w:type="character" w:customStyle="1" w:styleId="269">
    <w:name w:val="ant-tree-iconele"/>
    <w:basedOn w:val="59"/>
    <w:qFormat/>
    <w:uiPriority w:val="0"/>
  </w:style>
  <w:style w:type="character" w:customStyle="1" w:styleId="270">
    <w:name w:val="hover16"/>
    <w:basedOn w:val="59"/>
    <w:qFormat/>
    <w:uiPriority w:val="0"/>
    <w:rPr>
      <w:color w:val="23527C"/>
    </w:rPr>
  </w:style>
  <w:style w:type="character" w:customStyle="1" w:styleId="271">
    <w:name w:val="ant-tree-checkbox"/>
    <w:basedOn w:val="59"/>
    <w:qFormat/>
    <w:uiPriority w:val="0"/>
  </w:style>
  <w:style w:type="character" w:customStyle="1" w:styleId="272">
    <w:name w:val="ant-select-tree-switcher"/>
    <w:basedOn w:val="59"/>
    <w:qFormat/>
    <w:uiPriority w:val="0"/>
  </w:style>
  <w:style w:type="character" w:customStyle="1" w:styleId="273">
    <w:name w:val="isover"/>
    <w:basedOn w:val="59"/>
    <w:qFormat/>
    <w:uiPriority w:val="0"/>
  </w:style>
  <w:style w:type="character" w:customStyle="1" w:styleId="274">
    <w:name w:val="ant-transfer-list-search-action"/>
    <w:basedOn w:val="59"/>
    <w:qFormat/>
    <w:uiPriority w:val="0"/>
  </w:style>
  <w:style w:type="character" w:customStyle="1" w:styleId="275">
    <w:name w:val="ant-select-tree-checkbox2"/>
    <w:basedOn w:val="59"/>
    <w:qFormat/>
    <w:uiPriority w:val="0"/>
  </w:style>
  <w:style w:type="character" w:customStyle="1" w:styleId="276">
    <w:name w:val="ant-select-tree-iconele"/>
    <w:basedOn w:val="59"/>
    <w:qFormat/>
    <w:uiPriority w:val="0"/>
  </w:style>
  <w:style w:type="character" w:customStyle="1" w:styleId="277">
    <w:name w:val="running"/>
    <w:basedOn w:val="59"/>
    <w:qFormat/>
    <w:uiPriority w:val="0"/>
  </w:style>
  <w:style w:type="character" w:customStyle="1" w:styleId="278">
    <w:name w:val="button"/>
    <w:basedOn w:val="59"/>
    <w:qFormat/>
    <w:uiPriority w:val="0"/>
  </w:style>
  <w:style w:type="character" w:customStyle="1" w:styleId="279">
    <w:name w:val="tmpztreemove_arrow"/>
    <w:basedOn w:val="59"/>
    <w:qFormat/>
    <w:uiPriority w:val="0"/>
  </w:style>
  <w:style w:type="paragraph" w:customStyle="1" w:styleId="280">
    <w:name w:val="list-group-item-text"/>
    <w:basedOn w:val="1"/>
    <w:qFormat/>
    <w:uiPriority w:val="0"/>
    <w:pPr>
      <w:pBdr>
        <w:top w:val="dotted" w:color="E0E0E0" w:sz="6" w:space="11"/>
      </w:pBdr>
      <w:jc w:val="left"/>
    </w:pPr>
    <w:rPr>
      <w:kern w:val="0"/>
    </w:rPr>
  </w:style>
  <w:style w:type="paragraph" w:customStyle="1" w:styleId="281">
    <w:name w:val="Table Paragraph"/>
    <w:basedOn w:val="1"/>
    <w:unhideWhenUsed/>
    <w:qFormat/>
    <w:uiPriority w:val="1"/>
    <w:rPr>
      <w:sz w:val="24"/>
    </w:rPr>
  </w:style>
  <w:style w:type="paragraph" w:customStyle="1" w:styleId="282">
    <w:name w:val="FDY表格内"/>
    <w:basedOn w:val="1"/>
    <w:next w:val="283"/>
    <w:unhideWhenUsed/>
    <w:qFormat/>
    <w:uiPriority w:val="0"/>
    <w:pPr>
      <w:snapToGrid w:val="0"/>
      <w:spacing w:line="240" w:lineRule="atLeast"/>
      <w:jc w:val="center"/>
    </w:pPr>
    <w:rPr>
      <w:sz w:val="24"/>
    </w:rPr>
  </w:style>
  <w:style w:type="paragraph" w:customStyle="1" w:styleId="283">
    <w:name w:val="D正文"/>
    <w:basedOn w:val="1"/>
    <w:unhideWhenUsed/>
    <w:qFormat/>
    <w:uiPriority w:val="0"/>
    <w:pPr>
      <w:spacing w:line="384" w:lineRule="auto"/>
      <w:ind w:firstLine="200" w:firstLineChars="200"/>
    </w:pPr>
    <w:rPr>
      <w:sz w:val="24"/>
    </w:rPr>
  </w:style>
  <w:style w:type="character" w:customStyle="1" w:styleId="284">
    <w:name w:val="无"/>
    <w:qFormat/>
    <w:uiPriority w:val="0"/>
  </w:style>
  <w:style w:type="character" w:customStyle="1" w:styleId="285">
    <w:name w:val="font21"/>
    <w:basedOn w:val="59"/>
    <w:qFormat/>
    <w:uiPriority w:val="0"/>
    <w:rPr>
      <w:rFonts w:hint="eastAsia" w:ascii="宋体" w:hAnsi="宋体" w:eastAsia="宋体" w:cs="宋体"/>
      <w:color w:val="000000"/>
      <w:sz w:val="20"/>
      <w:szCs w:val="20"/>
      <w:u w:val="none"/>
    </w:rPr>
  </w:style>
  <w:style w:type="character" w:customStyle="1" w:styleId="286">
    <w:name w:val="font01"/>
    <w:basedOn w:val="59"/>
    <w:qFormat/>
    <w:uiPriority w:val="0"/>
    <w:rPr>
      <w:rFonts w:hint="eastAsia" w:ascii="宋体" w:hAnsi="宋体" w:eastAsia="宋体" w:cs="宋体"/>
      <w:color w:val="000000"/>
      <w:sz w:val="21"/>
      <w:szCs w:val="21"/>
      <w:u w:val="none"/>
    </w:rPr>
  </w:style>
  <w:style w:type="character" w:customStyle="1" w:styleId="287">
    <w:name w:val="font41"/>
    <w:basedOn w:val="59"/>
    <w:qFormat/>
    <w:uiPriority w:val="0"/>
    <w:rPr>
      <w:rFonts w:hint="eastAsia" w:ascii="宋体" w:hAnsi="宋体" w:eastAsia="宋体" w:cs="宋体"/>
      <w:color w:val="000000"/>
      <w:sz w:val="20"/>
      <w:szCs w:val="20"/>
      <w:u w:val="none"/>
    </w:rPr>
  </w:style>
  <w:style w:type="character" w:customStyle="1" w:styleId="288">
    <w:name w:val="font11"/>
    <w:basedOn w:val="59"/>
    <w:qFormat/>
    <w:uiPriority w:val="0"/>
    <w:rPr>
      <w:rFonts w:hint="eastAsia" w:ascii="宋体" w:hAnsi="宋体" w:eastAsia="宋体" w:cs="宋体"/>
      <w:color w:val="000000"/>
      <w:sz w:val="18"/>
      <w:szCs w:val="18"/>
      <w:u w:val="none"/>
    </w:rPr>
  </w:style>
  <w:style w:type="character" w:customStyle="1" w:styleId="289">
    <w:name w:val="font71"/>
    <w:basedOn w:val="59"/>
    <w:qFormat/>
    <w:uiPriority w:val="0"/>
    <w:rPr>
      <w:rFonts w:hint="eastAsia" w:ascii="宋体" w:hAnsi="宋体" w:eastAsia="宋体" w:cs="宋体"/>
      <w:color w:val="000000"/>
      <w:sz w:val="18"/>
      <w:szCs w:val="18"/>
      <w:u w:val="none"/>
    </w:rPr>
  </w:style>
  <w:style w:type="character" w:customStyle="1" w:styleId="290">
    <w:name w:val="font81"/>
    <w:basedOn w:val="59"/>
    <w:qFormat/>
    <w:uiPriority w:val="0"/>
    <w:rPr>
      <w:rFonts w:hint="eastAsia" w:ascii="宋体" w:hAnsi="宋体" w:eastAsia="宋体" w:cs="宋体"/>
      <w:color w:val="000000"/>
      <w:sz w:val="18"/>
      <w:szCs w:val="18"/>
      <w:u w:val="none"/>
      <w:vertAlign w:val="superscript"/>
    </w:rPr>
  </w:style>
  <w:style w:type="character" w:customStyle="1" w:styleId="291">
    <w:name w:val="font31"/>
    <w:basedOn w:val="5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43</Pages>
  <Words>3986</Words>
  <Characters>22722</Characters>
  <Lines>189</Lines>
  <Paragraphs>53</Paragraphs>
  <TotalTime>1</TotalTime>
  <ScaleCrop>false</ScaleCrop>
  <LinksUpToDate>false</LinksUpToDate>
  <CharactersWithSpaces>26655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2018-09-28T02:05:00Z</dcterms:created>
  <dc:creator>acer</dc:creator>
  <cp:lastModifiedBy>张小苦</cp:lastModifiedBy>
  <cp:lastPrinted>2021-03-23T08:30:00Z</cp:lastPrinted>
  <dcterms:modified xsi:type="dcterms:W3CDTF">2021-05-25T08:46:48Z</dcterms:modified>
  <dc:title>竞争性磋商文件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34011EAD066D4908A6E9402725F79A10</vt:lpwstr>
  </property>
</Properties>
</file>