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4"/>
        </w:tabs>
        <w:jc w:val="left"/>
        <w:rPr>
          <w:rFonts w:ascii="微软雅黑" w:hAnsi="微软雅黑" w:eastAsia="微软雅黑" w:cs="微软雅黑"/>
          <w:color w:val="000000" w:themeColor="text1"/>
          <w14:textFill>
            <w14:solidFill>
              <w14:schemeClr w14:val="tx1"/>
            </w14:solidFill>
          </w14:textFill>
        </w:rPr>
      </w:pPr>
    </w:p>
    <w:p>
      <w:pPr>
        <w:ind w:firstLine="1000" w:firstLineChars="100"/>
        <w:outlineLvl w:val="0"/>
        <w:rPr>
          <w:rFonts w:ascii="微软雅黑" w:hAnsi="微软雅黑" w:eastAsia="微软雅黑" w:cs="微软雅黑"/>
          <w:color w:val="000000" w:themeColor="text1"/>
          <w:spacing w:val="80"/>
          <w:sz w:val="84"/>
          <w:szCs w:val="84"/>
          <w14:textFill>
            <w14:solidFill>
              <w14:schemeClr w14:val="tx1"/>
            </w14:solidFill>
          </w14:textFill>
        </w:rPr>
      </w:pPr>
      <w:r>
        <w:rPr>
          <w:rFonts w:hint="eastAsia" w:ascii="微软雅黑" w:hAnsi="微软雅黑" w:eastAsia="微软雅黑" w:cs="微软雅黑"/>
          <w:color w:val="000000" w:themeColor="text1"/>
          <w:spacing w:val="80"/>
          <w:sz w:val="84"/>
          <w:szCs w:val="84"/>
          <w14:textFill>
            <w14:solidFill>
              <w14:schemeClr w14:val="tx1"/>
            </w14:solidFill>
          </w14:textFill>
        </w:rPr>
        <w:t>竞争性磋商文件</w:t>
      </w:r>
    </w:p>
    <w:p>
      <w:pPr>
        <w:spacing w:line="700" w:lineRule="exact"/>
        <w:jc w:val="center"/>
        <w:rPr>
          <w:rFonts w:ascii="微软雅黑" w:hAnsi="微软雅黑" w:eastAsia="微软雅黑" w:cs="微软雅黑"/>
          <w:color w:val="000000" w:themeColor="text1"/>
          <w:sz w:val="32"/>
          <w14:textFill>
            <w14:solidFill>
              <w14:schemeClr w14:val="tx1"/>
            </w14:solidFill>
          </w14:textFill>
        </w:rPr>
      </w:pPr>
    </w:p>
    <w:p>
      <w:pPr>
        <w:tabs>
          <w:tab w:val="center" w:pos="4766"/>
          <w:tab w:val="right" w:pos="9412"/>
        </w:tabs>
        <w:jc w:val="left"/>
        <w:rPr>
          <w:rFonts w:ascii="微软雅黑" w:hAnsi="微软雅黑" w:eastAsia="微软雅黑" w:cs="微软雅黑"/>
          <w:color w:val="000000" w:themeColor="text1"/>
          <w:sz w:val="32"/>
          <w14:textFill>
            <w14:solidFill>
              <w14:schemeClr w14:val="tx1"/>
            </w14:solidFill>
          </w14:textFill>
        </w:rPr>
      </w:pPr>
      <w:r>
        <w:rPr>
          <w:rFonts w:hint="eastAsia" w:ascii="微软雅黑" w:hAnsi="微软雅黑" w:eastAsia="微软雅黑" w:cs="微软雅黑"/>
          <w:color w:val="000000" w:themeColor="text1"/>
          <w:sz w:val="32"/>
          <w14:textFill>
            <w14:solidFill>
              <w14:schemeClr w14:val="tx1"/>
            </w14:solidFill>
          </w14:textFill>
        </w:rPr>
        <w:tab/>
      </w:r>
      <w:r>
        <w:rPr>
          <w:rFonts w:hint="eastAsia" w:ascii="微软雅黑" w:hAnsi="微软雅黑" w:eastAsia="微软雅黑" w:cs="微软雅黑"/>
          <w:color w:val="000000" w:themeColor="text1"/>
          <w:sz w:val="32"/>
          <w14:textFill>
            <w14:solidFill>
              <w14:schemeClr w14:val="tx1"/>
            </w14:solidFill>
          </w14:textFill>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8"/>
                    <a:stretch>
                      <a:fillRect/>
                    </a:stretch>
                  </pic:blipFill>
                  <pic:spPr>
                    <a:xfrm>
                      <a:off x="0" y="0"/>
                      <a:ext cx="1905000" cy="1762125"/>
                    </a:xfrm>
                    <a:prstGeom prst="rect">
                      <a:avLst/>
                    </a:prstGeom>
                  </pic:spPr>
                </pic:pic>
              </a:graphicData>
            </a:graphic>
          </wp:inline>
        </w:drawing>
      </w:r>
      <w:r>
        <w:rPr>
          <w:rFonts w:hint="eastAsia" w:ascii="微软雅黑" w:hAnsi="微软雅黑" w:eastAsia="微软雅黑" w:cs="微软雅黑"/>
          <w:color w:val="000000" w:themeColor="text1"/>
          <w:sz w:val="32"/>
          <w14:textFill>
            <w14:solidFill>
              <w14:schemeClr w14:val="tx1"/>
            </w14:solidFill>
          </w14:textFill>
        </w:rPr>
        <w:tab/>
      </w:r>
    </w:p>
    <w:p>
      <w:pPr>
        <w:spacing w:line="700" w:lineRule="exact"/>
        <w:rPr>
          <w:rFonts w:ascii="微软雅黑" w:hAnsi="微软雅黑" w:eastAsia="微软雅黑" w:cs="微软雅黑"/>
          <w:color w:val="000000" w:themeColor="text1"/>
          <w:sz w:val="32"/>
          <w14:textFill>
            <w14:solidFill>
              <w14:schemeClr w14:val="tx1"/>
            </w14:solidFill>
          </w14:textFill>
        </w:rPr>
      </w:pP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采购计划编号：-------</w:t>
      </w:r>
    </w:p>
    <w:p>
      <w:pPr>
        <w:spacing w:line="700" w:lineRule="exact"/>
        <w:ind w:firstLine="960" w:firstLineChars="300"/>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rPr>
        <w:t>采购执行编号：DCZB-CQ-</w:t>
      </w:r>
      <w:r>
        <w:rPr>
          <w:rFonts w:hint="eastAsia" w:ascii="微软雅黑" w:hAnsi="微软雅黑" w:eastAsia="微软雅黑" w:cs="微软雅黑"/>
          <w:color w:val="auto"/>
          <w:sz w:val="32"/>
          <w:szCs w:val="32"/>
          <w:lang w:val="en-US" w:eastAsia="zh-CN"/>
        </w:rPr>
        <w:t>0228</w:t>
      </w:r>
    </w:p>
    <w:p>
      <w:pPr>
        <w:pStyle w:val="2"/>
        <w:ind w:left="2558" w:leftChars="342" w:hanging="1600" w:hangingChars="5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项目名称：重庆市生态环境大数据应用中心视频接入管理系统项目</w:t>
      </w:r>
    </w:p>
    <w:p>
      <w:pPr>
        <w:pStyle w:val="2"/>
        <w:rPr>
          <w:rFonts w:ascii="微软雅黑" w:hAnsi="微软雅黑" w:eastAsia="微软雅黑" w:cs="微软雅黑"/>
          <w:color w:val="000000" w:themeColor="text1"/>
          <w14:textFill>
            <w14:solidFill>
              <w14:schemeClr w14:val="tx1"/>
            </w14:solidFill>
          </w14:textFill>
        </w:rPr>
      </w:pP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   购   人：重庆市生态环境大数据应用中心</w:t>
      </w: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采购代理机构：重庆鼎创招标代理有限公司</w:t>
      </w:r>
    </w:p>
    <w:p>
      <w:pPr>
        <w:spacing w:line="720" w:lineRule="exact"/>
        <w:jc w:val="center"/>
        <w:outlineLvl w:val="0"/>
        <w:rPr>
          <w:rFonts w:ascii="微软雅黑" w:hAnsi="微软雅黑" w:eastAsia="微软雅黑" w:cs="微软雅黑"/>
          <w:b/>
          <w:bCs/>
          <w:color w:val="000000" w:themeColor="text1"/>
          <w:sz w:val="32"/>
          <w:szCs w:val="32"/>
          <w14:textFill>
            <w14:solidFill>
              <w14:schemeClr w14:val="tx1"/>
            </w14:solidFill>
          </w14:textFill>
        </w:rPr>
      </w:pPr>
    </w:p>
    <w:p>
      <w:pPr>
        <w:spacing w:line="720" w:lineRule="exact"/>
        <w:ind w:firstLine="3200" w:firstLineChars="1000"/>
        <w:outlineLvl w:val="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二〇二一年</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五</w:t>
      </w:r>
      <w:r>
        <w:rPr>
          <w:rFonts w:hint="eastAsia" w:ascii="微软雅黑" w:hAnsi="微软雅黑" w:eastAsia="微软雅黑" w:cs="微软雅黑"/>
          <w:color w:val="000000" w:themeColor="text1"/>
          <w:sz w:val="32"/>
          <w:szCs w:val="32"/>
          <w14:textFill>
            <w14:solidFill>
              <w14:schemeClr w14:val="tx1"/>
            </w14:solidFill>
          </w14:textFill>
        </w:rPr>
        <w:t>月</w:t>
      </w:r>
    </w:p>
    <w:p>
      <w:pPr>
        <w:spacing w:line="720" w:lineRule="exact"/>
        <w:jc w:val="center"/>
        <w:outlineLvl w:val="0"/>
        <w:rPr>
          <w:rFonts w:ascii="微软雅黑" w:hAnsi="微软雅黑" w:eastAsia="微软雅黑" w:cs="微软雅黑"/>
          <w:color w:val="000000" w:themeColor="text1"/>
          <w:sz w:val="44"/>
          <w:szCs w:val="28"/>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br w:type="page"/>
      </w:r>
      <w:r>
        <w:rPr>
          <w:rFonts w:hint="eastAsia" w:ascii="微软雅黑" w:hAnsi="微软雅黑" w:eastAsia="微软雅黑" w:cs="微软雅黑"/>
          <w:color w:val="000000" w:themeColor="text1"/>
          <w:sz w:val="44"/>
          <w:szCs w:val="28"/>
          <w14:textFill>
            <w14:solidFill>
              <w14:schemeClr w14:val="tx1"/>
            </w14:solidFill>
          </w14:textFill>
        </w:rPr>
        <w:t>目   录</w:t>
      </w:r>
    </w:p>
    <w:p>
      <w:pPr>
        <w:pStyle w:val="45"/>
        <w:tabs>
          <w:tab w:val="right" w:leader="dot" w:pos="9412"/>
        </w:tabs>
      </w:pPr>
      <w:r>
        <w:rPr>
          <w:rFonts w:hint="eastAsia" w:ascii="微软雅黑" w:hAnsi="微软雅黑" w:eastAsia="微软雅黑" w:cs="微软雅黑"/>
          <w:color w:val="000000" w:themeColor="text1"/>
          <w:sz w:val="18"/>
          <w:szCs w:val="18"/>
          <w14:textFill>
            <w14:solidFill>
              <w14:schemeClr w14:val="tx1"/>
            </w14:solidFill>
          </w14:textFill>
        </w:rPr>
        <w:fldChar w:fldCharType="begin"/>
      </w:r>
      <w:r>
        <w:rPr>
          <w:rFonts w:hint="eastAsia" w:ascii="微软雅黑" w:hAnsi="微软雅黑" w:eastAsia="微软雅黑" w:cs="微软雅黑"/>
          <w:color w:val="000000" w:themeColor="text1"/>
          <w:sz w:val="18"/>
          <w:szCs w:val="18"/>
          <w14:textFill>
            <w14:solidFill>
              <w14:schemeClr w14:val="tx1"/>
            </w14:solidFill>
          </w14:textFill>
        </w:rPr>
        <w:instrText xml:space="preserve"> TOC \o "1-3" \h \z </w:instrText>
      </w:r>
      <w:r>
        <w:rPr>
          <w:rFonts w:hint="eastAsia" w:ascii="微软雅黑" w:hAnsi="微软雅黑" w:eastAsia="微软雅黑" w:cs="微软雅黑"/>
          <w:color w:val="000000" w:themeColor="text1"/>
          <w:sz w:val="18"/>
          <w:szCs w:val="18"/>
          <w14:textFill>
            <w14:solidFill>
              <w14:schemeClr w14:val="tx1"/>
            </w14:solidFill>
          </w14:textFill>
        </w:rPr>
        <w:fldChar w:fldCharType="separate"/>
      </w: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_Toc10035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_Toc10035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_Toc27870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一、竞争性磋商内容</w:t>
      </w:r>
      <w:r>
        <w:tab/>
      </w:r>
      <w:r>
        <w:fldChar w:fldCharType="begin"/>
      </w:r>
      <w:r>
        <w:instrText xml:space="preserve"> PAGEREF _Toc27870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_Toc13594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二、资金来源</w:t>
      </w:r>
      <w:r>
        <w:tab/>
      </w:r>
      <w:r>
        <w:fldChar w:fldCharType="begin"/>
      </w:r>
      <w:r>
        <w:instrText xml:space="preserve"> PAGEREF _Toc13594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_Toc10910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_Toc10910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_Toc20894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四、磋商有关说明</w:t>
      </w:r>
      <w:r>
        <w:tab/>
      </w:r>
      <w:r>
        <w:fldChar w:fldCharType="begin"/>
      </w:r>
      <w:r>
        <w:instrText xml:space="preserve"> PAGEREF _Toc20894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_Toc12139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五、保证金</w:t>
      </w:r>
      <w:r>
        <w:tab/>
      </w:r>
      <w:r>
        <w:fldChar w:fldCharType="begin"/>
      </w:r>
      <w:r>
        <w:instrText xml:space="preserve"> PAGEREF _Toc12139 \h </w:instrText>
      </w:r>
      <w:r>
        <w:fldChar w:fldCharType="separate"/>
      </w:r>
      <w:r>
        <w:t>- 5 -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_Toc8524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六、采购项目需落实的政府采购政策</w:t>
      </w:r>
      <w:r>
        <w:tab/>
      </w:r>
      <w:r>
        <w:fldChar w:fldCharType="begin"/>
      </w:r>
      <w:r>
        <w:instrText xml:space="preserve"> PAGEREF _Toc8524 \h </w:instrText>
      </w:r>
      <w:r>
        <w:fldChar w:fldCharType="separate"/>
      </w:r>
      <w:r>
        <w:t>- 6 -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_Toc24253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七、其它有关规定</w:t>
      </w:r>
      <w:r>
        <w:tab/>
      </w:r>
      <w:r>
        <w:fldChar w:fldCharType="begin"/>
      </w:r>
      <w:r>
        <w:instrText xml:space="preserve"> PAGEREF _Toc24253 \h </w:instrText>
      </w:r>
      <w:r>
        <w:fldChar w:fldCharType="separate"/>
      </w:r>
      <w:r>
        <w:t>- 6 -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_Toc3671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八、联系方式</w:t>
      </w:r>
      <w:r>
        <w:tab/>
      </w:r>
      <w:r>
        <w:fldChar w:fldCharType="begin"/>
      </w:r>
      <w:r>
        <w:instrText xml:space="preserve"> PAGEREF _Toc3671 \h </w:instrText>
      </w:r>
      <w:r>
        <w:fldChar w:fldCharType="separate"/>
      </w:r>
      <w:r>
        <w:t>- 7 -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_Toc9269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第二篇 采购服务需求</w:t>
      </w:r>
      <w:r>
        <w:tab/>
      </w:r>
      <w:r>
        <w:fldChar w:fldCharType="begin"/>
      </w:r>
      <w:r>
        <w:instrText xml:space="preserve"> PAGEREF _Toc9269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ind w:firstLine="560" w:firstLineChars="200"/>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_Toc8009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rPr>
        <w:t>一、项目基本概况介绍</w:t>
      </w:r>
      <w:r>
        <w:tab/>
      </w:r>
      <w:r>
        <w:fldChar w:fldCharType="begin"/>
      </w:r>
      <w:r>
        <w:instrText xml:space="preserve"> PAGEREF _Toc8009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ind w:firstLine="560" w:firstLineChars="200"/>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_Toc14320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rPr>
        <w:t>二、服务及质量需求</w:t>
      </w:r>
      <w:r>
        <w:tab/>
      </w:r>
      <w:r>
        <w:fldChar w:fldCharType="begin"/>
      </w:r>
      <w:r>
        <w:instrText xml:space="preserve"> PAGEREF _Toc14320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_Toc20611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第三篇  采购商务需求</w:t>
      </w:r>
      <w:r>
        <w:tab/>
      </w:r>
      <w:r>
        <w:fldChar w:fldCharType="begin"/>
      </w:r>
      <w:r>
        <w:instrText xml:space="preserve"> PAGEREF _Toc20611 \h </w:instrText>
      </w:r>
      <w:r>
        <w:fldChar w:fldCharType="separate"/>
      </w:r>
      <w:r>
        <w:t>- 11 -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_Toc7840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一、服务时间、地点及验收方式</w:t>
      </w:r>
      <w:r>
        <w:tab/>
      </w:r>
      <w:r>
        <w:fldChar w:fldCharType="begin"/>
      </w:r>
      <w:r>
        <w:instrText xml:space="preserve"> PAGEREF _Toc7840 \h </w:instrText>
      </w:r>
      <w:r>
        <w:fldChar w:fldCharType="separate"/>
      </w:r>
      <w:r>
        <w:t>- 11 -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_Toc28284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二、报价要求</w:t>
      </w:r>
      <w:r>
        <w:tab/>
      </w:r>
      <w:r>
        <w:fldChar w:fldCharType="begin"/>
      </w:r>
      <w:r>
        <w:instrText xml:space="preserve"> PAGEREF _Toc28284 \h </w:instrText>
      </w:r>
      <w:r>
        <w:fldChar w:fldCharType="separate"/>
      </w:r>
      <w:r>
        <w:t>- 11 -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_Toc2881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三、质量保证及售后服务</w:t>
      </w:r>
      <w:r>
        <w:tab/>
      </w:r>
      <w:r>
        <w:fldChar w:fldCharType="begin"/>
      </w:r>
      <w:r>
        <w:instrText xml:space="preserve"> PAGEREF _Toc2881 \h </w:instrText>
      </w:r>
      <w:r>
        <w:fldChar w:fldCharType="separate"/>
      </w:r>
      <w:r>
        <w:t>- 11 -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_Toc7956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四、付款方式</w:t>
      </w:r>
      <w:r>
        <w:tab/>
      </w:r>
      <w:r>
        <w:fldChar w:fldCharType="begin"/>
      </w:r>
      <w:r>
        <w:instrText xml:space="preserve"> PAGEREF _Toc7956 \h </w:instrText>
      </w:r>
      <w:r>
        <w:fldChar w:fldCharType="separate"/>
      </w:r>
      <w:r>
        <w:t>- 12 -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_Toc14246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五、培训</w:t>
      </w:r>
      <w:r>
        <w:tab/>
      </w:r>
      <w:r>
        <w:fldChar w:fldCharType="begin"/>
      </w:r>
      <w:r>
        <w:instrText xml:space="preserve"> PAGEREF _Toc14246 \h </w:instrText>
      </w:r>
      <w:r>
        <w:fldChar w:fldCharType="separate"/>
      </w:r>
      <w:r>
        <w:t>- 12 -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_Toc31360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六、知识产权及保密协议</w:t>
      </w:r>
      <w:r>
        <w:tab/>
      </w:r>
      <w:r>
        <w:fldChar w:fldCharType="begin"/>
      </w:r>
      <w:r>
        <w:instrText xml:space="preserve"> PAGEREF _Toc31360 \h </w:instrText>
      </w:r>
      <w:r>
        <w:fldChar w:fldCharType="separate"/>
      </w:r>
      <w:r>
        <w:t>- 12 -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_Toc12847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lang w:val="en-US" w:eastAsia="zh-CN"/>
        </w:rPr>
        <w:t>七</w:t>
      </w:r>
      <w:r>
        <w:rPr>
          <w:rFonts w:hint="eastAsia" w:ascii="微软雅黑" w:hAnsi="微软雅黑" w:eastAsia="微软雅黑" w:cs="微软雅黑"/>
          <w:szCs w:val="24"/>
        </w:rPr>
        <w:t>、</w:t>
      </w:r>
      <w:r>
        <w:rPr>
          <w:rFonts w:hint="eastAsia" w:ascii="微软雅黑" w:hAnsi="微软雅黑" w:eastAsia="微软雅黑" w:cs="微软雅黑"/>
          <w:szCs w:val="24"/>
          <w:lang w:eastAsia="zh-Hans"/>
        </w:rPr>
        <w:t>违约责任</w:t>
      </w:r>
      <w:r>
        <w:tab/>
      </w:r>
      <w:r>
        <w:fldChar w:fldCharType="begin"/>
      </w:r>
      <w:r>
        <w:instrText xml:space="preserve"> PAGEREF _Toc12847 \h </w:instrText>
      </w:r>
      <w:r>
        <w:fldChar w:fldCharType="separate"/>
      </w:r>
      <w:r>
        <w:t>- 13 -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_Toc22682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lang w:val="en-US" w:eastAsia="zh-CN"/>
        </w:rPr>
        <w:t>八</w:t>
      </w:r>
      <w:r>
        <w:rPr>
          <w:rFonts w:hint="eastAsia" w:ascii="微软雅黑" w:hAnsi="微软雅黑" w:eastAsia="微软雅黑" w:cs="微软雅黑"/>
          <w:szCs w:val="24"/>
        </w:rPr>
        <w:t>、其他约定事项</w:t>
      </w:r>
      <w:r>
        <w:tab/>
      </w:r>
      <w:r>
        <w:fldChar w:fldCharType="begin"/>
      </w:r>
      <w:r>
        <w:instrText xml:space="preserve"> PAGEREF _Toc22682 \h </w:instrText>
      </w:r>
      <w:r>
        <w:fldChar w:fldCharType="separate"/>
      </w:r>
      <w:r>
        <w:t>- 13 -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_Toc21092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第四篇  磋商程序及方法、评审标准、无效响应和</w:t>
      </w:r>
      <w:r>
        <w:rPr>
          <w:rFonts w:hint="eastAsia" w:ascii="微软雅黑" w:hAnsi="微软雅黑" w:eastAsia="微软雅黑" w:cs="微软雅黑"/>
          <w:bCs/>
          <w:szCs w:val="36"/>
        </w:rPr>
        <w:t>采购终止</w:t>
      </w:r>
      <w:r>
        <w:tab/>
      </w:r>
      <w:r>
        <w:fldChar w:fldCharType="begin"/>
      </w:r>
      <w:r>
        <w:instrText xml:space="preserve"> PAGEREF _Toc21092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_Toc23955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_Toc23955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_Toc21330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二、评审标准</w:t>
      </w:r>
      <w:r>
        <w:tab/>
      </w:r>
      <w:r>
        <w:fldChar w:fldCharType="begin"/>
      </w:r>
      <w:r>
        <w:instrText xml:space="preserve"> PAGEREF _Toc21330 \h </w:instrText>
      </w:r>
      <w:r>
        <w:fldChar w:fldCharType="separate"/>
      </w:r>
      <w:r>
        <w:t>- 16 -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_Toc26972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三、无效响应</w:t>
      </w:r>
      <w:r>
        <w:tab/>
      </w:r>
      <w:r>
        <w:fldChar w:fldCharType="begin"/>
      </w:r>
      <w:r>
        <w:instrText xml:space="preserve"> PAGEREF _Toc26972 \h </w:instrText>
      </w:r>
      <w:r>
        <w:fldChar w:fldCharType="separate"/>
      </w:r>
      <w:r>
        <w:t>- 18 -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_Toc18904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四、采购终止</w:t>
      </w:r>
      <w:r>
        <w:tab/>
      </w:r>
      <w:r>
        <w:fldChar w:fldCharType="begin"/>
      </w:r>
      <w:r>
        <w:instrText xml:space="preserve"> PAGEREF _Toc18904 \h </w:instrText>
      </w:r>
      <w:r>
        <w:fldChar w:fldCharType="separate"/>
      </w:r>
      <w:r>
        <w:t>- 19 -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_Toc26440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第五篇  供应商须知</w:t>
      </w:r>
      <w:r>
        <w:tab/>
      </w:r>
      <w:r>
        <w:fldChar w:fldCharType="begin"/>
      </w:r>
      <w:r>
        <w:instrText xml:space="preserve"> PAGEREF _Toc26440 \h </w:instrText>
      </w:r>
      <w:r>
        <w:fldChar w:fldCharType="separate"/>
      </w:r>
      <w:r>
        <w:t>- 20 -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_Toc7746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一、磋商费用</w:t>
      </w:r>
      <w:r>
        <w:tab/>
      </w:r>
      <w:r>
        <w:fldChar w:fldCharType="begin"/>
      </w:r>
      <w:r>
        <w:instrText xml:space="preserve"> PAGEREF _Toc7746 \h </w:instrText>
      </w:r>
      <w:r>
        <w:fldChar w:fldCharType="separate"/>
      </w:r>
      <w:r>
        <w:t>- 20 -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_Toc10152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_Toc10152 \h </w:instrText>
      </w:r>
      <w:r>
        <w:fldChar w:fldCharType="separate"/>
      </w:r>
      <w:r>
        <w:t>- 20 -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_Toc11241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三、磋商要求</w:t>
      </w:r>
      <w:r>
        <w:tab/>
      </w:r>
      <w:r>
        <w:fldChar w:fldCharType="begin"/>
      </w:r>
      <w:r>
        <w:instrText xml:space="preserve"> PAGEREF _Toc11241 \h </w:instrText>
      </w:r>
      <w:r>
        <w:fldChar w:fldCharType="separate"/>
      </w:r>
      <w:r>
        <w:t>- 20 -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_Toc31612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_Toc31612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_Toc32436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五、成交通知</w:t>
      </w:r>
      <w:r>
        <w:tab/>
      </w:r>
      <w:r>
        <w:fldChar w:fldCharType="begin"/>
      </w:r>
      <w:r>
        <w:instrText xml:space="preserve"> PAGEREF _Toc32436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_Toc19047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_Toc19047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_Toc9639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七、采购代理服务费</w:t>
      </w:r>
      <w:r>
        <w:tab/>
      </w:r>
      <w:r>
        <w:fldChar w:fldCharType="begin"/>
      </w:r>
      <w:r>
        <w:instrText xml:space="preserve"> PAGEREF _Toc9639 \h </w:instrText>
      </w:r>
      <w:r>
        <w:fldChar w:fldCharType="separate"/>
      </w:r>
      <w:r>
        <w:t>- 23 -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_Toc23946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八、签订合同</w:t>
      </w:r>
      <w:r>
        <w:tab/>
      </w:r>
      <w:r>
        <w:fldChar w:fldCharType="begin"/>
      </w:r>
      <w:r>
        <w:instrText xml:space="preserve"> PAGEREF _Toc23946 \h </w:instrText>
      </w:r>
      <w:r>
        <w:fldChar w:fldCharType="separate"/>
      </w:r>
      <w:r>
        <w:t>- 24 -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_Toc2790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九、</w:t>
      </w:r>
      <w:r>
        <w:rPr>
          <w:rFonts w:hint="eastAsia" w:ascii="微软雅黑" w:hAnsi="微软雅黑" w:eastAsia="微软雅黑" w:cs="微软雅黑"/>
        </w:rPr>
        <w:t>政府采购信用融资</w:t>
      </w:r>
      <w:r>
        <w:tab/>
      </w:r>
      <w:r>
        <w:fldChar w:fldCharType="begin"/>
      </w:r>
      <w:r>
        <w:instrText xml:space="preserve"> PAGEREF _Toc2790 \h </w:instrText>
      </w:r>
      <w:r>
        <w:fldChar w:fldCharType="separate"/>
      </w:r>
      <w:r>
        <w:t>- 24 -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_Toc11764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第六篇  合同草案条款(参考版本)</w:t>
      </w:r>
      <w:r>
        <w:tab/>
      </w:r>
      <w:r>
        <w:fldChar w:fldCharType="begin"/>
      </w:r>
      <w:r>
        <w:instrText xml:space="preserve"> PAGEREF _Toc11764 \h </w:instrText>
      </w:r>
      <w:r>
        <w:fldChar w:fldCharType="separate"/>
      </w:r>
      <w:r>
        <w:t>- 25 -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_Toc1237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_Toc1237 \h </w:instrText>
      </w:r>
      <w:r>
        <w:fldChar w:fldCharType="separate"/>
      </w:r>
      <w:r>
        <w:t>- 28 -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_Toc15299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一、经济部分</w:t>
      </w:r>
      <w:r>
        <w:tab/>
      </w:r>
      <w:r>
        <w:fldChar w:fldCharType="begin"/>
      </w:r>
      <w:r>
        <w:instrText xml:space="preserve"> PAGEREF _Toc15299 \h </w:instrText>
      </w:r>
      <w:r>
        <w:fldChar w:fldCharType="separate"/>
      </w:r>
      <w:r>
        <w:t>- 29 -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_Toc12606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二、服务部分</w:t>
      </w:r>
      <w:r>
        <w:tab/>
      </w:r>
      <w:r>
        <w:fldChar w:fldCharType="begin"/>
      </w:r>
      <w:r>
        <w:instrText xml:space="preserve"> PAGEREF _Toc12606 \h </w:instrText>
      </w:r>
      <w:r>
        <w:fldChar w:fldCharType="separate"/>
      </w:r>
      <w:r>
        <w:t>- 31 -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_Toc23343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三、商务部分</w:t>
      </w:r>
      <w:r>
        <w:tab/>
      </w:r>
      <w:r>
        <w:fldChar w:fldCharType="begin"/>
      </w:r>
      <w:r>
        <w:instrText xml:space="preserve"> PAGEREF _Toc23343 \h </w:instrText>
      </w:r>
      <w:r>
        <w:fldChar w:fldCharType="separate"/>
      </w:r>
      <w:r>
        <w:t>- 32 -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_Toc29349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_Toc29349 \h </w:instrText>
      </w:r>
      <w:r>
        <w:fldChar w:fldCharType="separate"/>
      </w:r>
      <w:r>
        <w:t>- 33 -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_Toc3864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_Toc3864 \h </w:instrText>
      </w:r>
      <w:r>
        <w:fldChar w:fldCharType="separate"/>
      </w:r>
      <w:r>
        <w:t>- 40 -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02"/>
        </w:tabs>
        <w:spacing w:line="480" w:lineRule="exact"/>
        <w:ind w:left="560"/>
        <w:jc w:val="center"/>
        <w:rPr>
          <w:rFonts w:ascii="微软雅黑" w:hAnsi="微软雅黑" w:eastAsia="微软雅黑" w:cs="微软雅黑"/>
          <w:color w:val="000000" w:themeColor="text1"/>
          <w:sz w:val="18"/>
          <w:szCs w:val="2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rtlGutter w:val="1"/>
          <w:docGrid w:linePitch="380" w:charSpace="-5735"/>
        </w:sectPr>
      </w:pP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
        <w:spacing w:line="360" w:lineRule="auto"/>
        <w:ind w:firstLine="720" w:firstLineChars="200"/>
        <w:jc w:val="center"/>
        <w:rPr>
          <w:rFonts w:ascii="微软雅黑" w:hAnsi="微软雅黑" w:eastAsia="微软雅黑" w:cs="微软雅黑"/>
          <w:b w:val="0"/>
          <w:color w:val="000000" w:themeColor="text1"/>
          <w:szCs w:val="30"/>
          <w14:textFill>
            <w14:solidFill>
              <w14:schemeClr w14:val="tx1"/>
            </w14:solidFill>
          </w14:textFill>
        </w:rPr>
      </w:pPr>
      <w:bookmarkStart w:id="0" w:name="_Toc10035"/>
      <w:bookmarkStart w:id="1" w:name="_Toc12789052"/>
      <w:bookmarkStart w:id="2" w:name="_Toc11641050"/>
      <w:r>
        <w:rPr>
          <w:rFonts w:hint="eastAsia" w:ascii="微软雅黑" w:hAnsi="微软雅黑" w:eastAsia="微软雅黑" w:cs="微软雅黑"/>
          <w:b w:val="0"/>
          <w:color w:val="000000" w:themeColor="text1"/>
          <w:sz w:val="36"/>
          <w:szCs w:val="30"/>
          <w14:textFill>
            <w14:solidFill>
              <w14:schemeClr w14:val="tx1"/>
            </w14:solidFill>
          </w14:textFill>
        </w:rPr>
        <w:t>第一篇  采购邀请书</w:t>
      </w:r>
      <w:bookmarkEnd w:id="0"/>
      <w:bookmarkEnd w:id="1"/>
      <w:bookmarkEnd w:id="2"/>
    </w:p>
    <w:p>
      <w:pPr>
        <w:snapToGrid w:val="0"/>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3" w:name="_Toc313893526"/>
      <w:bookmarkStart w:id="4" w:name="_Toc317775175"/>
      <w:r>
        <w:rPr>
          <w:rFonts w:hint="eastAsia" w:ascii="微软雅黑" w:hAnsi="微软雅黑" w:eastAsia="微软雅黑" w:cs="微软雅黑"/>
          <w:color w:val="000000" w:themeColor="text1"/>
          <w:sz w:val="24"/>
          <w:szCs w:val="24"/>
          <w:u w:val="single"/>
          <w14:textFill>
            <w14:solidFill>
              <w14:schemeClr w14:val="tx1"/>
            </w14:solidFill>
          </w14:textFill>
        </w:rPr>
        <w:t>重庆鼎创招标代理有限公司</w:t>
      </w:r>
      <w:r>
        <w:rPr>
          <w:rFonts w:hint="eastAsia" w:ascii="微软雅黑" w:hAnsi="微软雅黑" w:eastAsia="微软雅黑" w:cs="微软雅黑"/>
          <w:color w:val="000000" w:themeColor="text1"/>
          <w:sz w:val="24"/>
          <w:szCs w:val="24"/>
          <w14:textFill>
            <w14:solidFill>
              <w14:schemeClr w14:val="tx1"/>
            </w14:solidFill>
          </w14:textFill>
        </w:rPr>
        <w:t>受</w:t>
      </w:r>
      <w:r>
        <w:rPr>
          <w:rFonts w:hint="eastAsia" w:ascii="微软雅黑" w:hAnsi="微软雅黑" w:eastAsia="微软雅黑" w:cs="微软雅黑"/>
          <w:color w:val="000000" w:themeColor="text1"/>
          <w:sz w:val="24"/>
          <w:szCs w:val="24"/>
          <w:u w:val="single"/>
          <w14:textFill>
            <w14:solidFill>
              <w14:schemeClr w14:val="tx1"/>
            </w14:solidFill>
          </w14:textFill>
        </w:rPr>
        <w:t>重庆市生态环境大数据应用中心</w:t>
      </w:r>
      <w:r>
        <w:rPr>
          <w:rFonts w:hint="eastAsia" w:ascii="微软雅黑" w:hAnsi="微软雅黑" w:eastAsia="微软雅黑" w:cs="微软雅黑"/>
          <w:color w:val="000000" w:themeColor="text1"/>
          <w:sz w:val="24"/>
          <w:szCs w:val="24"/>
          <w14:textFill>
            <w14:solidFill>
              <w14:schemeClr w14:val="tx1"/>
            </w14:solidFill>
          </w14:textFill>
        </w:rPr>
        <w:t>的委托，对“重庆市生态环境大数据应用中心视频接入管理系统项目”项目进行竞争性磋商采购。欢迎有资格的供应商前来参加磋商。</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5" w:name="_Toc27870"/>
      <w:r>
        <w:rPr>
          <w:rFonts w:hint="eastAsia" w:ascii="微软雅黑" w:hAnsi="微软雅黑" w:eastAsia="微软雅黑" w:cs="微软雅黑"/>
          <w:color w:val="000000" w:themeColor="text1"/>
          <w:sz w:val="24"/>
          <w:szCs w:val="24"/>
          <w14:textFill>
            <w14:solidFill>
              <w14:schemeClr w14:val="tx1"/>
            </w14:solidFill>
          </w14:textFill>
        </w:rPr>
        <w:t>一、竞争性磋商内容</w:t>
      </w:r>
      <w:bookmarkEnd w:id="3"/>
      <w:bookmarkEnd w:id="4"/>
      <w:bookmarkEnd w:id="5"/>
    </w:p>
    <w:tbl>
      <w:tblPr>
        <w:tblStyle w:val="57"/>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1961"/>
        <w:gridCol w:w="2494"/>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877" w:type="dxa"/>
            <w:tcBorders>
              <w:top w:val="single" w:color="auto" w:sz="4" w:space="0"/>
              <w:left w:val="single" w:color="auto" w:sz="4" w:space="0"/>
              <w:right w:val="single" w:color="auto" w:sz="4" w:space="0"/>
            </w:tcBorders>
            <w:vAlign w:val="center"/>
          </w:tcPr>
          <w:p>
            <w:pPr>
              <w:widowControl/>
              <w:ind w:firstLine="420" w:firstLineChars="200"/>
              <w:jc w:val="center"/>
              <w:rPr>
                <w:rFonts w:ascii="微软雅黑" w:hAnsi="微软雅黑" w:eastAsia="微软雅黑" w:cs="微软雅黑"/>
                <w:b/>
                <w:bCs/>
                <w:color w:val="000000" w:themeColor="text1"/>
                <w:kern w:val="0"/>
                <w:sz w:val="21"/>
                <w:szCs w:val="24"/>
                <w14:textFill>
                  <w14:solidFill>
                    <w14:schemeClr w14:val="tx1"/>
                  </w14:solidFill>
                </w14:textFill>
              </w:rPr>
            </w:pPr>
            <w:bookmarkStart w:id="6" w:name="_Toc373860293"/>
            <w:bookmarkStart w:id="7" w:name="_Toc317775178"/>
            <w:r>
              <w:rPr>
                <w:rFonts w:hint="eastAsia" w:ascii="微软雅黑" w:hAnsi="微软雅黑" w:eastAsia="微软雅黑" w:cs="微软雅黑"/>
                <w:b/>
                <w:bCs/>
                <w:color w:val="000000" w:themeColor="text1"/>
                <w:kern w:val="0"/>
                <w:sz w:val="21"/>
                <w:szCs w:val="24"/>
                <w14:textFill>
                  <w14:solidFill>
                    <w14:schemeClr w14:val="tx1"/>
                  </w14:solidFill>
                </w14:textFill>
              </w:rPr>
              <w:t>项目名称</w:t>
            </w:r>
          </w:p>
        </w:tc>
        <w:tc>
          <w:tcPr>
            <w:tcW w:w="1961" w:type="dxa"/>
            <w:tcBorders>
              <w:top w:val="single" w:color="auto" w:sz="4" w:space="0"/>
              <w:left w:val="single" w:color="auto" w:sz="4" w:space="0"/>
              <w:right w:val="single" w:color="auto" w:sz="4" w:space="0"/>
            </w:tcBorders>
            <w:vAlign w:val="center"/>
          </w:tcPr>
          <w:p>
            <w:pPr>
              <w:widowControl/>
              <w:jc w:val="center"/>
              <w:rPr>
                <w:rFonts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最高限价（万元）</w:t>
            </w:r>
          </w:p>
        </w:tc>
        <w:tc>
          <w:tcPr>
            <w:tcW w:w="2494" w:type="dxa"/>
            <w:tcBorders>
              <w:top w:val="single" w:color="auto" w:sz="4" w:space="0"/>
              <w:left w:val="single" w:color="auto" w:sz="4" w:space="0"/>
              <w:right w:val="single" w:color="auto" w:sz="4" w:space="0"/>
            </w:tcBorders>
            <w:vAlign w:val="center"/>
          </w:tcPr>
          <w:p>
            <w:pPr>
              <w:ind w:firstLine="210" w:firstLineChars="100"/>
              <w:rPr>
                <w:rFonts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成交供应商数量（名）</w:t>
            </w:r>
          </w:p>
        </w:tc>
        <w:tc>
          <w:tcPr>
            <w:tcW w:w="2494"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877" w:type="dxa"/>
            <w:tcBorders>
              <w:top w:val="single" w:color="auto" w:sz="4" w:space="0"/>
              <w:left w:val="single" w:color="auto" w:sz="4" w:space="0"/>
              <w:right w:val="single" w:color="auto" w:sz="4" w:space="0"/>
            </w:tcBorders>
            <w:vAlign w:val="center"/>
          </w:tcPr>
          <w:p>
            <w:pPr>
              <w:widowControl/>
              <w:rPr>
                <w:rFonts w:ascii="微软雅黑" w:hAnsi="微软雅黑" w:eastAsia="微软雅黑" w:cs="微软雅黑"/>
                <w:color w:val="000000" w:themeColor="text1"/>
                <w:kern w:val="0"/>
                <w:sz w:val="21"/>
                <w:szCs w:val="24"/>
                <w14:textFill>
                  <w14:solidFill>
                    <w14:schemeClr w14:val="tx1"/>
                  </w14:solidFill>
                </w14:textFill>
              </w:rPr>
            </w:pPr>
            <w:bookmarkStart w:id="8" w:name="_Hlk344477914"/>
            <w:r>
              <w:rPr>
                <w:rFonts w:hint="eastAsia" w:ascii="微软雅黑" w:hAnsi="微软雅黑" w:eastAsia="微软雅黑" w:cs="微软雅黑"/>
                <w:color w:val="000000" w:themeColor="text1"/>
                <w:kern w:val="0"/>
                <w:sz w:val="21"/>
                <w:szCs w:val="24"/>
                <w14:textFill>
                  <w14:solidFill>
                    <w14:schemeClr w14:val="tx1"/>
                  </w14:solidFill>
                </w14:textFill>
              </w:rPr>
              <w:t>重庆市生态环境大数据应用中心视频接入管理系统项目</w:t>
            </w:r>
          </w:p>
        </w:tc>
        <w:tc>
          <w:tcPr>
            <w:tcW w:w="1961" w:type="dxa"/>
            <w:tcBorders>
              <w:top w:val="single" w:color="auto" w:sz="4" w:space="0"/>
              <w:left w:val="single" w:color="auto" w:sz="4" w:space="0"/>
              <w:right w:val="single" w:color="auto" w:sz="4" w:space="0"/>
            </w:tcBorders>
            <w:vAlign w:val="center"/>
          </w:tcPr>
          <w:p>
            <w:pPr>
              <w:widowControl/>
              <w:jc w:val="center"/>
              <w:rPr>
                <w:rFonts w:ascii="微软雅黑" w:hAnsi="微软雅黑" w:eastAsia="微软雅黑" w:cs="微软雅黑"/>
                <w:color w:val="000000" w:themeColor="text1"/>
                <w:kern w:val="0"/>
                <w:sz w:val="21"/>
                <w:szCs w:val="24"/>
                <w14:textFill>
                  <w14:solidFill>
                    <w14:schemeClr w14:val="tx1"/>
                  </w14:solidFill>
                </w14:textFill>
              </w:rPr>
            </w:pPr>
            <w:r>
              <w:rPr>
                <w:rFonts w:ascii="微软雅黑" w:hAnsi="微软雅黑" w:eastAsia="微软雅黑" w:cs="微软雅黑"/>
                <w:color w:val="auto"/>
                <w:kern w:val="0"/>
                <w:sz w:val="21"/>
                <w:szCs w:val="24"/>
              </w:rPr>
              <w:t>49</w:t>
            </w:r>
          </w:p>
        </w:tc>
        <w:tc>
          <w:tcPr>
            <w:tcW w:w="2494" w:type="dxa"/>
            <w:tcBorders>
              <w:top w:val="single" w:color="auto" w:sz="4" w:space="0"/>
              <w:left w:val="single" w:color="auto" w:sz="4" w:space="0"/>
              <w:right w:val="single" w:color="auto" w:sz="4" w:space="0"/>
            </w:tcBorders>
            <w:vAlign w:val="center"/>
          </w:tcPr>
          <w:p>
            <w:pPr>
              <w:widowControl/>
              <w:ind w:firstLine="1050" w:firstLineChars="500"/>
              <w:rPr>
                <w:rFonts w:ascii="微软雅黑" w:hAnsi="微软雅黑" w:eastAsia="微软雅黑" w:cs="微软雅黑"/>
                <w:color w:val="000000" w:themeColor="text1"/>
                <w:kern w:val="0"/>
                <w:sz w:val="21"/>
                <w:szCs w:val="24"/>
                <w14:textFill>
                  <w14:solidFill>
                    <w14:schemeClr w14:val="tx1"/>
                  </w14:solidFill>
                </w14:textFill>
              </w:rPr>
            </w:pPr>
            <w:r>
              <w:rPr>
                <w:rFonts w:hint="eastAsia" w:ascii="微软雅黑" w:hAnsi="微软雅黑" w:eastAsia="微软雅黑" w:cs="微软雅黑"/>
                <w:color w:val="000000" w:themeColor="text1"/>
                <w:kern w:val="0"/>
                <w:sz w:val="21"/>
                <w:szCs w:val="24"/>
                <w14:textFill>
                  <w14:solidFill>
                    <w14:schemeClr w14:val="tx1"/>
                  </w14:solidFill>
                </w14:textFill>
              </w:rPr>
              <w:t>1</w:t>
            </w:r>
          </w:p>
        </w:tc>
        <w:tc>
          <w:tcPr>
            <w:tcW w:w="2494"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color w:val="000000" w:themeColor="text1"/>
                <w:kern w:val="0"/>
                <w:sz w:val="21"/>
                <w:szCs w:val="24"/>
                <w14:textFill>
                  <w14:solidFill>
                    <w14:schemeClr w14:val="tx1"/>
                  </w14:solidFill>
                </w14:textFill>
              </w:rPr>
            </w:pPr>
            <w:r>
              <w:rPr>
                <w:rFonts w:hint="eastAsia" w:ascii="微软雅黑" w:hAnsi="微软雅黑" w:eastAsia="微软雅黑" w:cs="微软雅黑"/>
                <w:color w:val="000000" w:themeColor="text1"/>
                <w:kern w:val="0"/>
                <w:sz w:val="21"/>
                <w:szCs w:val="24"/>
                <w:highlight w:val="none"/>
                <w14:textFill>
                  <w14:solidFill>
                    <w14:schemeClr w14:val="tx1"/>
                  </w14:solidFill>
                </w14:textFill>
              </w:rPr>
              <w:t>软件和信息技术服务业</w:t>
            </w:r>
          </w:p>
        </w:tc>
      </w:tr>
      <w:bookmarkEnd w:id="8"/>
    </w:tbl>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9" w:name="_Toc13594"/>
      <w:r>
        <w:rPr>
          <w:rFonts w:hint="eastAsia" w:ascii="微软雅黑" w:hAnsi="微软雅黑" w:eastAsia="微软雅黑" w:cs="微软雅黑"/>
          <w:color w:val="000000" w:themeColor="text1"/>
          <w:sz w:val="24"/>
          <w:szCs w:val="24"/>
          <w14:textFill>
            <w14:solidFill>
              <w14:schemeClr w14:val="tx1"/>
            </w14:solidFill>
          </w14:textFill>
        </w:rPr>
        <w:t>二、资金来源</w:t>
      </w:r>
      <w:bookmarkEnd w:id="9"/>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财政预算资金，采购预算49万元。</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0" w:name="_Toc10910"/>
      <w:r>
        <w:rPr>
          <w:rFonts w:hint="eastAsia" w:ascii="微软雅黑" w:hAnsi="微软雅黑" w:eastAsia="微软雅黑" w:cs="微软雅黑"/>
          <w:color w:val="000000" w:themeColor="text1"/>
          <w:sz w:val="24"/>
          <w:szCs w:val="24"/>
          <w14:textFill>
            <w14:solidFill>
              <w14:schemeClr w14:val="tx1"/>
            </w14:solidFill>
          </w14:textFill>
        </w:rPr>
        <w:t>三、供应商资格条件</w:t>
      </w:r>
      <w:bookmarkEnd w:id="10"/>
      <w:bookmarkStart w:id="149" w:name="_GoBack"/>
      <w:bookmarkEnd w:id="149"/>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供应商是指向采购人提供服务或者货物的法人、其他组织或者自然人。合格的供应商应首先符合政府采购法第二十二条规定的基本资格条件。</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（一）基本资格条件</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1、具有独立承担民事责任的能力；</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2、具有良好的商业信誉和健全的财务会计制度；</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3、具有履行合同所必需的设备和专业技术能力；</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4、有依法缴纳税收和社会保障资金的良好记录；</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5、参加政府采购活动前三年内，在经营活动中没有重大违法记录；</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6、法律、行政法规规定的其他条件。</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1" w:name="_Toc20894"/>
      <w:r>
        <w:rPr>
          <w:rFonts w:hint="eastAsia" w:ascii="微软雅黑" w:hAnsi="微软雅黑" w:eastAsia="微软雅黑" w:cs="微软雅黑"/>
          <w:color w:val="000000" w:themeColor="text1"/>
          <w:sz w:val="24"/>
          <w:szCs w:val="24"/>
          <w14:textFill>
            <w14:solidFill>
              <w14:schemeClr w14:val="tx1"/>
            </w14:solidFill>
          </w14:textFill>
        </w:rPr>
        <w:t>四、磋商有关说明</w:t>
      </w:r>
      <w:bookmarkEnd w:id="6"/>
      <w:bookmarkEnd w:id="11"/>
      <w:bookmarkStart w:id="12" w:name="_Toc373860294"/>
    </w:p>
    <w:p>
      <w:pPr>
        <w:numPr>
          <w:ilvl w:val="0"/>
          <w:numId w:val="1"/>
        </w:numPr>
        <w:spacing w:line="3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凡有意参加磋商采购的供应商，请于公告发布之日</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起至提交首次响应文件截止时间之前，在重庆市生态环境局政府公众信息网站（http://sthjj.cq.gov.cn）上下载本项目磋商文件、补遗等磋商前公布的所有项目资料，无论供应商下载与否，均视为已知晓所有磋商实质性要求内容。</w:t>
      </w:r>
    </w:p>
    <w:p>
      <w:pPr>
        <w:numPr>
          <w:ilvl w:val="0"/>
          <w:numId w:val="1"/>
        </w:num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竞争性磋商公告期限：自采购公告发布之日（</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w:t>
      </w:r>
      <w:r>
        <w:rPr>
          <w:rFonts w:hint="eastAsia" w:ascii="微软雅黑" w:hAnsi="微软雅黑" w:eastAsia="微软雅黑" w:cs="微软雅黑"/>
          <w:bCs/>
          <w:color w:val="auto"/>
          <w:sz w:val="24"/>
          <w:szCs w:val="24"/>
        </w:rPr>
        <w:t>）起三个工作日。</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（三）报名及磋商文件发售</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1.报名和磋商文件发售期：</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日</w:t>
      </w:r>
      <w:r>
        <w:rPr>
          <w:rFonts w:hint="eastAsia" w:ascii="微软雅黑" w:hAnsi="微软雅黑" w:eastAsia="微软雅黑" w:cs="微软雅黑"/>
          <w:bCs/>
          <w:color w:val="auto"/>
          <w:sz w:val="24"/>
          <w:szCs w:val="24"/>
        </w:rPr>
        <w:t>17:00</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2.磋商文件售价：人民币300元/份（售后不退）</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2.1磋商文件购买方式</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2.1.1</w:t>
      </w:r>
      <w:r>
        <w:rPr>
          <w:rFonts w:hint="eastAsia" w:ascii="微软雅黑" w:hAnsi="微软雅黑" w:eastAsia="微软雅黑" w:cs="微软雅黑"/>
          <w:b/>
          <w:color w:val="000000" w:themeColor="text1"/>
          <w:sz w:val="24"/>
          <w:szCs w:val="24"/>
          <w14:textFill>
            <w14:solidFill>
              <w14:schemeClr w14:val="tx1"/>
            </w14:solidFill>
          </w14:textFill>
        </w:rPr>
        <w:t>现金购买</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在磋商文件发售期内，供应商到重庆市江北区观音桥建新南路11号12-1室登记递交《重庆鼎创招标代理有限公司采购文件发售登记表》（加盖供应商公章）并购买磋商文件。</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2.1.2</w:t>
      </w:r>
      <w:r>
        <w:rPr>
          <w:rFonts w:hint="eastAsia" w:ascii="微软雅黑" w:hAnsi="微软雅黑" w:eastAsia="微软雅黑" w:cs="微软雅黑"/>
          <w:b/>
          <w:color w:val="000000" w:themeColor="text1"/>
          <w:sz w:val="24"/>
          <w:szCs w:val="24"/>
          <w14:textFill>
            <w14:solidFill>
              <w14:schemeClr w14:val="tx1"/>
            </w14:solidFill>
          </w14:textFill>
        </w:rPr>
        <w:t>汇款购买</w:t>
      </w:r>
    </w:p>
    <w:p>
      <w:pPr>
        <w:spacing w:line="460" w:lineRule="exact"/>
        <w:ind w:firstLine="560" w:firstLineChars="200"/>
        <w:rPr>
          <w:rFonts w:ascii="微软雅黑" w:hAnsi="微软雅黑" w:eastAsia="微软雅黑" w:cs="微软雅黑"/>
          <w:bCs/>
          <w:color w:val="000000" w:themeColor="text1"/>
          <w:sz w:val="24"/>
          <w:szCs w:val="24"/>
          <w14:textFill>
            <w14:solidFill>
              <w14:schemeClr w14:val="tx1"/>
            </w14:solidFill>
          </w14:textFill>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微软雅黑" w:hAnsi="微软雅黑" w:eastAsia="微软雅黑" w:cs="微软雅黑"/>
          <w:bCs/>
          <w:color w:val="000000" w:themeColor="text1"/>
          <w:sz w:val="24"/>
          <w:szCs w:val="24"/>
          <w14:textFill>
            <w14:solidFill>
              <w14:schemeClr w14:val="tx1"/>
            </w14:solidFill>
          </w14:textFill>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65"/>
          <w:rFonts w:hint="eastAsia" w:ascii="微软雅黑" w:hAnsi="微软雅黑" w:eastAsia="微软雅黑" w:cs="微软雅黑"/>
          <w:bCs/>
          <w:color w:val="000000" w:themeColor="text1"/>
          <w:sz w:val="24"/>
          <w:szCs w:val="24"/>
          <w:lang w:val="en-US" w:eastAsia="zh-CN"/>
          <w14:textFill>
            <w14:solidFill>
              <w14:schemeClr w14:val="tx1"/>
            </w14:solidFill>
          </w14:textFill>
        </w:rPr>
        <w:t>2755861</w:t>
      </w:r>
      <w:r>
        <w:rPr>
          <w:rStyle w:val="65"/>
          <w:rFonts w:hint="eastAsia" w:ascii="微软雅黑" w:hAnsi="微软雅黑" w:eastAsia="微软雅黑" w:cs="微软雅黑"/>
          <w:bCs/>
          <w:color w:val="000000" w:themeColor="text1"/>
          <w:sz w:val="24"/>
          <w:szCs w:val="24"/>
          <w14:textFill>
            <w14:solidFill>
              <w14:schemeClr w14:val="tx1"/>
            </w14:solidFill>
          </w14:textFill>
        </w:rPr>
        <w:t>@qq.com（邮箱）。报名成功时间以代理机构收到以上资料邮箱的显示时间为准。</w:t>
      </w:r>
      <w:r>
        <w:rPr>
          <w:rStyle w:val="65"/>
          <w:rFonts w:hint="eastAsia" w:ascii="微软雅黑" w:hAnsi="微软雅黑" w:eastAsia="微软雅黑" w:cs="微软雅黑"/>
          <w:bCs/>
          <w:color w:val="000000" w:themeColor="text1"/>
          <w:sz w:val="24"/>
          <w:szCs w:val="24"/>
          <w14:textFill>
            <w14:solidFill>
              <w14:schemeClr w14:val="tx1"/>
            </w14:solidFill>
          </w14:textFill>
        </w:rPr>
        <w:fldChar w:fldCharType="end"/>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户  名：重庆鼎创招标代理有限公司</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开户行：招商银行股份有限公司重庆观音桥支行</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账  号：123911157910105</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 在报名和磋商文件发售期内购买了磋商文件并按以上要求提交了相应资料的供应商，其现场报名才被接收，否则当场退还响应文件。</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（四）供应商须满足以下二种条件，其响应文件才被接受：</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1、按时递交了响应文件；</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2、按时报名签到。</w:t>
      </w:r>
    </w:p>
    <w:p>
      <w:pPr>
        <w:spacing w:line="460" w:lineRule="exact"/>
        <w:ind w:firstLine="480" w:firstLineChars="200"/>
        <w:rPr>
          <w:rFonts w:hint="eastAsia" w:ascii="微软雅黑" w:hAnsi="微软雅黑" w:eastAsia="微软雅黑" w:cs="微软雅黑"/>
          <w:bCs/>
          <w:color w:val="000000" w:themeColor="text1"/>
          <w:sz w:val="24"/>
          <w:szCs w:val="24"/>
          <w14:textFill>
            <w14:solidFill>
              <w14:schemeClr w14:val="tx1"/>
            </w14:solidFill>
          </w14:textFill>
        </w:rPr>
      </w:pPr>
      <w:bookmarkStart w:id="13" w:name="_Toc8970"/>
      <w:r>
        <w:rPr>
          <w:rFonts w:hint="eastAsia" w:ascii="微软雅黑" w:hAnsi="微软雅黑" w:eastAsia="微软雅黑" w:cs="微软雅黑"/>
          <w:bCs/>
          <w:color w:val="000000" w:themeColor="text1"/>
          <w:sz w:val="24"/>
          <w:szCs w:val="24"/>
          <w14:textFill>
            <w14:solidFill>
              <w14:schemeClr w14:val="tx1"/>
            </w14:solidFill>
          </w14:textFill>
        </w:rPr>
        <w:t>（五）磋商地</w:t>
      </w:r>
      <w:r>
        <w:rPr>
          <w:rFonts w:hint="eastAsia" w:ascii="微软雅黑" w:hAnsi="微软雅黑" w:eastAsia="微软雅黑" w:cs="微软雅黑"/>
          <w:bCs/>
          <w:color w:val="auto"/>
          <w:sz w:val="24"/>
          <w:szCs w:val="24"/>
        </w:rPr>
        <w:t>点：重庆市生态环境大数据应用中心一楼会议室（</w:t>
      </w:r>
      <w:r>
        <w:rPr>
          <w:rFonts w:hint="eastAsia" w:ascii="微软雅黑" w:hAnsi="微软雅黑" w:eastAsia="微软雅黑" w:cs="微软雅黑"/>
          <w:bCs/>
          <w:color w:val="000000" w:themeColor="text1"/>
          <w:sz w:val="24"/>
          <w:szCs w:val="24"/>
          <w14:textFill>
            <w14:solidFill>
              <w14:schemeClr w14:val="tx1"/>
            </w14:solidFill>
          </w14:textFill>
        </w:rPr>
        <w:t>重庆市渝北区旗山路252号）。</w:t>
      </w:r>
    </w:p>
    <w:p>
      <w:pPr>
        <w:spacing w:line="4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（六）提交响应文件开始时间</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28</w:t>
      </w:r>
      <w:r>
        <w:rPr>
          <w:rFonts w:hint="eastAsia" w:ascii="微软雅黑" w:hAnsi="微软雅黑" w:eastAsia="微软雅黑" w:cs="微软雅黑"/>
          <w:color w:val="auto"/>
          <w:sz w:val="24"/>
          <w:szCs w:val="24"/>
        </w:rPr>
        <w:t>日 北京时间 14时00分。</w:t>
      </w:r>
    </w:p>
    <w:p>
      <w:pPr>
        <w:spacing w:line="4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（七）提交响应文件截止时间：</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28</w:t>
      </w:r>
      <w:r>
        <w:rPr>
          <w:rFonts w:hint="eastAsia" w:ascii="微软雅黑" w:hAnsi="微软雅黑" w:eastAsia="微软雅黑" w:cs="微软雅黑"/>
          <w:color w:val="auto"/>
          <w:sz w:val="24"/>
          <w:szCs w:val="24"/>
        </w:rPr>
        <w:t>日 北京时间14时30分。</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bCs/>
          <w:color w:val="auto"/>
          <w:sz w:val="24"/>
          <w:szCs w:val="24"/>
        </w:rPr>
        <w:t>（八）磋商开始时间：</w:t>
      </w:r>
      <w:r>
        <w:rPr>
          <w:rFonts w:hint="eastAsia" w:ascii="微软雅黑" w:hAnsi="微软雅黑" w:eastAsia="微软雅黑" w:cs="微软雅黑"/>
          <w:color w:val="auto"/>
          <w:sz w:val="24"/>
          <w:szCs w:val="24"/>
        </w:rPr>
        <w:t>2021年</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28</w:t>
      </w:r>
      <w:r>
        <w:rPr>
          <w:rFonts w:hint="eastAsia" w:ascii="微软雅黑" w:hAnsi="微软雅黑" w:eastAsia="微软雅黑" w:cs="微软雅黑"/>
          <w:color w:val="auto"/>
          <w:sz w:val="24"/>
          <w:szCs w:val="24"/>
        </w:rPr>
        <w:t>日北京时间14时30分。</w:t>
      </w:r>
      <w:bookmarkEnd w:id="7"/>
      <w:bookmarkEnd w:id="12"/>
      <w:bookmarkEnd w:id="13"/>
      <w:bookmarkStart w:id="14" w:name="_Toc480466698"/>
      <w:bookmarkStart w:id="15" w:name="_Toc479668114"/>
      <w:bookmarkStart w:id="16" w:name="_Toc499576199"/>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7" w:name="_Toc13746"/>
      <w:bookmarkStart w:id="18" w:name="_Toc12139"/>
      <w:r>
        <w:rPr>
          <w:rFonts w:hint="eastAsia" w:ascii="微软雅黑" w:hAnsi="微软雅黑" w:eastAsia="微软雅黑" w:cs="微软雅黑"/>
          <w:color w:val="000000" w:themeColor="text1"/>
          <w:sz w:val="24"/>
          <w:szCs w:val="24"/>
          <w14:textFill>
            <w14:solidFill>
              <w14:schemeClr w14:val="tx1"/>
            </w14:solidFill>
          </w14:textFill>
        </w:rPr>
        <w:t>五、保证金</w:t>
      </w:r>
      <w:bookmarkEnd w:id="17"/>
      <w:r>
        <w:rPr>
          <w:rFonts w:hint="eastAsia" w:ascii="微软雅黑" w:hAnsi="微软雅黑" w:eastAsia="微软雅黑" w:cs="微软雅黑"/>
          <w:color w:val="000000" w:themeColor="text1"/>
          <w:sz w:val="24"/>
          <w:szCs w:val="24"/>
          <w14:textFill>
            <w14:solidFill>
              <w14:schemeClr w14:val="tx1"/>
            </w14:solidFill>
          </w14:textFill>
        </w:rPr>
        <w:t>（本项目无)</w:t>
      </w:r>
      <w:bookmarkEnd w:id="18"/>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（一）保证金递交</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供应商须按本项目规定的保证金金额进行缴纳（保证金金额详见本篇，一、竞争性磋商文件内容），由供应商从其基本账户将保证金汇至以下账户，保证金的到账截止时间同提交响应文件截止时间。</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保证金账户</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户  名：重庆鼎创招标代理有限公司</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开户行：招商银行股份有限公司重庆观音桥支行</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账  号：123911157910105</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1、各供应商在银行转账（电汇）时，须充分考虑银行转账（电汇）的时间差风险，如同城转账、异地转账或汇款、跨行转账或电汇的时间要求。</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2、各供应商在递交保证金时，到款账户为上述指定的保证金专用账户，来款账户必须为本公司基本账户。</w:t>
      </w:r>
    </w:p>
    <w:p>
      <w:pPr>
        <w:snapToGrid w:val="0"/>
        <w:spacing w:line="440" w:lineRule="exact"/>
        <w:ind w:firstLine="720" w:firstLineChars="3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（二）保证金退还方式</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1、未成交供应商的磋商保证金，在成交通知书发放后，由采购代理机构在五个工作日内按来款渠道直接退还。</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2、成交供应商的磋商保证金，在成交供应商与采购人签订合同后，由采购代理机构在五个工作日内按资金来款渠道直接退还。</w:t>
      </w:r>
    </w:p>
    <w:p>
      <w:pPr>
        <w:pStyle w:val="5"/>
        <w:spacing w:before="0" w:after="0"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9" w:name="_Toc8524"/>
      <w:r>
        <w:rPr>
          <w:rFonts w:hint="eastAsia" w:ascii="微软雅黑" w:hAnsi="微软雅黑" w:eastAsia="微软雅黑" w:cs="微软雅黑"/>
          <w:color w:val="000000" w:themeColor="text1"/>
          <w:sz w:val="24"/>
          <w:szCs w:val="24"/>
          <w14:textFill>
            <w14:solidFill>
              <w14:schemeClr w14:val="tx1"/>
            </w14:solidFill>
          </w14:textFill>
        </w:rPr>
        <w:t>六、采购项目需落实的政府采购政策</w:t>
      </w:r>
      <w:bookmarkEnd w:id="14"/>
      <w:bookmarkEnd w:id="15"/>
      <w:bookmarkEnd w:id="16"/>
      <w:bookmarkEnd w:id="19"/>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（二）按照《财政部 工业和信息化部关于印发&lt;政府采购促进中小企业发展管理办法&gt;的通知》（财库〔2020〕46号）的规定，落实促进中小企业发展政策。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0" w:name="_Toc6620"/>
      <w:bookmarkStart w:id="21" w:name="_Toc16319"/>
      <w:bookmarkStart w:id="22" w:name="_Toc15260"/>
      <w:r>
        <w:rPr>
          <w:rFonts w:hint="eastAsia" w:ascii="微软雅黑" w:hAnsi="微软雅黑" w:eastAsia="微软雅黑" w:cs="微软雅黑"/>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bookmarkEnd w:id="20"/>
      <w:bookmarkEnd w:id="21"/>
      <w:bookmarkEnd w:id="22"/>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3" w:name="_Toc24253"/>
      <w:r>
        <w:rPr>
          <w:rFonts w:hint="eastAsia" w:ascii="微软雅黑" w:hAnsi="微软雅黑" w:eastAsia="微软雅黑" w:cs="微软雅黑"/>
          <w:color w:val="000000" w:themeColor="text1"/>
          <w:sz w:val="24"/>
          <w:szCs w:val="24"/>
          <w14:textFill>
            <w14:solidFill>
              <w14:schemeClr w14:val="tx1"/>
            </w14:solidFill>
          </w14:textFill>
        </w:rPr>
        <w:t>七、其它有关规定</w:t>
      </w:r>
      <w:bookmarkEnd w:id="23"/>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本项目的补遗文件（如果有）一律在“重庆市生态环境局政府公众信息网站（http://sthjj.cq.gov.cn）”上发布，请各供应商注意下载；无论供应商下载与否，均视同供应商已知晓本项目补遗文件（如果有）的内容。</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（四）超过响应文件截止时间递交的响应文件，恕不接收。</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（五）磋商费用：无论磋商结果如何，供应商参与本项目磋商的所有费用均应由供应商自行承担。</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（六）本项目不接受联合体参与磋商。</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（七）本项目不接受合同分包。</w:t>
      </w:r>
    </w:p>
    <w:p>
      <w:pPr>
        <w:spacing w:line="400" w:lineRule="exact"/>
        <w:ind w:firstLine="480" w:firstLineChars="200"/>
      </w:pPr>
      <w:r>
        <w:rPr>
          <w:rFonts w:hint="eastAsia" w:ascii="微软雅黑" w:hAnsi="微软雅黑" w:eastAsia="微软雅黑" w:cs="微软雅黑"/>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4" w:name="_Toc3671"/>
      <w:r>
        <w:rPr>
          <w:rFonts w:hint="eastAsia" w:ascii="微软雅黑" w:hAnsi="微软雅黑" w:eastAsia="微软雅黑" w:cs="微软雅黑"/>
          <w:color w:val="000000" w:themeColor="text1"/>
          <w:sz w:val="24"/>
          <w:szCs w:val="24"/>
          <w14:textFill>
            <w14:solidFill>
              <w14:schemeClr w14:val="tx1"/>
            </w14:solidFill>
          </w14:textFill>
        </w:rPr>
        <w:t>八、联系方式</w:t>
      </w:r>
      <w:bookmarkEnd w:id="24"/>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（一）采购人：重庆市生态环境大数据应用中心</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刘</w:t>
      </w:r>
      <w:r>
        <w:rPr>
          <w:rFonts w:hint="eastAsia" w:ascii="微软雅黑" w:hAnsi="微软雅黑" w:eastAsia="微软雅黑" w:cs="微软雅黑"/>
          <w:color w:val="000000" w:themeColor="text1"/>
          <w:sz w:val="24"/>
          <w:szCs w:val="24"/>
          <w14:textFill>
            <w14:solidFill>
              <w14:schemeClr w14:val="tx1"/>
            </w14:solidFill>
          </w14:textFill>
        </w:rPr>
        <w:t>老师</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  话：023-89188836</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地  址：重庆市渝北区冉家坝旗山路252号</w:t>
      </w:r>
    </w:p>
    <w:p>
      <w:pPr>
        <w:spacing w:line="4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（二）采购代理机构：重庆鼎创招标代理有限公司</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刘</w:t>
      </w:r>
      <w:r>
        <w:rPr>
          <w:rFonts w:hint="eastAsia" w:ascii="微软雅黑" w:hAnsi="微软雅黑" w:eastAsia="微软雅黑" w:cs="微软雅黑"/>
          <w:color w:val="000000" w:themeColor="text1"/>
          <w:sz w:val="24"/>
          <w:szCs w:val="24"/>
          <w14:textFill>
            <w14:solidFill>
              <w14:schemeClr w14:val="tx1"/>
            </w14:solidFill>
          </w14:textFill>
        </w:rPr>
        <w:t>老师</w:t>
      </w:r>
    </w:p>
    <w:p>
      <w:pPr>
        <w:spacing w:line="46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电  话：023-67865997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18908311731</w:t>
      </w:r>
    </w:p>
    <w:p>
      <w:pPr>
        <w:spacing w:line="460" w:lineRule="exact"/>
        <w:ind w:firstLine="480" w:firstLineChars="200"/>
        <w:rPr>
          <w:rFonts w:ascii="微软雅黑" w:hAnsi="微软雅黑" w:eastAsia="微软雅黑" w:cs="微软雅黑"/>
          <w:b/>
          <w:color w:val="000000" w:themeColor="text1"/>
          <w:sz w:val="24"/>
          <w:szCs w:val="24"/>
          <w14:textFill>
            <w14:solidFill>
              <w14:schemeClr w14:val="tx1"/>
            </w14:solidFill>
          </w14:textFill>
        </w:rPr>
        <w:sectPr>
          <w:pgSz w:w="11907" w:h="16840"/>
          <w:pgMar w:top="1134" w:right="1418" w:bottom="1134" w:left="1418" w:header="964" w:footer="992" w:gutter="0"/>
          <w:pgNumType w:fmt="numberInDash"/>
          <w:cols w:space="720" w:num="1"/>
          <w:rtlGutter w:val="1"/>
          <w:docGrid w:linePitch="312" w:charSpace="0"/>
        </w:sectPr>
      </w:pPr>
      <w:r>
        <w:rPr>
          <w:rFonts w:hint="eastAsia" w:ascii="微软雅黑" w:hAnsi="微软雅黑" w:eastAsia="微软雅黑" w:cs="微软雅黑"/>
          <w:color w:val="000000" w:themeColor="text1"/>
          <w:sz w:val="24"/>
          <w:szCs w:val="24"/>
          <w14:textFill>
            <w14:solidFill>
              <w14:schemeClr w14:val="tx1"/>
            </w14:solidFill>
          </w14:textFill>
        </w:rPr>
        <w:t>地  址：重庆市江北区观音桥建新南路11号（浩博天庭）12-1</w:t>
      </w:r>
    </w:p>
    <w:p>
      <w:pPr>
        <w:pStyle w:val="4"/>
        <w:numPr>
          <w:ilvl w:val="0"/>
          <w:numId w:val="2"/>
        </w:numPr>
        <w:spacing w:before="0" w:after="0" w:line="360" w:lineRule="auto"/>
        <w:ind w:firstLine="720" w:firstLineChars="200"/>
        <w:jc w:val="center"/>
        <w:rPr>
          <w:rFonts w:ascii="微软雅黑" w:hAnsi="微软雅黑" w:eastAsia="微软雅黑" w:cs="微软雅黑"/>
          <w:bCs/>
          <w:color w:val="000000" w:themeColor="text1"/>
          <w:sz w:val="36"/>
          <w:szCs w:val="30"/>
          <w14:textFill>
            <w14:solidFill>
              <w14:schemeClr w14:val="tx1"/>
            </w14:solidFill>
          </w14:textFill>
        </w:rPr>
      </w:pPr>
      <w:bookmarkStart w:id="25" w:name="_Toc9269"/>
      <w:r>
        <w:rPr>
          <w:rFonts w:hint="eastAsia" w:ascii="微软雅黑" w:hAnsi="微软雅黑" w:eastAsia="微软雅黑" w:cs="微软雅黑"/>
          <w:bCs/>
          <w:color w:val="000000" w:themeColor="text1"/>
          <w:sz w:val="36"/>
          <w:szCs w:val="30"/>
          <w14:textFill>
            <w14:solidFill>
              <w14:schemeClr w14:val="tx1"/>
            </w14:solidFill>
          </w14:textFill>
        </w:rPr>
        <w:t>采购服务需求</w:t>
      </w:r>
      <w:bookmarkEnd w:id="25"/>
      <w:bookmarkStart w:id="26" w:name="_Toc12789058"/>
    </w:p>
    <w:p>
      <w:pPr>
        <w:pStyle w:val="4"/>
        <w:pageBreakBefore w:val="0"/>
        <w:widowControl w:val="0"/>
        <w:kinsoku/>
        <w:wordWrap/>
        <w:overflowPunct/>
        <w:topLinePunct w:val="0"/>
        <w:autoSpaceDE/>
        <w:autoSpaceDN/>
        <w:bidi w:val="0"/>
        <w:adjustRightInd w:val="0"/>
        <w:snapToGrid w:val="0"/>
        <w:spacing w:before="0" w:after="0" w:line="460" w:lineRule="exact"/>
        <w:ind w:firstLine="480" w:firstLineChars="200"/>
        <w:textAlignment w:val="auto"/>
        <w:rPr>
          <w:rFonts w:hint="eastAsia" w:ascii="微软雅黑" w:hAnsi="微软雅黑" w:eastAsia="微软雅黑" w:cs="微软雅黑"/>
          <w:color w:val="auto"/>
          <w:sz w:val="24"/>
        </w:rPr>
      </w:pPr>
      <w:bookmarkStart w:id="27" w:name="_Toc8009"/>
      <w:bookmarkStart w:id="28" w:name="_Toc25049"/>
      <w:r>
        <w:rPr>
          <w:rFonts w:hint="eastAsia" w:ascii="微软雅黑" w:hAnsi="微软雅黑" w:eastAsia="微软雅黑" w:cs="微软雅黑"/>
          <w:color w:val="auto"/>
          <w:sz w:val="24"/>
        </w:rPr>
        <w:t>一、项目基本概况介绍</w:t>
      </w:r>
      <w:bookmarkEnd w:id="27"/>
      <w:bookmarkEnd w:id="28"/>
    </w:p>
    <w:p>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微软雅黑" w:hAnsi="微软雅黑" w:eastAsia="微软雅黑" w:cs="微软雅黑"/>
          <w:color w:val="auto"/>
          <w:sz w:val="24"/>
          <w:szCs w:val="24"/>
        </w:rPr>
      </w:pPr>
      <w:bookmarkStart w:id="29" w:name="_Toc507410983"/>
      <w:bookmarkStart w:id="30" w:name="_Toc313536013"/>
      <w:bookmarkStart w:id="31" w:name="_Toc344475116"/>
      <w:r>
        <w:rPr>
          <w:rFonts w:hint="eastAsia" w:ascii="微软雅黑" w:hAnsi="微软雅黑" w:eastAsia="微软雅黑" w:cs="微软雅黑"/>
          <w:color w:val="auto"/>
          <w:sz w:val="24"/>
          <w:szCs w:val="24"/>
        </w:rPr>
        <w:t>随着生态环境各业务管理处室对生态环境视频监控需求不断增多，对生态环境视频监控智能化需求不断增多，大数据应用中心急需建立重庆市生态环境统一视频接入管理系统，针对各个项目已建视频监控进行统一接入、集中管理，并通过本项目向其他业务系统提供统一的基于B/S的视频流调用、云台控制、车牌识别等应用接口API。供应商应提供满足采购人要求的相关软件开发服务。</w:t>
      </w:r>
    </w:p>
    <w:bookmarkEnd w:id="29"/>
    <w:p>
      <w:pPr>
        <w:pStyle w:val="4"/>
        <w:pageBreakBefore w:val="0"/>
        <w:widowControl w:val="0"/>
        <w:kinsoku/>
        <w:wordWrap/>
        <w:overflowPunct/>
        <w:topLinePunct w:val="0"/>
        <w:autoSpaceDE/>
        <w:autoSpaceDN/>
        <w:bidi w:val="0"/>
        <w:adjustRightInd w:val="0"/>
        <w:snapToGrid w:val="0"/>
        <w:spacing w:before="0" w:after="0" w:line="460" w:lineRule="exact"/>
        <w:ind w:firstLine="480" w:firstLineChars="200"/>
        <w:textAlignment w:val="auto"/>
        <w:rPr>
          <w:rFonts w:hint="eastAsia" w:ascii="微软雅黑" w:hAnsi="微软雅黑" w:eastAsia="微软雅黑" w:cs="微软雅黑"/>
          <w:color w:val="auto"/>
          <w:sz w:val="24"/>
        </w:rPr>
      </w:pPr>
      <w:bookmarkStart w:id="32" w:name="_Toc14320"/>
      <w:bookmarkStart w:id="33" w:name="_Toc16692"/>
      <w:r>
        <w:rPr>
          <w:rFonts w:hint="eastAsia" w:ascii="微软雅黑" w:hAnsi="微软雅黑" w:eastAsia="微软雅黑" w:cs="微软雅黑"/>
          <w:color w:val="auto"/>
          <w:sz w:val="24"/>
        </w:rPr>
        <w:t>二、服务及质量</w:t>
      </w:r>
      <w:bookmarkEnd w:id="30"/>
      <w:bookmarkEnd w:id="31"/>
      <w:r>
        <w:rPr>
          <w:rFonts w:hint="eastAsia" w:ascii="微软雅黑" w:hAnsi="微软雅黑" w:eastAsia="微软雅黑" w:cs="微软雅黑"/>
          <w:color w:val="auto"/>
          <w:sz w:val="24"/>
        </w:rPr>
        <w:t>需求</w:t>
      </w:r>
      <w:bookmarkEnd w:id="32"/>
      <w:bookmarkEnd w:id="33"/>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（一）</w:t>
      </w:r>
      <w:r>
        <w:rPr>
          <w:rFonts w:hint="eastAsia" w:ascii="微软雅黑" w:hAnsi="微软雅黑" w:eastAsia="微软雅黑" w:cs="微软雅黑"/>
          <w:b/>
          <w:color w:val="auto"/>
          <w:sz w:val="24"/>
          <w:szCs w:val="24"/>
          <w:lang w:eastAsia="zh-CN"/>
        </w:rPr>
        <w:t>系统</w:t>
      </w:r>
      <w:r>
        <w:rPr>
          <w:rFonts w:hint="eastAsia" w:ascii="微软雅黑" w:hAnsi="微软雅黑" w:eastAsia="微软雅黑" w:cs="微软雅黑"/>
          <w:b/>
          <w:color w:val="auto"/>
          <w:sz w:val="24"/>
          <w:szCs w:val="24"/>
        </w:rPr>
        <w:t>管理</w:t>
      </w:r>
      <w:r>
        <w:rPr>
          <w:rFonts w:hint="eastAsia" w:ascii="微软雅黑" w:hAnsi="微软雅黑" w:eastAsia="微软雅黑" w:cs="微软雅黑"/>
          <w:b/>
          <w:color w:val="auto"/>
          <w:sz w:val="24"/>
          <w:szCs w:val="24"/>
          <w:lang w:eastAsia="zh-CN"/>
        </w:rPr>
        <w:t>功能</w:t>
      </w:r>
      <w:r>
        <w:rPr>
          <w:rFonts w:hint="eastAsia" w:ascii="微软雅黑" w:hAnsi="微软雅黑" w:eastAsia="微软雅黑" w:cs="微软雅黑"/>
          <w:b/>
          <w:color w:val="auto"/>
          <w:sz w:val="24"/>
          <w:szCs w:val="24"/>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1.</w:t>
      </w:r>
      <w:r>
        <w:rPr>
          <w:rFonts w:hint="eastAsia" w:ascii="微软雅黑" w:hAnsi="微软雅黑" w:eastAsia="微软雅黑" w:cs="微软雅黑"/>
          <w:b/>
          <w:color w:val="auto"/>
          <w:sz w:val="24"/>
          <w:szCs w:val="24"/>
          <w:highlight w:val="none"/>
          <w:lang w:eastAsia="zh-CN"/>
        </w:rPr>
        <w:t>用户</w:t>
      </w:r>
      <w:r>
        <w:rPr>
          <w:rFonts w:hint="eastAsia" w:ascii="微软雅黑" w:hAnsi="微软雅黑" w:eastAsia="微软雅黑" w:cs="微软雅黑"/>
          <w:b/>
          <w:color w:val="auto"/>
          <w:sz w:val="24"/>
          <w:szCs w:val="24"/>
          <w:highlight w:val="none"/>
        </w:rPr>
        <w:t>管理</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通过该功能模块，</w:t>
      </w:r>
      <w:r>
        <w:rPr>
          <w:rFonts w:hint="eastAsia" w:ascii="微软雅黑" w:hAnsi="微软雅黑" w:eastAsia="微软雅黑" w:cs="微软雅黑"/>
          <w:color w:val="auto"/>
          <w:sz w:val="24"/>
          <w:szCs w:val="24"/>
          <w:highlight w:val="none"/>
          <w:lang w:val="en-US" w:eastAsia="zh-CN"/>
        </w:rPr>
        <w:t>实现</w:t>
      </w:r>
      <w:r>
        <w:rPr>
          <w:rFonts w:hint="eastAsia" w:ascii="微软雅黑" w:hAnsi="微软雅黑" w:eastAsia="微软雅黑" w:cs="微软雅黑"/>
          <w:color w:val="auto"/>
          <w:sz w:val="24"/>
          <w:szCs w:val="24"/>
          <w:highlight w:val="none"/>
        </w:rPr>
        <w:t>用户管理，支持添加、注销、启用/禁用用户，支持设置用户密码安全等级，针对密码最低强度及密码有效期进行调整，并支持用户密码重置</w:t>
      </w:r>
      <w:r>
        <w:rPr>
          <w:rFonts w:hint="eastAsia" w:ascii="微软雅黑" w:hAnsi="微软雅黑" w:eastAsia="微软雅黑" w:cs="微软雅黑"/>
          <w:color w:val="auto"/>
          <w:sz w:val="24"/>
          <w:szCs w:val="24"/>
          <w:highlight w:val="none"/>
          <w:lang w:eastAsia="zh-CN"/>
        </w:rPr>
        <w:t>；针对系统用户进行统一的部门及权限管理，支持新增、编辑、启用/禁用、导入/导出用户；对系统部门进行统一管理，支持添加、修改、删除、导出部门信息；用户精细权限设置，比如可为每个用户设置对每个摄像头的权限。</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w:t>
      </w:r>
      <w:r>
        <w:rPr>
          <w:rFonts w:hint="eastAsia" w:ascii="微软雅黑" w:hAnsi="微软雅黑" w:eastAsia="微软雅黑" w:cs="微软雅黑"/>
          <w:b/>
          <w:color w:val="auto"/>
          <w:sz w:val="24"/>
          <w:szCs w:val="24"/>
          <w:lang w:eastAsia="zh-CN"/>
        </w:rPr>
        <w:t>设备</w:t>
      </w:r>
      <w:r>
        <w:rPr>
          <w:rFonts w:hint="eastAsia" w:ascii="微软雅黑" w:hAnsi="微软雅黑" w:eastAsia="微软雅黑" w:cs="微软雅黑"/>
          <w:b/>
          <w:color w:val="auto"/>
          <w:sz w:val="24"/>
          <w:szCs w:val="24"/>
        </w:rPr>
        <w:t>管理</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通过</w:t>
      </w:r>
      <w:r>
        <w:rPr>
          <w:rFonts w:hint="eastAsia" w:ascii="微软雅黑" w:hAnsi="微软雅黑" w:eastAsia="微软雅黑" w:cs="微软雅黑"/>
          <w:color w:val="auto"/>
          <w:sz w:val="24"/>
          <w:szCs w:val="24"/>
          <w:highlight w:val="none"/>
        </w:rPr>
        <w:t>该功能模块实现，可实现</w:t>
      </w:r>
      <w:r>
        <w:rPr>
          <w:rFonts w:hint="eastAsia" w:ascii="微软雅黑" w:hAnsi="微软雅黑" w:eastAsia="微软雅黑" w:cs="微软雅黑"/>
          <w:color w:val="auto"/>
          <w:sz w:val="24"/>
          <w:szCs w:val="24"/>
          <w:highlight w:val="none"/>
          <w:lang w:eastAsia="zh-CN"/>
        </w:rPr>
        <w:t>对设备进行资产管理，建立资产信息目录，至少包括设备名称、品牌型号、</w:t>
      </w:r>
      <w:r>
        <w:rPr>
          <w:rFonts w:hint="eastAsia" w:ascii="微软雅黑" w:hAnsi="微软雅黑" w:eastAsia="微软雅黑" w:cs="微软雅黑"/>
          <w:color w:val="auto"/>
          <w:sz w:val="24"/>
          <w:szCs w:val="24"/>
          <w:highlight w:val="none"/>
          <w:lang w:val="en-US" w:eastAsia="zh-CN"/>
        </w:rPr>
        <w:t>IP地址与端口、监控地点、所属部门、设备状态、网络连通状态、监控内容等；实现对设备进行设备配置管理，</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lang w:eastAsia="zh-CN"/>
        </w:rPr>
        <w:t>视频设备的健康巡检，可灵活制定、查看、删除、启用、禁用巡检计划巡检计划；实现对监控点视频诊断，支持统计展示监控点总数、图像正常数、图像异常数、诊断失败数、未检测数等数据；实现监控录像计划配置、修改、删除、下发；</w:t>
      </w:r>
      <w:r>
        <w:rPr>
          <w:rFonts w:hint="eastAsia" w:ascii="微软雅黑" w:hAnsi="微软雅黑" w:eastAsia="微软雅黑" w:cs="微软雅黑"/>
          <w:color w:val="auto"/>
          <w:sz w:val="24"/>
          <w:szCs w:val="24"/>
          <w:highlight w:val="none"/>
          <w:lang w:eastAsia="zh-CN"/>
        </w:rPr>
        <w:t>实现设备运行状态可视化展示，对设备数量、在线数量、离线数量、图像正常数量、图像异常数量进行展示。</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3.统计分析</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该功能模块能实现对</w:t>
      </w:r>
      <w:r>
        <w:rPr>
          <w:rFonts w:hint="eastAsia" w:ascii="微软雅黑" w:hAnsi="微软雅黑" w:eastAsia="微软雅黑" w:cs="微软雅黑"/>
          <w:color w:val="auto"/>
          <w:sz w:val="24"/>
          <w:szCs w:val="24"/>
          <w:highlight w:val="none"/>
          <w:lang w:eastAsia="zh-CN"/>
        </w:rPr>
        <w:t>设备运行信息进行统计，支持按照监控时间、监控区域、部门、监控内容、</w:t>
      </w:r>
      <w:r>
        <w:rPr>
          <w:rFonts w:hint="eastAsia" w:ascii="微软雅黑" w:hAnsi="微软雅黑" w:eastAsia="微软雅黑" w:cs="微软雅黑"/>
          <w:color w:val="auto"/>
          <w:sz w:val="24"/>
          <w:szCs w:val="24"/>
          <w:highlight w:val="none"/>
          <w:lang w:val="en-US" w:eastAsia="zh-CN"/>
        </w:rPr>
        <w:t>IP地址等要素分类统计</w:t>
      </w:r>
      <w:r>
        <w:rPr>
          <w:rFonts w:hint="eastAsia" w:ascii="微软雅黑" w:hAnsi="微软雅黑" w:eastAsia="微软雅黑" w:cs="微软雅黑"/>
          <w:color w:val="auto"/>
          <w:sz w:val="24"/>
          <w:szCs w:val="24"/>
          <w:highlight w:val="none"/>
          <w:lang w:eastAsia="zh-CN"/>
        </w:rPr>
        <w:t>设备的</w:t>
      </w:r>
      <w:r>
        <w:rPr>
          <w:rFonts w:hint="eastAsia" w:ascii="微软雅黑" w:hAnsi="微软雅黑" w:eastAsia="微软雅黑" w:cs="微软雅黑"/>
          <w:color w:val="auto"/>
          <w:sz w:val="24"/>
          <w:szCs w:val="24"/>
          <w:highlight w:val="none"/>
        </w:rPr>
        <w:t>在线率</w:t>
      </w:r>
      <w:r>
        <w:rPr>
          <w:rFonts w:hint="eastAsia" w:ascii="微软雅黑" w:hAnsi="微软雅黑" w:eastAsia="微软雅黑" w:cs="微软雅黑"/>
          <w:color w:val="auto"/>
          <w:sz w:val="24"/>
          <w:szCs w:val="24"/>
          <w:highlight w:val="none"/>
          <w:lang w:eastAsia="zh-CN"/>
        </w:rPr>
        <w:t>、离线率、网络连通状态相关数据，</w:t>
      </w:r>
      <w:r>
        <w:rPr>
          <w:rFonts w:hint="eastAsia" w:ascii="微软雅黑" w:hAnsi="微软雅黑" w:eastAsia="微软雅黑" w:cs="微软雅黑"/>
          <w:color w:val="auto"/>
          <w:sz w:val="24"/>
          <w:szCs w:val="24"/>
          <w:highlight w:val="none"/>
        </w:rPr>
        <w:t>统计分析结果可导出exc</w:t>
      </w:r>
      <w:r>
        <w:rPr>
          <w:rFonts w:hint="eastAsia" w:ascii="微软雅黑" w:hAnsi="微软雅黑" w:eastAsia="微软雅黑" w:cs="微软雅黑"/>
          <w:color w:val="auto"/>
          <w:sz w:val="24"/>
          <w:szCs w:val="24"/>
          <w:highlight w:val="none"/>
          <w:lang w:val="en-US" w:eastAsia="zh-CN"/>
        </w:rPr>
        <w:t>e</w:t>
      </w:r>
      <w:r>
        <w:rPr>
          <w:rFonts w:hint="eastAsia" w:ascii="微软雅黑" w:hAnsi="微软雅黑" w:eastAsia="微软雅黑" w:cs="微软雅黑"/>
          <w:color w:val="auto"/>
          <w:sz w:val="24"/>
          <w:szCs w:val="24"/>
          <w:highlight w:val="none"/>
        </w:rPr>
        <w:t>l</w:t>
      </w:r>
      <w:r>
        <w:rPr>
          <w:rFonts w:hint="eastAsia" w:ascii="微软雅黑" w:hAnsi="微软雅黑" w:eastAsia="微软雅黑" w:cs="微软雅黑"/>
          <w:color w:val="auto"/>
          <w:sz w:val="24"/>
          <w:szCs w:val="24"/>
          <w:highlight w:val="none"/>
          <w:lang w:eastAsia="zh-CN"/>
        </w:rPr>
        <w:t>表格</w:t>
      </w:r>
      <w:r>
        <w:rPr>
          <w:rFonts w:hint="eastAsia" w:ascii="微软雅黑" w:hAnsi="微软雅黑" w:eastAsia="微软雅黑" w:cs="微软雅黑"/>
          <w:color w:val="auto"/>
          <w:sz w:val="24"/>
          <w:szCs w:val="24"/>
          <w:highlight w:val="none"/>
        </w:rPr>
        <w:t>文本。系统能自动生成可导出的月报、季报、年报。</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（二）</w:t>
      </w:r>
      <w:r>
        <w:rPr>
          <w:rFonts w:hint="eastAsia" w:ascii="微软雅黑" w:hAnsi="微软雅黑" w:eastAsia="微软雅黑" w:cs="微软雅黑"/>
          <w:b/>
          <w:color w:val="auto"/>
          <w:sz w:val="24"/>
          <w:szCs w:val="24"/>
          <w:lang w:eastAsia="zh-CN"/>
        </w:rPr>
        <w:t>视频接入与控制功能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1.</w:t>
      </w:r>
      <w:r>
        <w:rPr>
          <w:rFonts w:hint="eastAsia" w:ascii="微软雅黑" w:hAnsi="微软雅黑" w:eastAsia="微软雅黑" w:cs="微软雅黑"/>
          <w:b/>
          <w:color w:val="auto"/>
          <w:sz w:val="24"/>
          <w:szCs w:val="24"/>
          <w:lang w:eastAsia="zh-CN"/>
        </w:rPr>
        <w:t>设备接入功能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通过该功能模块实现对采购人指定</w:t>
      </w:r>
      <w:r>
        <w:rPr>
          <w:rFonts w:hint="eastAsia" w:ascii="微软雅黑" w:hAnsi="微软雅黑" w:eastAsia="微软雅黑" w:cs="微软雅黑"/>
          <w:color w:val="auto"/>
          <w:sz w:val="24"/>
          <w:szCs w:val="24"/>
          <w:lang w:eastAsia="zh-CN"/>
        </w:rPr>
        <w:t>的视频监控设备及视频网关（市区两级视频监控设备）通过</w:t>
      </w:r>
      <w:r>
        <w:rPr>
          <w:rFonts w:hint="eastAsia" w:ascii="微软雅黑" w:hAnsi="微软雅黑" w:eastAsia="微软雅黑" w:cs="微软雅黑"/>
          <w:color w:val="auto"/>
          <w:sz w:val="24"/>
          <w:szCs w:val="24"/>
          <w:lang w:val="en-US" w:eastAsia="zh-CN"/>
        </w:rPr>
        <w:t>web界面形式</w:t>
      </w:r>
      <w:r>
        <w:rPr>
          <w:rFonts w:hint="eastAsia" w:ascii="微软雅黑" w:hAnsi="微软雅黑" w:eastAsia="微软雅黑" w:cs="微软雅黑"/>
          <w:color w:val="auto"/>
          <w:sz w:val="24"/>
          <w:szCs w:val="24"/>
          <w:lang w:eastAsia="zh-CN"/>
        </w:rPr>
        <w:t>进行接入，接入信息主要包括</w:t>
      </w:r>
      <w:r>
        <w:rPr>
          <w:rFonts w:hint="eastAsia" w:ascii="微软雅黑" w:hAnsi="微软雅黑" w:eastAsia="微软雅黑" w:cs="微软雅黑"/>
          <w:color w:val="auto"/>
          <w:sz w:val="24"/>
          <w:szCs w:val="24"/>
          <w:highlight w:val="none"/>
          <w:lang w:eastAsia="zh-CN"/>
        </w:rPr>
        <w:t>设备名称、品牌型号、</w:t>
      </w:r>
      <w:r>
        <w:rPr>
          <w:rFonts w:hint="eastAsia" w:ascii="微软雅黑" w:hAnsi="微软雅黑" w:eastAsia="微软雅黑" w:cs="微软雅黑"/>
          <w:color w:val="auto"/>
          <w:sz w:val="24"/>
          <w:szCs w:val="24"/>
          <w:highlight w:val="none"/>
          <w:lang w:val="en-US" w:eastAsia="zh-CN"/>
        </w:rPr>
        <w:t>IP地址与端口、监控地点、所属部门、监控内容等</w:t>
      </w:r>
      <w:r>
        <w:rPr>
          <w:rFonts w:hint="eastAsia" w:ascii="微软雅黑" w:hAnsi="微软雅黑" w:eastAsia="微软雅黑" w:cs="微软雅黑"/>
          <w:color w:val="auto"/>
          <w:sz w:val="24"/>
          <w:szCs w:val="24"/>
          <w:lang w:eastAsia="zh-CN"/>
        </w:rPr>
        <w:t>；实现对支持GB/T28181、ONVIF、SDK等协议设备的接入，支持海康威视、大华、华为等主要品牌设备接入；接入流程简洁，操作简便，支持通过单个或批量</w:t>
      </w:r>
      <w:r>
        <w:rPr>
          <w:rFonts w:hint="eastAsia" w:ascii="微软雅黑" w:hAnsi="微软雅黑" w:eastAsia="微软雅黑" w:cs="微软雅黑"/>
          <w:color w:val="auto"/>
          <w:sz w:val="24"/>
          <w:szCs w:val="24"/>
          <w:lang w:val="en-US" w:eastAsia="zh-CN"/>
        </w:rPr>
        <w:t>IP地址增加接入设备</w:t>
      </w:r>
      <w:r>
        <w:rPr>
          <w:rFonts w:hint="eastAsia" w:ascii="微软雅黑" w:hAnsi="微软雅黑" w:eastAsia="微软雅黑" w:cs="微软雅黑"/>
          <w:color w:val="auto"/>
          <w:sz w:val="24"/>
          <w:szCs w:val="24"/>
          <w:lang w:eastAsia="zh-CN"/>
        </w:rPr>
        <w:t>。支持接入不低于</w:t>
      </w:r>
      <w:r>
        <w:rPr>
          <w:rFonts w:hint="eastAsia" w:ascii="微软雅黑" w:hAnsi="微软雅黑" w:eastAsia="微软雅黑" w:cs="微软雅黑"/>
          <w:color w:val="auto"/>
          <w:sz w:val="24"/>
          <w:szCs w:val="24"/>
          <w:lang w:val="en-US" w:eastAsia="zh-CN"/>
        </w:rPr>
        <w:t>1000</w:t>
      </w:r>
      <w:r>
        <w:rPr>
          <w:rFonts w:hint="eastAsia" w:ascii="微软雅黑" w:hAnsi="微软雅黑" w:eastAsia="微软雅黑" w:cs="微软雅黑"/>
          <w:color w:val="auto"/>
          <w:sz w:val="24"/>
          <w:szCs w:val="24"/>
          <w:lang w:eastAsia="zh-CN"/>
        </w:rPr>
        <w:t>路视频镜头。</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w:t>
      </w:r>
      <w:r>
        <w:rPr>
          <w:rFonts w:hint="eastAsia" w:ascii="微软雅黑" w:hAnsi="微软雅黑" w:eastAsia="微软雅黑" w:cs="微软雅黑"/>
          <w:b/>
          <w:color w:val="auto"/>
          <w:sz w:val="24"/>
          <w:szCs w:val="24"/>
          <w:lang w:eastAsia="zh-CN"/>
        </w:rPr>
        <w:t>视频预览与回放功能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通过该功能模块实现对</w:t>
      </w:r>
      <w:r>
        <w:rPr>
          <w:rFonts w:hint="eastAsia" w:ascii="微软雅黑" w:hAnsi="微软雅黑" w:eastAsia="微软雅黑" w:cs="微软雅黑"/>
          <w:color w:val="auto"/>
          <w:sz w:val="24"/>
          <w:szCs w:val="24"/>
          <w:lang w:eastAsia="zh-CN"/>
        </w:rPr>
        <w:t>视频进行预览，支持对画面抓图、录像、电子放大、3D放大、视频增强、音频播放；支持即时回放功能，即时回放过程中支持控制回放时间及画面，支持针对即时回放画面进行抓图、视频增强、音频播放、录像保存、播放控制、单帧倒退及单帧前进；支持录像分段回放功能，可以将录像文件等分成多个片段同时回放；支持多屏播放，支持切换画面为1、4、9、16、25、1+5、3+4、1+7、2+9、3+8、1+12、1+1+12、4+9、1+16及自定义屏幕分屏，支持画面以4:3或16:9展示，支持全屏播放。</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3.</w:t>
      </w:r>
      <w:r>
        <w:rPr>
          <w:rFonts w:hint="eastAsia" w:ascii="微软雅黑" w:hAnsi="微软雅黑" w:eastAsia="微软雅黑" w:cs="微软雅黑"/>
          <w:b/>
          <w:color w:val="auto"/>
          <w:sz w:val="24"/>
          <w:szCs w:val="24"/>
          <w:lang w:eastAsia="zh-CN"/>
        </w:rPr>
        <w:t>云台控制功能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通过该功能模块实现对</w:t>
      </w:r>
      <w:r>
        <w:rPr>
          <w:rFonts w:hint="eastAsia" w:ascii="微软雅黑" w:hAnsi="微软雅黑" w:eastAsia="微软雅黑" w:cs="微软雅黑"/>
          <w:color w:val="auto"/>
          <w:sz w:val="24"/>
          <w:szCs w:val="24"/>
          <w:lang w:eastAsia="zh-CN"/>
        </w:rPr>
        <w:t>云台进行远程控制，支持海康威视、大华、华为等主要品牌的云台控制；实现实时视频云台控制及水平扫描。支持八方向转动：上、下、左、右、左上、左下、右上、右下；支持焦距放大缩小；支持聚焦控制；支持光圈扩大缩小；支持一键对焦；支持设置、修改及快速选择预置点；支持设置、修改及快速选择云台巡航，实现对视频云台制定、查看、删除巡航计划</w:t>
      </w:r>
      <w:r>
        <w:rPr>
          <w:rFonts w:hint="eastAsia" w:ascii="微软雅黑" w:hAnsi="微软雅黑" w:eastAsia="微软雅黑" w:cs="微软雅黑"/>
          <w:color w:val="auto"/>
          <w:sz w:val="24"/>
          <w:szCs w:val="24"/>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（三）</w:t>
      </w:r>
      <w:r>
        <w:rPr>
          <w:rFonts w:hint="eastAsia" w:ascii="微软雅黑" w:hAnsi="微软雅黑" w:eastAsia="微软雅黑" w:cs="微软雅黑"/>
          <w:b/>
          <w:color w:val="auto"/>
          <w:sz w:val="24"/>
          <w:szCs w:val="24"/>
          <w:lang w:eastAsia="zh-CN"/>
        </w:rPr>
        <w:t>视频服务调用功能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实现</w:t>
      </w:r>
      <w:r>
        <w:rPr>
          <w:rFonts w:hint="eastAsia" w:ascii="微软雅黑" w:hAnsi="微软雅黑" w:eastAsia="微软雅黑" w:cs="微软雅黑"/>
          <w:color w:val="auto"/>
          <w:sz w:val="24"/>
          <w:szCs w:val="24"/>
          <w:lang w:eastAsia="zh-CN"/>
        </w:rPr>
        <w:t>统一的视频监控</w:t>
      </w:r>
      <w:r>
        <w:rPr>
          <w:rFonts w:hint="eastAsia" w:ascii="微软雅黑" w:hAnsi="微软雅黑" w:eastAsia="微软雅黑" w:cs="微软雅黑"/>
          <w:color w:val="auto"/>
          <w:sz w:val="24"/>
          <w:szCs w:val="24"/>
          <w:lang w:val="en-US" w:eastAsia="zh-CN"/>
        </w:rPr>
        <w:t>API接口系统，系统对按照GB28181规范对所有接入视频监控以服务形式并根据用户角色、部门、业务系统的使用权限，由各业务系统主动调用，可调用服务主要包括监控视频服务、云台控制服务、车辆车牌识别服务。</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1.监控视频服务实现在各生态环境业务系统中基于B/S的视频流无插件安装、直接调用监控视频，适用于360、IE、谷歌等主流浏览器；</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2.云台控制服务实现可在各生态环境业务系统中通过视频画画直接进行云台控制功能；</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3.车辆车牌识别服务</w:t>
      </w:r>
      <w:r>
        <w:rPr>
          <w:rFonts w:hint="eastAsia" w:ascii="微软雅黑" w:hAnsi="微软雅黑" w:eastAsia="微软雅黑" w:cs="微软雅黑"/>
          <w:color w:val="auto"/>
          <w:sz w:val="24"/>
          <w:szCs w:val="24"/>
          <w:lang w:eastAsia="zh-CN"/>
        </w:rPr>
        <w:t>实现对交通卡口通过车辆车牌号码进行智能识别，并抓取车辆图片、车牌图片、记录通过时间，以上信息可通过接口由各</w:t>
      </w:r>
      <w:r>
        <w:rPr>
          <w:rFonts w:hint="eastAsia" w:ascii="微软雅黑" w:hAnsi="微软雅黑" w:eastAsia="微软雅黑" w:cs="微软雅黑"/>
          <w:color w:val="auto"/>
          <w:sz w:val="24"/>
          <w:szCs w:val="24"/>
          <w:lang w:val="en-US" w:eastAsia="zh-CN"/>
        </w:rPr>
        <w:t>生态环境业务系统按照权限自主调用；相关识别信息可</w:t>
      </w:r>
      <w:r>
        <w:rPr>
          <w:rFonts w:hint="eastAsia" w:ascii="微软雅黑" w:hAnsi="微软雅黑" w:eastAsia="微软雅黑" w:cs="微软雅黑"/>
          <w:color w:val="auto"/>
          <w:sz w:val="24"/>
          <w:szCs w:val="24"/>
          <w:lang w:eastAsia="zh-CN"/>
        </w:rPr>
        <w:t>通过系统一键导出</w:t>
      </w:r>
      <w:r>
        <w:rPr>
          <w:rFonts w:hint="eastAsia" w:ascii="微软雅黑" w:hAnsi="微软雅黑" w:eastAsia="微软雅黑" w:cs="微软雅黑"/>
          <w:color w:val="auto"/>
          <w:sz w:val="24"/>
          <w:szCs w:val="24"/>
          <w:lang w:val="en-US" w:eastAsia="zh-CN"/>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w:t>
      </w:r>
      <w:r>
        <w:rPr>
          <w:rFonts w:hint="eastAsia" w:ascii="微软雅黑" w:hAnsi="微软雅黑" w:eastAsia="微软雅黑" w:cs="微软雅黑"/>
          <w:b/>
          <w:color w:val="auto"/>
          <w:sz w:val="24"/>
          <w:szCs w:val="24"/>
          <w:lang w:eastAsia="zh-CN"/>
        </w:rPr>
        <w:t>四</w:t>
      </w:r>
      <w:r>
        <w:rPr>
          <w:rFonts w:hint="eastAsia" w:ascii="微软雅黑" w:hAnsi="微软雅黑" w:eastAsia="微软雅黑" w:cs="微软雅黑"/>
          <w:b/>
          <w:color w:val="auto"/>
          <w:sz w:val="24"/>
          <w:szCs w:val="24"/>
        </w:rPr>
        <w:t>）技术参数需求</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采用B/S方式登陆。</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采用功能模块插件化设计，用户可以自主选择需要的功能模块。</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lang w:eastAsia="zh-CN"/>
        </w:rPr>
        <w:t>支持同时在线用户最大</w:t>
      </w:r>
      <w:r>
        <w:rPr>
          <w:rFonts w:hint="eastAsia" w:ascii="微软雅黑" w:hAnsi="微软雅黑" w:eastAsia="微软雅黑" w:cs="微软雅黑"/>
          <w:color w:val="auto"/>
          <w:sz w:val="24"/>
          <w:szCs w:val="24"/>
          <w:lang w:val="en-US" w:eastAsia="zh-CN"/>
        </w:rPr>
        <w:t>3000、支持最大用户数量10000。</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4.系统支持windows7、windows10以及中标麒麟、统信UOS、银河麒麟等主流桌面操作系统（含系统自带浏览器）正常访问。</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w:t>
      </w:r>
      <w:r>
        <w:rPr>
          <w:rFonts w:hint="eastAsia" w:ascii="微软雅黑" w:hAnsi="微软雅黑" w:eastAsia="微软雅黑" w:cs="微软雅黑"/>
          <w:b/>
          <w:color w:val="auto"/>
          <w:sz w:val="24"/>
          <w:szCs w:val="24"/>
          <w:lang w:eastAsia="zh-CN"/>
        </w:rPr>
        <w:t>五</w:t>
      </w:r>
      <w:r>
        <w:rPr>
          <w:rFonts w:hint="eastAsia" w:ascii="微软雅黑" w:hAnsi="微软雅黑" w:eastAsia="微软雅黑" w:cs="微软雅黑"/>
          <w:b/>
          <w:color w:val="auto"/>
          <w:sz w:val="24"/>
          <w:szCs w:val="24"/>
        </w:rPr>
        <w:t>）其它需求</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供应商须组建开发团队，团队成员不少于</w:t>
      </w:r>
      <w:r>
        <w:rPr>
          <w:rFonts w:hint="eastAsia" w:ascii="微软雅黑" w:hAnsi="微软雅黑" w:eastAsia="微软雅黑" w:cs="微软雅黑"/>
          <w:color w:val="auto"/>
          <w:sz w:val="24"/>
          <w:szCs w:val="24"/>
          <w:highlight w:val="none"/>
          <w:lang w:val="en-US" w:eastAsia="zh-CN"/>
        </w:rPr>
        <w:t>3 人；</w:t>
      </w:r>
      <w:r>
        <w:rPr>
          <w:rFonts w:hint="eastAsia" w:ascii="微软雅黑" w:hAnsi="微软雅黑" w:eastAsia="微软雅黑" w:cs="微软雅黑"/>
          <w:color w:val="auto"/>
          <w:kern w:val="0"/>
          <w:sz w:val="24"/>
          <w:szCs w:val="24"/>
          <w:highlight w:val="none"/>
          <w:lang w:eastAsia="zh-Hans"/>
        </w:rPr>
        <w:t>成交供应商应为</w:t>
      </w:r>
      <w:r>
        <w:rPr>
          <w:rFonts w:hint="eastAsia" w:ascii="微软雅黑" w:hAnsi="微软雅黑" w:eastAsia="微软雅黑" w:cs="微软雅黑"/>
          <w:color w:val="auto"/>
          <w:kern w:val="0"/>
          <w:sz w:val="24"/>
          <w:szCs w:val="24"/>
          <w:highlight w:val="none"/>
          <w:lang w:eastAsia="zh-CN"/>
        </w:rPr>
        <w:t>开发</w:t>
      </w:r>
      <w:r>
        <w:rPr>
          <w:rFonts w:hint="eastAsia" w:ascii="微软雅黑" w:hAnsi="微软雅黑" w:eastAsia="微软雅黑" w:cs="微软雅黑"/>
          <w:color w:val="auto"/>
          <w:kern w:val="0"/>
          <w:sz w:val="24"/>
          <w:szCs w:val="24"/>
          <w:highlight w:val="none"/>
          <w:lang w:eastAsia="zh-Hans"/>
        </w:rPr>
        <w:t>人员提供必要的计算机等设施设备，计算机配置和使用管理应符合采购人的相关规定</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sz w:val="24"/>
          <w:szCs w:val="24"/>
          <w:highlight w:val="none"/>
          <w:lang w:eastAsia="zh-CN"/>
        </w:rPr>
        <w:t>本项目要求</w:t>
      </w:r>
      <w:r>
        <w:rPr>
          <w:rFonts w:hint="eastAsia" w:ascii="微软雅黑" w:hAnsi="微软雅黑" w:eastAsia="微软雅黑" w:cs="微软雅黑"/>
          <w:color w:val="auto"/>
          <w:sz w:val="24"/>
          <w:szCs w:val="24"/>
          <w:highlight w:val="none"/>
          <w:lang w:val="en-US" w:eastAsia="zh-CN"/>
        </w:rPr>
        <w:t>在项目建设期间内</w:t>
      </w:r>
      <w:r>
        <w:rPr>
          <w:rFonts w:hint="eastAsia" w:ascii="微软雅黑" w:hAnsi="微软雅黑" w:eastAsia="微软雅黑" w:cs="微软雅黑"/>
          <w:color w:val="auto"/>
          <w:sz w:val="24"/>
          <w:szCs w:val="24"/>
          <w:highlight w:val="none"/>
          <w:lang w:eastAsia="zh-CN"/>
        </w:rPr>
        <w:t>开发人员中不少于</w:t>
      </w:r>
      <w:r>
        <w:rPr>
          <w:rFonts w:hint="eastAsia" w:ascii="微软雅黑" w:hAnsi="微软雅黑" w:eastAsia="微软雅黑" w:cs="微软雅黑"/>
          <w:color w:val="auto"/>
          <w:sz w:val="24"/>
          <w:szCs w:val="24"/>
          <w:highlight w:val="none"/>
          <w:lang w:val="en-US" w:eastAsia="zh-CN"/>
        </w:rPr>
        <w:t>1人在采购人处驻场开发，</w:t>
      </w:r>
      <w:r>
        <w:rPr>
          <w:rFonts w:hint="eastAsia" w:ascii="微软雅黑" w:hAnsi="微软雅黑" w:eastAsia="微软雅黑" w:cs="微软雅黑"/>
          <w:color w:val="auto"/>
          <w:sz w:val="24"/>
          <w:szCs w:val="24"/>
          <w:highlight w:val="none"/>
          <w:lang w:eastAsia="zh-CN"/>
        </w:rPr>
        <w:t>驻场人员应当具备完成实施本项目的专业技能和经验，良好的沟通能力，确保项目能够顺利实施。开发团队成员须为供应商正式员工，已签订劳动合同并缴纳社保</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在响应文件中提供供应商为其缴纳社保的证明材料复印件</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w:t>
      </w:r>
    </w:p>
    <w:p>
      <w:pPr>
        <w:pStyle w:val="4"/>
        <w:pageBreakBefore w:val="0"/>
        <w:widowControl w:val="0"/>
        <w:kinsoku/>
        <w:wordWrap/>
        <w:overflowPunct/>
        <w:topLinePunct w:val="0"/>
        <w:autoSpaceDE/>
        <w:autoSpaceDN/>
        <w:bidi w:val="0"/>
        <w:spacing w:before="0" w:after="0" w:line="460" w:lineRule="exact"/>
        <w:textAlignment w:val="auto"/>
        <w:rPr>
          <w:rFonts w:hint="eastAsia" w:ascii="微软雅黑" w:hAnsi="微软雅黑" w:eastAsia="微软雅黑" w:cs="微软雅黑"/>
          <w:bCs/>
          <w:color w:val="000000" w:themeColor="text1"/>
          <w:sz w:val="36"/>
          <w:szCs w:val="30"/>
          <w14:textFill>
            <w14:solidFill>
              <w14:schemeClr w14:val="tx1"/>
            </w14:solidFill>
          </w14:textFill>
        </w:rPr>
      </w:pPr>
    </w:p>
    <w:p>
      <w:pPr>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rPr>
          <w:rFonts w:ascii="微软雅黑" w:hAnsi="微软雅黑" w:eastAsia="微软雅黑" w:cs="微软雅黑"/>
          <w:bCs/>
          <w:color w:val="000000" w:themeColor="text1"/>
          <w:sz w:val="36"/>
          <w:szCs w:val="30"/>
          <w14:textFill>
            <w14:solidFill>
              <w14:schemeClr w14:val="tx1"/>
            </w14:solidFill>
          </w14:textFill>
        </w:rPr>
      </w:pPr>
      <w:r>
        <w:rPr>
          <w:rFonts w:hint="eastAsia" w:ascii="微软雅黑" w:hAnsi="微软雅黑" w:eastAsia="微软雅黑" w:cs="微软雅黑"/>
          <w:bCs/>
          <w:color w:val="000000" w:themeColor="text1"/>
          <w:sz w:val="36"/>
          <w:szCs w:val="30"/>
          <w14:textFill>
            <w14:solidFill>
              <w14:schemeClr w14:val="tx1"/>
            </w14:solidFill>
          </w14:textFill>
        </w:rPr>
        <w:br w:type="page"/>
      </w:r>
    </w:p>
    <w:p>
      <w:pPr>
        <w:pStyle w:val="4"/>
        <w:spacing w:before="0" w:after="0" w:line="360" w:lineRule="auto"/>
        <w:ind w:firstLine="2521" w:firstLineChars="700"/>
        <w:rPr>
          <w:rFonts w:ascii="微软雅黑" w:hAnsi="微软雅黑" w:eastAsia="微软雅黑" w:cs="微软雅黑"/>
          <w:bCs/>
          <w:color w:val="000000" w:themeColor="text1"/>
          <w:sz w:val="36"/>
          <w:szCs w:val="30"/>
          <w14:textFill>
            <w14:solidFill>
              <w14:schemeClr w14:val="tx1"/>
            </w14:solidFill>
          </w14:textFill>
        </w:rPr>
      </w:pPr>
      <w:bookmarkStart w:id="34" w:name="_Toc20611"/>
      <w:r>
        <w:rPr>
          <w:rFonts w:hint="eastAsia" w:ascii="微软雅黑" w:hAnsi="微软雅黑" w:eastAsia="微软雅黑" w:cs="微软雅黑"/>
          <w:bCs/>
          <w:color w:val="000000" w:themeColor="text1"/>
          <w:sz w:val="36"/>
          <w:szCs w:val="30"/>
          <w14:textFill>
            <w14:solidFill>
              <w14:schemeClr w14:val="tx1"/>
            </w14:solidFill>
          </w14:textFill>
        </w:rPr>
        <w:t>第三篇  采购商务需求</w:t>
      </w:r>
      <w:bookmarkEnd w:id="26"/>
      <w:bookmarkEnd w:id="34"/>
    </w:p>
    <w:p>
      <w:pPr>
        <w:pStyle w:val="5"/>
        <w:spacing w:line="440" w:lineRule="exact"/>
        <w:rPr>
          <w:rFonts w:ascii="微软雅黑" w:hAnsi="微软雅黑" w:eastAsia="微软雅黑" w:cs="微软雅黑"/>
          <w:color w:val="000000" w:themeColor="text1"/>
          <w:sz w:val="24"/>
          <w:szCs w:val="24"/>
          <w14:textFill>
            <w14:solidFill>
              <w14:schemeClr w14:val="tx1"/>
            </w14:solidFill>
          </w14:textFill>
        </w:rPr>
      </w:pPr>
      <w:bookmarkStart w:id="35" w:name="_Toc535311833"/>
      <w:bookmarkStart w:id="36" w:name="_Toc28878"/>
      <w:bookmarkStart w:id="37" w:name="_Toc344475120"/>
      <w:bookmarkStart w:id="38" w:name="_Toc7004"/>
      <w:bookmarkStart w:id="39" w:name="_Toc30698"/>
      <w:bookmarkStart w:id="40" w:name="_Toc7840"/>
      <w:bookmarkStart w:id="41" w:name="_Toc344475121"/>
      <w:bookmarkStart w:id="42" w:name="_Toc535311834"/>
      <w:bookmarkStart w:id="43" w:name="_Toc27682"/>
      <w:bookmarkStart w:id="44" w:name="_Toc11557"/>
      <w:r>
        <w:rPr>
          <w:rFonts w:hint="eastAsia" w:ascii="微软雅黑" w:hAnsi="微软雅黑" w:eastAsia="微软雅黑" w:cs="微软雅黑"/>
          <w:color w:val="000000" w:themeColor="text1"/>
          <w:sz w:val="24"/>
          <w:szCs w:val="24"/>
          <w14:textFill>
            <w14:solidFill>
              <w14:schemeClr w14:val="tx1"/>
            </w14:solidFill>
          </w14:textFill>
        </w:rPr>
        <w:t>一、服务时间、地点及验收方式</w:t>
      </w:r>
      <w:bookmarkEnd w:id="35"/>
      <w:bookmarkEnd w:id="36"/>
      <w:bookmarkEnd w:id="37"/>
      <w:bookmarkEnd w:id="38"/>
      <w:bookmarkEnd w:id="39"/>
      <w:bookmarkEnd w:id="40"/>
    </w:p>
    <w:p>
      <w:pPr>
        <w:spacing w:line="440" w:lineRule="atLeast"/>
        <w:ind w:firstLine="480" w:firstLineChars="200"/>
        <w:rPr>
          <w:rFonts w:hint="eastAsia" w:ascii="微软雅黑" w:hAnsi="微软雅黑" w:eastAsia="微软雅黑" w:cs="微软雅黑"/>
          <w:color w:val="00B050"/>
          <w:sz w:val="24"/>
          <w:szCs w:val="24"/>
        </w:rPr>
      </w:pPr>
      <w:bookmarkStart w:id="45" w:name="_Toc13202"/>
      <w:r>
        <w:rPr>
          <w:rFonts w:hint="eastAsia" w:ascii="微软雅黑" w:hAnsi="微软雅黑" w:eastAsia="微软雅黑" w:cs="微软雅黑"/>
          <w:color w:val="auto"/>
          <w:sz w:val="24"/>
          <w:szCs w:val="24"/>
        </w:rPr>
        <w:t>（一）服务期：签订合同后，成交供应商需在60</w:t>
      </w:r>
      <w:r>
        <w:rPr>
          <w:rFonts w:hint="eastAsia" w:ascii="微软雅黑" w:hAnsi="微软雅黑" w:eastAsia="微软雅黑" w:cs="微软雅黑"/>
          <w:color w:val="auto"/>
          <w:sz w:val="24"/>
          <w:szCs w:val="24"/>
          <w:lang w:eastAsia="zh-CN"/>
        </w:rPr>
        <w:t>个</w:t>
      </w:r>
      <w:r>
        <w:rPr>
          <w:rFonts w:hint="eastAsia" w:ascii="微软雅黑" w:hAnsi="微软雅黑" w:eastAsia="微软雅黑" w:cs="微软雅黑"/>
          <w:color w:val="auto"/>
          <w:sz w:val="24"/>
          <w:szCs w:val="24"/>
          <w:lang w:val="en-US" w:eastAsia="zh-CN"/>
        </w:rPr>
        <w:t>日历日</w:t>
      </w:r>
      <w:r>
        <w:rPr>
          <w:rFonts w:hint="eastAsia" w:ascii="微软雅黑" w:hAnsi="微软雅黑" w:eastAsia="微软雅黑" w:cs="微软雅黑"/>
          <w:color w:val="auto"/>
          <w:sz w:val="24"/>
          <w:szCs w:val="24"/>
        </w:rPr>
        <w:t>内完成系统建设。</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（二）服务地点：重庆市生态环境大数据应用中心。</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（三）验收方式：</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1.合同、磋商文件和响应文件是项目验收的主要内容和依据。</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2.验收方式：由采购人根据合同、磋商文件和响应文件内容对系统功能及质量进行验收。成交供应商必须保证签署合同后认真履行合同约定的所有条款，否则采购人有权没收成交供应商的履约保证金并终止合同。</w:t>
      </w:r>
    </w:p>
    <w:p>
      <w:pPr>
        <w:spacing w:line="440" w:lineRule="atLeas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如</w:t>
      </w:r>
      <w:r>
        <w:rPr>
          <w:rFonts w:hint="eastAsia" w:ascii="微软雅黑" w:hAnsi="微软雅黑" w:eastAsia="微软雅黑" w:cs="微软雅黑"/>
          <w:color w:val="auto"/>
          <w:sz w:val="24"/>
          <w:szCs w:val="24"/>
        </w:rPr>
        <w:t>验收不合格，供应商均应对采购人提出的问题及建议进行整改，完成后重新向采购人提出验收申请。在全部达到要求时，双方签署最终验收文件（报告）。</w:t>
      </w:r>
      <w:bookmarkEnd w:id="45"/>
    </w:p>
    <w:p>
      <w:pPr>
        <w:pStyle w:val="5"/>
        <w:spacing w:before="0" w:after="0" w:line="400" w:lineRule="exact"/>
        <w:rPr>
          <w:rFonts w:ascii="微软雅黑" w:hAnsi="微软雅黑" w:eastAsia="微软雅黑" w:cs="微软雅黑"/>
          <w:color w:val="auto"/>
          <w:sz w:val="24"/>
          <w:szCs w:val="24"/>
        </w:rPr>
      </w:pPr>
      <w:bookmarkStart w:id="46" w:name="_Toc28284"/>
      <w:r>
        <w:rPr>
          <w:rFonts w:hint="eastAsia" w:ascii="微软雅黑" w:hAnsi="微软雅黑" w:eastAsia="微软雅黑" w:cs="微软雅黑"/>
          <w:color w:val="auto"/>
          <w:sz w:val="24"/>
          <w:szCs w:val="24"/>
        </w:rPr>
        <w:t>二、</w:t>
      </w:r>
      <w:bookmarkEnd w:id="41"/>
      <w:r>
        <w:rPr>
          <w:rFonts w:hint="eastAsia" w:ascii="微软雅黑" w:hAnsi="微软雅黑" w:eastAsia="微软雅黑" w:cs="微软雅黑"/>
          <w:color w:val="auto"/>
          <w:sz w:val="24"/>
          <w:szCs w:val="24"/>
        </w:rPr>
        <w:t>报价要求</w:t>
      </w:r>
      <w:bookmarkEnd w:id="42"/>
      <w:bookmarkEnd w:id="43"/>
      <w:bookmarkEnd w:id="44"/>
      <w:bookmarkEnd w:id="46"/>
    </w:p>
    <w:p>
      <w:pPr>
        <w:spacing w:line="440" w:lineRule="atLeast"/>
        <w:ind w:firstLine="480" w:firstLineChars="200"/>
        <w:rPr>
          <w:rFonts w:ascii="微软雅黑" w:hAnsi="微软雅黑" w:eastAsia="微软雅黑" w:cs="微软雅黑"/>
          <w:color w:val="auto"/>
          <w:sz w:val="24"/>
          <w:szCs w:val="24"/>
        </w:rPr>
      </w:pPr>
      <w:bookmarkStart w:id="47" w:name="_Toc30259"/>
      <w:bookmarkStart w:id="48" w:name="_Toc16767"/>
      <w:bookmarkStart w:id="49" w:name="_Toc15188"/>
      <w:bookmarkStart w:id="50" w:name="_Toc344475122"/>
      <w:r>
        <w:rPr>
          <w:rFonts w:hint="eastAsia" w:ascii="微软雅黑" w:hAnsi="微软雅黑" w:eastAsia="微软雅黑" w:cs="微软雅黑"/>
          <w:color w:val="auto"/>
          <w:sz w:val="24"/>
          <w:szCs w:val="24"/>
        </w:rPr>
        <w:t>本次报价须为人民币报价，包含：服务费、人工费、驻场人员的保险费、设备和配件更换费、差旅费、产品价、运输费（含装卸费）、搬迁费、保险费、安装调试费、税费、原厂维保购买费用、培训费等完成本项目的所有费用。</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51" w:name="_Toc2881"/>
      <w:r>
        <w:rPr>
          <w:rFonts w:hint="eastAsia" w:ascii="微软雅黑" w:hAnsi="微软雅黑" w:eastAsia="微软雅黑" w:cs="微软雅黑"/>
          <w:color w:val="000000" w:themeColor="text1"/>
          <w:sz w:val="24"/>
          <w:szCs w:val="24"/>
          <w14:textFill>
            <w14:solidFill>
              <w14:schemeClr w14:val="tx1"/>
            </w14:solidFill>
          </w14:textFill>
        </w:rPr>
        <w:t>三、</w:t>
      </w:r>
      <w:bookmarkStart w:id="52" w:name="_Toc398650620"/>
      <w:r>
        <w:rPr>
          <w:rFonts w:hint="eastAsia" w:ascii="微软雅黑" w:hAnsi="微软雅黑" w:eastAsia="微软雅黑" w:cs="微软雅黑"/>
          <w:color w:val="000000" w:themeColor="text1"/>
          <w:sz w:val="24"/>
          <w:szCs w:val="24"/>
          <w14:textFill>
            <w14:solidFill>
              <w14:schemeClr w14:val="tx1"/>
            </w14:solidFill>
          </w14:textFill>
        </w:rPr>
        <w:t>质量保证及售后服务</w:t>
      </w:r>
      <w:bookmarkEnd w:id="51"/>
      <w:bookmarkEnd w:id="52"/>
    </w:p>
    <w:bookmarkEnd w:id="47"/>
    <w:bookmarkEnd w:id="48"/>
    <w:bookmarkEnd w:id="49"/>
    <w:p>
      <w:pPr>
        <w:spacing w:line="440" w:lineRule="atLeast"/>
        <w:ind w:firstLine="480" w:firstLineChars="200"/>
        <w:rPr>
          <w:rFonts w:hint="eastAsia" w:ascii="微软雅黑" w:hAnsi="微软雅黑" w:eastAsia="微软雅黑" w:cs="微软雅黑"/>
          <w:color w:val="auto"/>
          <w:sz w:val="24"/>
          <w:szCs w:val="24"/>
        </w:rPr>
      </w:pPr>
      <w:bookmarkStart w:id="53" w:name="_Toc13883"/>
      <w:bookmarkStart w:id="54" w:name="_Toc19338"/>
      <w:bookmarkStart w:id="55" w:name="_Toc535311836"/>
      <w:r>
        <w:rPr>
          <w:rFonts w:hint="eastAsia" w:ascii="微软雅黑" w:hAnsi="微软雅黑" w:eastAsia="微软雅黑" w:cs="微软雅黑"/>
          <w:color w:val="auto"/>
          <w:sz w:val="24"/>
          <w:szCs w:val="24"/>
        </w:rPr>
        <w:t>（一）质量保证期：自验收</w:t>
      </w:r>
      <w:r>
        <w:rPr>
          <w:rFonts w:hint="eastAsia" w:ascii="微软雅黑" w:hAnsi="微软雅黑" w:eastAsia="微软雅黑" w:cs="微软雅黑"/>
          <w:color w:val="auto"/>
          <w:sz w:val="24"/>
          <w:szCs w:val="24"/>
          <w:lang w:eastAsia="zh-CN"/>
        </w:rPr>
        <w:t>合格</w:t>
      </w:r>
      <w:r>
        <w:rPr>
          <w:rFonts w:hint="eastAsia" w:ascii="微软雅黑" w:hAnsi="微软雅黑" w:eastAsia="微软雅黑" w:cs="微软雅黑"/>
          <w:color w:val="auto"/>
          <w:sz w:val="24"/>
          <w:szCs w:val="24"/>
        </w:rPr>
        <w:t>之日起，提供1年的免费服务质保期。</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（二）售后服务内容</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供应商在服务质保期内应当为采购人提供以下技术支持服务：</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1.质量保证期内服务要求</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1.1电话咨询</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成交供应商应当为用户提供技术援助电话，解答用户在使用中遇到的问题，及时为用户提出解决问题的建议。</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1.2现场响应</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用户遇到使用及技术问题，电话咨询不能解决的，成交供应商应在1小时内采取相应响应措施；无法在1小时内解决的，应在2小时内派出专业人员进行技术支持。</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2.质保期外服务要求</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2.1质量保证期过后，成交供应商应同样提供免费电话咨询服务，并应承诺提供上门维护服务。</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2.2质量保证期过后，采购人需要继续由原成交供应商提供售后服务的，成交供应商应以优惠价格提供售后服务。</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（三）故障响应时间要求</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供应商接到使用方出现问题的通知后立即作出响应，1小时内到达现场进行处理。</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56" w:name="_Toc7956"/>
      <w:r>
        <w:rPr>
          <w:rFonts w:hint="eastAsia" w:ascii="微软雅黑" w:hAnsi="微软雅黑" w:eastAsia="微软雅黑" w:cs="微软雅黑"/>
          <w:color w:val="000000" w:themeColor="text1"/>
          <w:sz w:val="24"/>
          <w:szCs w:val="24"/>
          <w14:textFill>
            <w14:solidFill>
              <w14:schemeClr w14:val="tx1"/>
            </w14:solidFill>
          </w14:textFill>
        </w:rPr>
        <w:t>四、付款方式</w:t>
      </w:r>
      <w:bookmarkEnd w:id="50"/>
      <w:bookmarkEnd w:id="53"/>
      <w:bookmarkEnd w:id="54"/>
      <w:bookmarkEnd w:id="55"/>
      <w:bookmarkEnd w:id="56"/>
    </w:p>
    <w:p>
      <w:pPr>
        <w:spacing w:line="440" w:lineRule="atLeast"/>
        <w:ind w:firstLine="480" w:firstLineChars="200"/>
        <w:rPr>
          <w:rFonts w:hint="eastAsia" w:ascii="微软雅黑" w:hAnsi="微软雅黑" w:eastAsia="微软雅黑" w:cs="微软雅黑"/>
          <w:color w:val="auto"/>
          <w:sz w:val="24"/>
          <w:szCs w:val="24"/>
          <w:lang w:val="en-US" w:eastAsia="zh-CN"/>
        </w:rPr>
      </w:pPr>
      <w:bookmarkStart w:id="57" w:name="_Toc11892"/>
      <w:bookmarkStart w:id="58" w:name="_Toc535311837"/>
      <w:bookmarkStart w:id="59" w:name="_Toc1022"/>
      <w:bookmarkStart w:id="60" w:name="_Toc344475123"/>
      <w:r>
        <w:rPr>
          <w:rFonts w:hint="eastAsia" w:ascii="微软雅黑" w:hAnsi="微软雅黑" w:eastAsia="微软雅黑" w:cs="微软雅黑"/>
          <w:color w:val="auto"/>
          <w:sz w:val="24"/>
          <w:szCs w:val="24"/>
          <w:lang w:val="en-US" w:eastAsia="zh-CN"/>
        </w:rPr>
        <w:t>（一）成交供应商收到成交通知书之日起30日内，向采购人指定账户缴纳合同金额5%履约保证金，该款项在项目终验合格后自动转为质保金，待质保期满后无质量问题，采购人30个工作日内无息退还；</w:t>
      </w:r>
    </w:p>
    <w:p>
      <w:pPr>
        <w:spacing w:line="440" w:lineRule="atLeas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（二）合同签订后，成交供应商向采购人提交本项目的实施方案并通过采购人审核后，供应商向采购方提供合同金额70%的发票和付款申请，经采购方审核确认后，以转账方式向供应商支付合同金额70%的合同款；</w:t>
      </w:r>
    </w:p>
    <w:p>
      <w:pPr>
        <w:spacing w:line="440" w:lineRule="atLeas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rPr>
        <w:t>）项目终验通过后，供应商向采购方提供合同金额30%的发票、付款申请，经采</w:t>
      </w:r>
      <w:r>
        <w:rPr>
          <w:rFonts w:hint="eastAsia" w:ascii="微软雅黑" w:hAnsi="微软雅黑" w:eastAsia="微软雅黑" w:cs="微软雅黑"/>
          <w:color w:val="auto"/>
          <w:sz w:val="24"/>
          <w:szCs w:val="24"/>
          <w:lang w:val="en-US" w:eastAsia="zh-CN"/>
        </w:rPr>
        <w:t>购方审核确认后，以转账方式向供应商支付合同金额30%的合同款。</w:t>
      </w:r>
    </w:p>
    <w:p>
      <w:pPr>
        <w:spacing w:line="440" w:lineRule="atLeas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注：所有支付均为无息支付。</w:t>
      </w:r>
    </w:p>
    <w:p>
      <w:pPr>
        <w:pStyle w:val="5"/>
        <w:spacing w:before="0" w:after="0" w:line="400" w:lineRule="exact"/>
        <w:rPr>
          <w:rFonts w:hint="eastAsia" w:ascii="微软雅黑" w:hAnsi="微软雅黑" w:eastAsia="微软雅黑" w:cs="微软雅黑"/>
          <w:color w:val="000000" w:themeColor="text1"/>
          <w:sz w:val="24"/>
          <w:szCs w:val="24"/>
          <w14:textFill>
            <w14:solidFill>
              <w14:schemeClr w14:val="tx1"/>
            </w14:solidFill>
          </w14:textFill>
        </w:rPr>
      </w:pP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61" w:name="_Toc14246"/>
      <w:r>
        <w:rPr>
          <w:rFonts w:hint="eastAsia" w:ascii="微软雅黑" w:hAnsi="微软雅黑" w:eastAsia="微软雅黑" w:cs="微软雅黑"/>
          <w:color w:val="000000" w:themeColor="text1"/>
          <w:sz w:val="24"/>
          <w:szCs w:val="24"/>
          <w14:textFill>
            <w14:solidFill>
              <w14:schemeClr w14:val="tx1"/>
            </w14:solidFill>
          </w14:textFill>
        </w:rPr>
        <w:t>五、培训</w:t>
      </w:r>
      <w:bookmarkEnd w:id="61"/>
    </w:p>
    <w:p>
      <w:pPr>
        <w:snapToGrid w:val="0"/>
        <w:spacing w:line="440" w:lineRule="atLeast"/>
        <w:ind w:firstLine="48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成交供应商须提供对</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管理系统</w:t>
      </w:r>
      <w:r>
        <w:rPr>
          <w:rFonts w:ascii="微软雅黑" w:hAnsi="微软雅黑" w:eastAsia="微软雅黑" w:cs="微软雅黑"/>
          <w:color w:val="000000" w:themeColor="text1"/>
          <w:sz w:val="24"/>
          <w:szCs w:val="24"/>
          <w14:textFill>
            <w14:solidFill>
              <w14:schemeClr w14:val="tx1"/>
            </w14:solidFill>
          </w14:textFill>
        </w:rPr>
        <w:t>使用的</w:t>
      </w:r>
      <w:r>
        <w:rPr>
          <w:rFonts w:hint="eastAsia" w:ascii="微软雅黑" w:hAnsi="微软雅黑" w:eastAsia="微软雅黑" w:cs="微软雅黑"/>
          <w:color w:val="000000" w:themeColor="text1"/>
          <w:sz w:val="24"/>
          <w:szCs w:val="24"/>
          <w14:textFill>
            <w14:solidFill>
              <w14:schemeClr w14:val="tx1"/>
            </w14:solidFill>
          </w14:textFill>
        </w:rPr>
        <w:t>操作培训，使相关使用人员能够正常调用</w:t>
      </w:r>
      <w:r>
        <w:rPr>
          <w:rFonts w:ascii="微软雅黑" w:hAnsi="微软雅黑" w:eastAsia="微软雅黑" w:cs="微软雅黑"/>
          <w:color w:val="000000" w:themeColor="text1"/>
          <w:sz w:val="24"/>
          <w:szCs w:val="24"/>
          <w14:textFill>
            <w14:solidFill>
              <w14:schemeClr w14:val="tx1"/>
            </w14:solidFill>
          </w14:textFill>
        </w:rPr>
        <w:t>数据。</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62" w:name="_Toc31360"/>
      <w:r>
        <w:rPr>
          <w:rFonts w:hint="eastAsia" w:ascii="微软雅黑" w:hAnsi="微软雅黑" w:eastAsia="微软雅黑" w:cs="微软雅黑"/>
          <w:color w:val="000000" w:themeColor="text1"/>
          <w:sz w:val="24"/>
          <w:szCs w:val="24"/>
          <w14:textFill>
            <w14:solidFill>
              <w14:schemeClr w14:val="tx1"/>
            </w14:solidFill>
          </w14:textFill>
        </w:rPr>
        <w:t>六、知识产权</w:t>
      </w:r>
      <w:bookmarkEnd w:id="57"/>
      <w:bookmarkEnd w:id="58"/>
      <w:bookmarkEnd w:id="59"/>
      <w:bookmarkEnd w:id="60"/>
      <w:r>
        <w:rPr>
          <w:rFonts w:hint="eastAsia" w:ascii="微软雅黑" w:hAnsi="微软雅黑" w:eastAsia="微软雅黑" w:cs="微软雅黑"/>
          <w:color w:val="000000" w:themeColor="text1"/>
          <w:sz w:val="24"/>
          <w:szCs w:val="24"/>
          <w14:textFill>
            <w14:solidFill>
              <w14:schemeClr w14:val="tx1"/>
            </w14:solidFill>
          </w14:textFill>
        </w:rPr>
        <w:t>及保密协议</w:t>
      </w:r>
      <w:bookmarkEnd w:id="62"/>
    </w:p>
    <w:p>
      <w:pPr>
        <w:spacing w:line="440" w:lineRule="atLeast"/>
        <w:ind w:firstLine="480" w:firstLineChars="200"/>
        <w:rPr>
          <w:rFonts w:hint="eastAsia" w:ascii="微软雅黑" w:hAnsi="微软雅黑" w:eastAsia="微软雅黑" w:cs="微软雅黑"/>
          <w:color w:val="auto"/>
          <w:sz w:val="24"/>
          <w:szCs w:val="24"/>
        </w:rPr>
      </w:pPr>
      <w:bookmarkStart w:id="63" w:name="_Toc535311838"/>
      <w:bookmarkStart w:id="64" w:name="_Toc344475124"/>
      <w:bookmarkStart w:id="65" w:name="_Toc4815"/>
      <w:bookmarkStart w:id="66" w:name="_Toc25665"/>
      <w:r>
        <w:rPr>
          <w:rFonts w:hint="eastAsia" w:ascii="微软雅黑" w:hAnsi="微软雅黑" w:eastAsia="微软雅黑" w:cs="微软雅黑"/>
          <w:color w:val="auto"/>
          <w:sz w:val="24"/>
          <w:szCs w:val="24"/>
          <w:lang w:eastAsia="zh-Hans"/>
        </w:rPr>
        <w:t>（一）</w:t>
      </w:r>
      <w:r>
        <w:rPr>
          <w:rFonts w:hint="eastAsia" w:ascii="微软雅黑" w:hAnsi="微软雅黑" w:eastAsia="微软雅黑" w:cs="微软雅黑"/>
          <w:color w:val="auto"/>
          <w:sz w:val="24"/>
          <w:szCs w:val="24"/>
        </w:rPr>
        <w:t>本项目涉及的数据、源代码、技术资料、工程文档等所有内容的知识产权归采购人所有，未经采购人书面同意，供应商不能将上述资料提供给第三方使用。</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注：（若涉及软件开发等服务类项目知识产权的，知识产权归采购人所有）</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Hans"/>
        </w:rPr>
        <w:t>（二）</w:t>
      </w:r>
      <w:r>
        <w:rPr>
          <w:rFonts w:hint="eastAsia" w:ascii="微软雅黑" w:hAnsi="微软雅黑" w:eastAsia="微软雅黑" w:cs="微软雅黑"/>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保密协议</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未经采购人许可，成交供应商不得以任何形式和理由，使用拷贝、转发、拍照、打印等手段将采购人数据带离采购人指定工作场地。</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采购人提供的数据仅用于本次服务工作，不得以任何形式和理由用作其他用途，或提供给非本项目参与人员。</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采购人向成交供应商提交数据后，成交供应商应作好内部管理，采取切实有效的保密措施，保障数据安全。</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本服务项目完成后，成交供应商应对采购人提供的所有数据作完全删除处理，并提供数据处理报告。</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采购人和成交供应商均对对方提供的技术情报、资料等承担保密义务，不论本服务期间或结束，本条款长期有效。如因泄密造成损失的，受损方视情节轻重有权向泄密方追究法律责任。</w:t>
      </w:r>
    </w:p>
    <w:bookmarkEnd w:id="63"/>
    <w:bookmarkEnd w:id="64"/>
    <w:bookmarkEnd w:id="65"/>
    <w:bookmarkEnd w:id="66"/>
    <w:p>
      <w:pPr>
        <w:pStyle w:val="5"/>
        <w:spacing w:before="0" w:after="0"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67" w:name="_Toc61526979"/>
      <w:bookmarkStart w:id="68" w:name="_Toc65512350"/>
      <w:bookmarkStart w:id="69" w:name="_Toc267320054"/>
      <w:bookmarkStart w:id="70" w:name="_Toc12847"/>
      <w:bookmarkStart w:id="71" w:name="_Toc29045"/>
      <w:bookmarkStart w:id="72" w:name="_Toc21390"/>
      <w:bookmarkStart w:id="73" w:name="_Toc521073856"/>
      <w:bookmarkStart w:id="74" w:name="_Toc29831"/>
      <w:bookmarkStart w:id="75" w:name="_Toc25325"/>
      <w:bookmarkStart w:id="76" w:name="_Toc57903222"/>
      <w:r>
        <w:rPr>
          <w:rFonts w:hint="eastAsia" w:ascii="微软雅黑" w:hAnsi="微软雅黑" w:eastAsia="微软雅黑" w:cs="微软雅黑"/>
          <w:color w:val="000000" w:themeColor="text1"/>
          <w:sz w:val="24"/>
          <w:szCs w:val="24"/>
          <w:lang w:val="en-US" w:eastAsia="zh-CN"/>
          <w14:textFill>
            <w14:solidFill>
              <w14:schemeClr w14:val="tx1"/>
            </w14:solidFill>
          </w14:textFill>
        </w:rPr>
        <w:t>七</w:t>
      </w:r>
      <w:r>
        <w:rPr>
          <w:rFonts w:hint="eastAsia" w:ascii="微软雅黑" w:hAnsi="微软雅黑" w:eastAsia="微软雅黑" w:cs="微软雅黑"/>
          <w:color w:val="000000" w:themeColor="text1"/>
          <w:sz w:val="24"/>
          <w:szCs w:val="24"/>
          <w14:textFill>
            <w14:solidFill>
              <w14:schemeClr w14:val="tx1"/>
            </w14:solidFill>
          </w14:textFill>
        </w:rPr>
        <w:t>、</w:t>
      </w:r>
      <w:bookmarkEnd w:id="67"/>
      <w:bookmarkEnd w:id="68"/>
      <w:bookmarkEnd w:id="69"/>
      <w:r>
        <w:rPr>
          <w:rFonts w:hint="eastAsia" w:ascii="微软雅黑" w:hAnsi="微软雅黑" w:eastAsia="微软雅黑" w:cs="微软雅黑"/>
          <w:color w:val="000000" w:themeColor="text1"/>
          <w:sz w:val="24"/>
          <w:szCs w:val="24"/>
          <w:lang w:eastAsia="zh-Hans"/>
          <w14:textFill>
            <w14:solidFill>
              <w14:schemeClr w14:val="tx1"/>
            </w14:solidFill>
          </w14:textFill>
        </w:rPr>
        <w:t>违约责任</w:t>
      </w:r>
      <w:bookmarkEnd w:id="70"/>
      <w:bookmarkEnd w:id="71"/>
    </w:p>
    <w:p>
      <w:pPr>
        <w:spacing w:line="440" w:lineRule="atLeast"/>
        <w:ind w:firstLine="480" w:firstLineChars="200"/>
        <w:rPr>
          <w:rFonts w:hint="eastAsia" w:ascii="微软雅黑" w:hAnsi="微软雅黑" w:eastAsia="微软雅黑" w:cs="微软雅黑"/>
          <w:color w:val="auto"/>
          <w:sz w:val="24"/>
          <w:szCs w:val="24"/>
          <w:lang w:eastAsia="zh-Hans"/>
        </w:rPr>
      </w:pPr>
      <w:r>
        <w:rPr>
          <w:rFonts w:hint="eastAsia" w:ascii="微软雅黑" w:hAnsi="微软雅黑" w:eastAsia="微软雅黑" w:cs="微软雅黑"/>
          <w:color w:val="auto"/>
          <w:sz w:val="24"/>
          <w:szCs w:val="24"/>
          <w:lang w:eastAsia="zh-Hans"/>
        </w:rPr>
        <w:t>如发生以下情况之一，视为成交供应商违约，采购人有权终止合同且不退还成交供应商的履约保证金：</w:t>
      </w:r>
    </w:p>
    <w:p>
      <w:pPr>
        <w:spacing w:line="440" w:lineRule="atLeast"/>
        <w:ind w:firstLine="480" w:firstLineChars="200"/>
        <w:rPr>
          <w:rFonts w:hint="eastAsia" w:ascii="微软雅黑" w:hAnsi="微软雅黑" w:eastAsia="微软雅黑" w:cs="微软雅黑"/>
          <w:color w:val="auto"/>
          <w:sz w:val="24"/>
          <w:szCs w:val="24"/>
          <w:lang w:eastAsia="zh-Hans"/>
        </w:rPr>
      </w:pPr>
      <w:r>
        <w:rPr>
          <w:rFonts w:hint="eastAsia" w:ascii="微软雅黑" w:hAnsi="微软雅黑" w:eastAsia="微软雅黑" w:cs="微软雅黑"/>
          <w:color w:val="auto"/>
          <w:sz w:val="24"/>
          <w:szCs w:val="24"/>
          <w:lang w:eastAsia="zh-Hans"/>
        </w:rPr>
        <w:t>（一）成交供应商在响应文件中提供虚假材料的。</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Hans"/>
        </w:rPr>
        <w:t>（二）成交供应商未按照约定期限完成项目任务的。</w:t>
      </w:r>
    </w:p>
    <w:p>
      <w:pPr>
        <w:pStyle w:val="5"/>
        <w:spacing w:line="440" w:lineRule="atLeast"/>
        <w:rPr>
          <w:rFonts w:ascii="微软雅黑" w:hAnsi="微软雅黑" w:eastAsia="微软雅黑" w:cs="微软雅黑"/>
          <w:color w:val="000000" w:themeColor="text1"/>
          <w:sz w:val="24"/>
          <w:szCs w:val="24"/>
          <w14:textFill>
            <w14:solidFill>
              <w14:schemeClr w14:val="tx1"/>
            </w14:solidFill>
          </w14:textFill>
        </w:rPr>
      </w:pPr>
      <w:bookmarkStart w:id="77" w:name="_Toc22682"/>
      <w:r>
        <w:rPr>
          <w:rFonts w:hint="eastAsia" w:ascii="微软雅黑" w:hAnsi="微软雅黑" w:eastAsia="微软雅黑" w:cs="微软雅黑"/>
          <w:color w:val="000000" w:themeColor="text1"/>
          <w:sz w:val="24"/>
          <w:szCs w:val="24"/>
          <w:lang w:val="en-US" w:eastAsia="zh-CN"/>
          <w14:textFill>
            <w14:solidFill>
              <w14:schemeClr w14:val="tx1"/>
            </w14:solidFill>
          </w14:textFill>
        </w:rPr>
        <w:t>八</w:t>
      </w:r>
      <w:r>
        <w:rPr>
          <w:rFonts w:hint="eastAsia" w:ascii="微软雅黑" w:hAnsi="微软雅黑" w:eastAsia="微软雅黑" w:cs="微软雅黑"/>
          <w:color w:val="000000" w:themeColor="text1"/>
          <w:sz w:val="24"/>
          <w:szCs w:val="24"/>
          <w14:textFill>
            <w14:solidFill>
              <w14:schemeClr w14:val="tx1"/>
            </w14:solidFill>
          </w14:textFill>
        </w:rPr>
        <w:t>、其他约定事项</w:t>
      </w:r>
      <w:bookmarkEnd w:id="72"/>
      <w:bookmarkEnd w:id="73"/>
      <w:bookmarkEnd w:id="74"/>
      <w:bookmarkEnd w:id="75"/>
      <w:bookmarkEnd w:id="76"/>
      <w:bookmarkEnd w:id="77"/>
    </w:p>
    <w:p>
      <w:pPr>
        <w:spacing w:line="440" w:lineRule="atLeast"/>
        <w:ind w:firstLine="48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因自然灾害等不可抗力因素导致一方或双方不能履行义务的，双方均不需承担任何违约责任，但知情方应及时通知对方。</w:t>
      </w:r>
    </w:p>
    <w:p>
      <w:pPr>
        <w:spacing w:line="440" w:lineRule="atLeast"/>
        <w:ind w:firstLine="48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采购人和成交供应商双方任何一方因违约全对方造成损失的，违约方应承担赔偿及相应责任，并承担5%的违约金；如项目开展后任何一方提出终止协议，由此引起的损失由终止或违约方负责承担。</w:t>
      </w:r>
    </w:p>
    <w:p>
      <w:pPr>
        <w:spacing w:line="440" w:lineRule="atLeast"/>
        <w:ind w:firstLine="48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未经双方同意，不可随意变更或终止本合同。</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本合同在履行过程中发生争议，由双方协调解决，协调不成的，应依法向所在地人民法院提起诉讼。</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供应商必须在响应文件中对以上条款和服务承诺明确列出，承诺内容必须达到本篇及竞争性磋商其他条款的要求。</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其他未尽事宜由供需双方在采购合同中详细约定。</w:t>
      </w:r>
    </w:p>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pStyle w:val="4"/>
        <w:spacing w:before="0" w:after="0" w:line="360" w:lineRule="auto"/>
        <w:rPr>
          <w:rFonts w:ascii="微软雅黑" w:hAnsi="微软雅黑" w:eastAsia="微软雅黑" w:cs="微软雅黑"/>
          <w:bCs/>
          <w:color w:val="000000" w:themeColor="text1"/>
          <w:sz w:val="36"/>
          <w:szCs w:val="30"/>
          <w14:textFill>
            <w14:solidFill>
              <w14:schemeClr w14:val="tx1"/>
            </w14:solidFill>
          </w14:textFill>
        </w:rPr>
      </w:pPr>
      <w:bookmarkStart w:id="78" w:name="_Toc21092"/>
      <w:r>
        <w:rPr>
          <w:rFonts w:hint="eastAsia" w:ascii="微软雅黑" w:hAnsi="微软雅黑" w:eastAsia="微软雅黑" w:cs="微软雅黑"/>
          <w:bCs/>
          <w:color w:val="000000" w:themeColor="text1"/>
          <w:sz w:val="36"/>
          <w:szCs w:val="30"/>
          <w14:textFill>
            <w14:solidFill>
              <w14:schemeClr w14:val="tx1"/>
            </w14:solidFill>
          </w14:textFill>
        </w:rPr>
        <w:t>第四篇  磋商程序及方法、评审标准、无效响应和</w:t>
      </w:r>
      <w:r>
        <w:rPr>
          <w:rFonts w:hint="eastAsia" w:ascii="微软雅黑" w:hAnsi="微软雅黑" w:eastAsia="微软雅黑" w:cs="微软雅黑"/>
          <w:bCs/>
          <w:color w:val="000000" w:themeColor="text1"/>
          <w:sz w:val="36"/>
          <w:szCs w:val="36"/>
          <w14:textFill>
            <w14:solidFill>
              <w14:schemeClr w14:val="tx1"/>
            </w14:solidFill>
          </w14:textFill>
        </w:rPr>
        <w:t>采购终止</w:t>
      </w:r>
      <w:bookmarkEnd w:id="78"/>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79" w:name="_Toc23955"/>
      <w:bookmarkStart w:id="80" w:name="_Toc13160"/>
      <w:bookmarkStart w:id="81" w:name="_Toc24398"/>
      <w:bookmarkStart w:id="82" w:name="_Toc102227320"/>
      <w:bookmarkStart w:id="83" w:name="_Toc342913394"/>
      <w:r>
        <w:rPr>
          <w:rFonts w:hint="eastAsia" w:ascii="微软雅黑" w:hAnsi="微软雅黑" w:eastAsia="微软雅黑" w:cs="微软雅黑"/>
          <w:color w:val="000000" w:themeColor="text1"/>
          <w:sz w:val="24"/>
          <w:szCs w:val="24"/>
          <w14:textFill>
            <w14:solidFill>
              <w14:schemeClr w14:val="tx1"/>
            </w14:solidFill>
          </w14:textFill>
        </w:rPr>
        <w:t>一、磋商程序及方法</w:t>
      </w:r>
      <w:bookmarkEnd w:id="79"/>
      <w:bookmarkEnd w:id="80"/>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kern w:val="0"/>
          <w:sz w:val="24"/>
          <w:szCs w:val="24"/>
          <w14:textFill>
            <w14:solidFill>
              <w14:schemeClr w14:val="tx1"/>
            </w14:solidFill>
          </w14:textFill>
        </w:rPr>
        <w:t>资格性检查。依据法律法规和竞争性磋商文件的规定，对响应文件中的资格证明、磋商保证金等进行审查，以确定供应商是否具备磋商资格。资格性检查资料表如下：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5388" w:type="dxa"/>
            <w:gridSpan w:val="2"/>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检查因素</w:t>
            </w:r>
          </w:p>
        </w:tc>
        <w:tc>
          <w:tcPr>
            <w:tcW w:w="3564"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709" w:type="dxa"/>
            <w:vMerge w:val="restart"/>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w:t>
            </w:r>
          </w:p>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应</w:t>
            </w:r>
          </w:p>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商</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应</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符</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合</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的</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基</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本</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资</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格</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条</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件</w:t>
            </w: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（1）具有独立承担民事责任的能力</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供应商法人营业执照（副本）或事业单位法人证书（副本）或个体工商户营业执照或有效的自然人身份证明或社会团体法人登记证书（提供复印件）； </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供应商法定代表人身份证明和法定代表人授权代表委托书。</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不具有独立法人的分公司、办事处等分支机构参加磋商须出具总公司的授权证明。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扣减</w:t>
            </w:r>
          </w:p>
        </w:tc>
        <w:tc>
          <w:tcPr>
            <w:tcW w:w="709" w:type="dxa"/>
            <w:vMerge w:val="continue"/>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具有良好的商业信誉和健全的财务会计制度</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提供2019或2020年度财务状况报告（表）复印件，本年度新成立或成立不满一年的组织和自然人无法提供财务状况报告（表）的，可提供银行出具的资信证明复印件。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（3）具有履行合同所必需的设备和专业技术能力</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供应商提供书面声明（</w:t>
            </w:r>
            <w:r>
              <w:rPr>
                <w:rFonts w:hint="eastAsia" w:ascii="微软雅黑" w:hAnsi="微软雅黑" w:eastAsia="微软雅黑" w:cs="微软雅黑"/>
                <w:b/>
                <w:bCs/>
                <w:color w:val="000000" w:themeColor="text1"/>
                <w:sz w:val="21"/>
                <w:szCs w:val="21"/>
                <w14:textFill>
                  <w14:solidFill>
                    <w14:schemeClr w14:val="tx1"/>
                  </w14:solidFill>
                </w14:textFill>
              </w:rPr>
              <w:t>见格式文件</w:t>
            </w:r>
            <w:r>
              <w:rPr>
                <w:rFonts w:hint="eastAsia" w:ascii="微软雅黑" w:hAnsi="微软雅黑" w:eastAsia="微软雅黑" w:cs="微软雅黑"/>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（4）有依法缴纳税收和社会保障金的良好记录</w:t>
            </w:r>
          </w:p>
        </w:tc>
        <w:tc>
          <w:tcPr>
            <w:tcW w:w="356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1.税务登记证（副本）复印件（注</w: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begin"/>
            </w:r>
            <w:r>
              <w:rPr>
                <w:rFonts w:hint="eastAsia" w:ascii="微软雅黑" w:hAnsi="微软雅黑" w:eastAsia="微软雅黑" w:cs="微软雅黑"/>
                <w:color w:val="000000" w:themeColor="text1"/>
                <w:sz w:val="21"/>
                <w:szCs w:val="21"/>
                <w:lang w:val="zh-CN"/>
                <w14:textFill>
                  <w14:solidFill>
                    <w14:schemeClr w14:val="tx1"/>
                  </w14:solidFill>
                </w14:textFill>
              </w:rPr>
              <w:instrText xml:space="preserve"> eq \o\ac(○,1)</w:instrTex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end"/>
            </w:r>
            <w:r>
              <w:rPr>
                <w:rFonts w:hint="eastAsia" w:ascii="微软雅黑" w:hAnsi="微软雅黑" w:eastAsia="微软雅黑" w:cs="微软雅黑"/>
                <w:color w:val="000000" w:themeColor="text1"/>
                <w:sz w:val="21"/>
                <w:szCs w:val="21"/>
                <w:lang w:val="zh-CN"/>
                <w14:textFill>
                  <w14:solidFill>
                    <w14:schemeClr w14:val="tx1"/>
                  </w14:solidFill>
                </w14:textFill>
              </w:rPr>
              <w:t>）</w:t>
            </w:r>
          </w:p>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2.缴纳社会保障金的证明材料复印件【缴纳社会保障金的证明材料指：社会保险登记证（注</w: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begin"/>
            </w:r>
            <w:r>
              <w:rPr>
                <w:rFonts w:hint="eastAsia" w:ascii="微软雅黑" w:hAnsi="微软雅黑" w:eastAsia="微软雅黑" w:cs="微软雅黑"/>
                <w:color w:val="000000" w:themeColor="text1"/>
                <w:sz w:val="21"/>
                <w:szCs w:val="21"/>
                <w:lang w:val="zh-CN"/>
                <w14:textFill>
                  <w14:solidFill>
                    <w14:schemeClr w14:val="tx1"/>
                  </w14:solidFill>
                </w14:textFill>
              </w:rPr>
              <w:instrText xml:space="preserve"> eq \o\ac(○,1)</w:instrTex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end"/>
            </w:r>
            <w:r>
              <w:rPr>
                <w:rFonts w:hint="eastAsia" w:ascii="微软雅黑" w:hAnsi="微软雅黑" w:eastAsia="微软雅黑" w:cs="微软雅黑"/>
                <w:color w:val="000000" w:themeColor="text1"/>
                <w:sz w:val="21"/>
                <w:szCs w:val="21"/>
                <w:lang w:val="zh-CN"/>
                <w14:textFill>
                  <w14:solidFill>
                    <w14:schemeClr w14:val="tx1"/>
                  </w14:solidFill>
                </w14:textFill>
              </w:rPr>
              <w:t>）或缴纳社会保险的凭据（专用收据或社会保险缴纳清单）】。</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3.依法免税或不需要缴纳社会保障资金的供应商，应提供相应文件证明其依法免税或不需要缴纳社会保障资金。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（5）参加政府采购活动前三年内，在经营活动中没有重大违法记录（注</w:t>
            </w: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color w:val="000000" w:themeColor="text1"/>
                <w:sz w:val="21"/>
                <w:szCs w:val="21"/>
                <w14:textFill>
                  <w14:solidFill>
                    <w14:schemeClr w14:val="tx1"/>
                  </w14:solidFill>
                </w14:textFill>
              </w:rPr>
              <w:instrText xml:space="preserve"> eq \o\ac(○,</w:instrText>
            </w:r>
            <w:r>
              <w:rPr>
                <w:rFonts w:hint="eastAsia" w:ascii="微软雅黑" w:hAnsi="微软雅黑" w:eastAsia="微软雅黑" w:cs="微软雅黑"/>
                <w:color w:val="000000" w:themeColor="text1"/>
                <w:position w:val="2"/>
                <w:sz w:val="14"/>
                <w:szCs w:val="21"/>
                <w14:textFill>
                  <w14:solidFill>
                    <w14:schemeClr w14:val="tx1"/>
                  </w14:solidFill>
                </w14:textFill>
              </w:rPr>
              <w:instrText xml:space="preserve">3</w:instrText>
            </w:r>
            <w:r>
              <w:rPr>
                <w:rFonts w:hint="eastAsia" w:ascii="微软雅黑" w:hAnsi="微软雅黑" w:eastAsia="微软雅黑" w:cs="微软雅黑"/>
                <w:color w:val="000000" w:themeColor="text1"/>
                <w:sz w:val="21"/>
                <w:szCs w:val="21"/>
                <w14:textFill>
                  <w14:solidFill>
                    <w14:schemeClr w14:val="tx1"/>
                  </w14:solidFill>
                </w14:textFill>
              </w:rPr>
              <w:instrText xml:space="preserve">)</w:instrTex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1.供应商提供书面声明（</w:t>
            </w:r>
            <w:r>
              <w:rPr>
                <w:rFonts w:hint="eastAsia" w:ascii="微软雅黑" w:hAnsi="微软雅黑" w:eastAsia="微软雅黑" w:cs="微软雅黑"/>
                <w:b/>
                <w:bCs/>
                <w:color w:val="000000" w:themeColor="text1"/>
                <w:sz w:val="21"/>
                <w:szCs w:val="21"/>
                <w14:textFill>
                  <w14:solidFill>
                    <w14:schemeClr w14:val="tx1"/>
                  </w14:solidFill>
                </w14:textFill>
              </w:rPr>
              <w:t>见格式文件</w:t>
            </w:r>
            <w:r>
              <w:rPr>
                <w:rFonts w:hint="eastAsia" w:ascii="微软雅黑" w:hAnsi="微软雅黑" w:eastAsia="微软雅黑" w:cs="微软雅黑"/>
                <w:color w:val="000000" w:themeColor="text1"/>
                <w:sz w:val="21"/>
                <w:szCs w:val="21"/>
                <w14:textFill>
                  <w14:solidFill>
                    <w14:schemeClr w14:val="tx1"/>
                  </w14:solidFill>
                </w14:textFill>
              </w:rPr>
              <w:t>）</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（6）法律、行政法规规定的其他条件</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6" w:type="dxa"/>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5388" w:type="dxa"/>
            <w:gridSpan w:val="2"/>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特定资格条件</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6" w:type="dxa"/>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5388" w:type="dxa"/>
            <w:gridSpan w:val="2"/>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保证金</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无</w:t>
            </w:r>
          </w:p>
        </w:tc>
      </w:tr>
    </w:tbl>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注：</w:t>
      </w:r>
    </w:p>
    <w:p>
      <w:pPr>
        <w:snapToGrid w:val="0"/>
        <w:spacing w:line="400" w:lineRule="exact"/>
        <w:ind w:firstLine="480" w:firstLineChars="200"/>
        <w:rPr>
          <w:rFonts w:ascii="微软雅黑" w:hAnsi="微软雅黑" w:eastAsia="微软雅黑" w:cs="微软雅黑"/>
          <w:color w:val="000000" w:themeColor="text1"/>
          <w:kern w:val="0"/>
          <w:sz w:val="24"/>
          <w:szCs w:val="24"/>
          <w:u w:val="single"/>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 eq \o\ac(○,</w:instrText>
      </w:r>
      <w:r>
        <w:rPr>
          <w:rFonts w:hint="eastAsia" w:ascii="微软雅黑" w:hAnsi="微软雅黑" w:eastAsia="微软雅黑" w:cs="微软雅黑"/>
          <w:color w:val="000000" w:themeColor="text1"/>
          <w:kern w:val="0"/>
          <w:position w:val="3"/>
          <w:sz w:val="16"/>
          <w:szCs w:val="24"/>
          <w14:textFill>
            <w14:solidFill>
              <w14:schemeClr w14:val="tx1"/>
            </w14:solidFill>
          </w14:textFill>
        </w:rPr>
        <w:instrText xml:space="preserve">1</w:instrText>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w:instrText>
      </w:r>
      <w:r>
        <w:rPr>
          <w:rFonts w:hint="eastAsia" w:ascii="微软雅黑" w:hAnsi="微软雅黑" w:eastAsia="微软雅黑" w:cs="微软雅黑"/>
          <w:color w:val="000000" w:themeColor="text1"/>
          <w:kern w:val="0"/>
          <w:sz w:val="24"/>
          <w:szCs w:val="24"/>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lang w:val="zh-CN"/>
          <w14:textFill>
            <w14:solidFill>
              <w14:schemeClr w14:val="tx1"/>
            </w14:solidFill>
          </w14:textFill>
        </w:rPr>
        <w:t>供应商按“多证合一”登记制度办理营业执照的，组织机构代码证、税务登记证（副本）和社会保险登记证以</w:t>
      </w:r>
      <w:r>
        <w:rPr>
          <w:rFonts w:hint="eastAsia" w:ascii="微软雅黑" w:hAnsi="微软雅黑" w:eastAsia="微软雅黑" w:cs="微软雅黑"/>
          <w:color w:val="000000" w:themeColor="text1"/>
          <w:kern w:val="0"/>
          <w:sz w:val="24"/>
          <w:szCs w:val="24"/>
          <w14:textFill>
            <w14:solidFill>
              <w14:schemeClr w14:val="tx1"/>
            </w14:solidFill>
          </w14:textFill>
        </w:rPr>
        <w:t>供应商</w:t>
      </w:r>
      <w:r>
        <w:rPr>
          <w:rFonts w:hint="eastAsia" w:ascii="微软雅黑" w:hAnsi="微软雅黑" w:eastAsia="微软雅黑" w:cs="微软雅黑"/>
          <w:color w:val="000000" w:themeColor="text1"/>
          <w:kern w:val="0"/>
          <w:sz w:val="24"/>
          <w:szCs w:val="24"/>
          <w:lang w:val="zh-CN"/>
          <w14:textFill>
            <w14:solidFill>
              <w14:schemeClr w14:val="tx1"/>
            </w14:solidFill>
          </w14:textFill>
        </w:rPr>
        <w:t>所提供的营业执照（副本）复印件为准。</w:t>
      </w:r>
    </w:p>
    <w:p>
      <w:pPr>
        <w:snapToGrid w:val="0"/>
        <w:spacing w:line="400" w:lineRule="exact"/>
        <w:ind w:firstLine="480" w:firstLineChars="200"/>
        <w:rPr>
          <w:rFonts w:ascii="微软雅黑" w:hAnsi="微软雅黑" w:eastAsia="微软雅黑" w:cs="微软雅黑"/>
          <w:color w:val="000000" w:themeColor="text1"/>
          <w:kern w:val="0"/>
          <w:sz w:val="24"/>
          <w:szCs w:val="24"/>
          <w:lang w:val="zh-CN"/>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 eq \o\ac(○,</w:instrText>
      </w:r>
      <w:r>
        <w:rPr>
          <w:rFonts w:hint="eastAsia" w:ascii="微软雅黑" w:hAnsi="微软雅黑" w:eastAsia="微软雅黑" w:cs="微软雅黑"/>
          <w:color w:val="000000" w:themeColor="text1"/>
          <w:kern w:val="0"/>
          <w:position w:val="3"/>
          <w:sz w:val="16"/>
          <w:szCs w:val="24"/>
          <w14:textFill>
            <w14:solidFill>
              <w14:schemeClr w14:val="tx1"/>
            </w14:solidFill>
          </w14:textFill>
        </w:rPr>
        <w:instrText xml:space="preserve">2</w:instrText>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w:instrText>
      </w:r>
      <w:r>
        <w:rPr>
          <w:rFonts w:hint="eastAsia" w:ascii="微软雅黑" w:hAnsi="微软雅黑" w:eastAsia="微软雅黑" w:cs="微软雅黑"/>
          <w:color w:val="000000" w:themeColor="text1"/>
          <w:kern w:val="0"/>
          <w:sz w:val="24"/>
          <w:szCs w:val="24"/>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3544" w:type="dxa"/>
            <w:gridSpan w:val="2"/>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评审因素</w:t>
            </w:r>
          </w:p>
        </w:tc>
        <w:tc>
          <w:tcPr>
            <w:tcW w:w="5409"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1</w:t>
            </w:r>
          </w:p>
        </w:tc>
        <w:tc>
          <w:tcPr>
            <w:tcW w:w="1560" w:type="dxa"/>
            <w:vMerge w:val="restart"/>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有效性审查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响应文件签署</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法定代表人身份证明及授权委托书</w:t>
            </w:r>
          </w:p>
        </w:tc>
        <w:tc>
          <w:tcPr>
            <w:tcW w:w="540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方案</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每个分包只能有一个</w:t>
            </w: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报价唯一</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只能在</w:t>
            </w:r>
            <w:r>
              <w:rPr>
                <w:rFonts w:hint="eastAsia" w:ascii="微软雅黑" w:hAnsi="微软雅黑" w:eastAsia="微软雅黑" w:cs="微软雅黑"/>
                <w:color w:val="000000" w:themeColor="text1"/>
                <w:sz w:val="21"/>
                <w:szCs w:val="21"/>
                <w14:textFill>
                  <w14:solidFill>
                    <w14:schemeClr w14:val="tx1"/>
                  </w14:solidFill>
                </w14:textFill>
              </w:rPr>
              <w:t>采购预算</w:t>
            </w:r>
            <w:r>
              <w:rPr>
                <w:rFonts w:hint="eastAsia" w:ascii="微软雅黑" w:hAnsi="微软雅黑" w:eastAsia="微软雅黑" w:cs="微软雅黑"/>
                <w:color w:val="000000" w:themeColor="text1"/>
                <w:sz w:val="21"/>
                <w:szCs w:val="21"/>
                <w:lang w:val="zh-CN"/>
                <w14:textFill>
                  <w14:solidFill>
                    <w14:schemeClr w14:val="tx1"/>
                  </w14:solidFill>
                </w14:textFill>
              </w:rPr>
              <w:t>范围内报价，</w:t>
            </w:r>
            <w:r>
              <w:rPr>
                <w:rFonts w:hint="eastAsia" w:ascii="微软雅黑" w:hAnsi="微软雅黑" w:eastAsia="微软雅黑" w:cs="微软雅黑"/>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2</w:t>
            </w:r>
          </w:p>
        </w:tc>
        <w:tc>
          <w:tcPr>
            <w:tcW w:w="1560"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完整性审查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文件份数</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文件正、副本数量</w:t>
            </w:r>
            <w:r>
              <w:rPr>
                <w:rFonts w:hint="eastAsia" w:ascii="微软雅黑" w:hAnsi="微软雅黑" w:eastAsia="微软雅黑" w:cs="微软雅黑"/>
                <w:b/>
                <w:bCs/>
                <w:color w:val="000000" w:themeColor="text1"/>
                <w:sz w:val="21"/>
                <w:szCs w:val="21"/>
                <w:lang w:val="zh-CN"/>
                <w14:textFill>
                  <w14:solidFill>
                    <w14:schemeClr w14:val="tx1"/>
                  </w14:solidFill>
                </w14:textFill>
              </w:rPr>
              <w:t>（含电子文档）</w:t>
            </w:r>
            <w:r>
              <w:rPr>
                <w:rFonts w:hint="eastAsia" w:ascii="微软雅黑" w:hAnsi="微软雅黑" w:eastAsia="微软雅黑" w:cs="微软雅黑"/>
                <w:color w:val="000000" w:themeColor="text1"/>
                <w:sz w:val="21"/>
                <w:szCs w:val="21"/>
                <w:lang w:val="zh-CN"/>
                <w14:textFill>
                  <w14:solidFill>
                    <w14:schemeClr w14:val="tx1"/>
                  </w14:solidFill>
                </w14:textFill>
              </w:rPr>
              <w:t>符合</w:t>
            </w:r>
            <w:r>
              <w:rPr>
                <w:rFonts w:hint="eastAsia" w:ascii="微软雅黑" w:hAnsi="微软雅黑" w:eastAsia="微软雅黑" w:cs="微软雅黑"/>
                <w:color w:val="000000" w:themeColor="text1"/>
                <w:sz w:val="21"/>
                <w:szCs w:val="21"/>
                <w14:textFill>
                  <w14:solidFill>
                    <w14:schemeClr w14:val="tx1"/>
                  </w14:solidFill>
                </w14:textFill>
              </w:rPr>
              <w:t>竞争性磋商</w:t>
            </w:r>
            <w:r>
              <w:rPr>
                <w:rFonts w:hint="eastAsia" w:ascii="微软雅黑" w:hAnsi="微软雅黑" w:eastAsia="微软雅黑" w:cs="微软雅黑"/>
                <w:color w:val="000000" w:themeColor="text1"/>
                <w:sz w:val="21"/>
                <w:szCs w:val="21"/>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3</w:t>
            </w:r>
          </w:p>
        </w:tc>
        <w:tc>
          <w:tcPr>
            <w:tcW w:w="1560" w:type="dxa"/>
            <w:vMerge w:val="restart"/>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竞争性磋商文件的响应程度审查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响应文件内容</w:t>
            </w:r>
          </w:p>
        </w:tc>
        <w:tc>
          <w:tcPr>
            <w:tcW w:w="5409" w:type="dxa"/>
            <w:vAlign w:val="center"/>
          </w:tcPr>
          <w:p>
            <w:pPr>
              <w:pStyle w:val="32"/>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对竞争性磋商文件第二篇规定的磋商内容作出响应。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磋商有效期</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满足磋商文件</w:t>
            </w:r>
            <w:r>
              <w:rPr>
                <w:rFonts w:hint="eastAsia" w:ascii="微软雅黑" w:hAnsi="微软雅黑" w:eastAsia="微软雅黑" w:cs="微软雅黑"/>
                <w:color w:val="000000" w:themeColor="text1"/>
                <w:sz w:val="21"/>
                <w:szCs w:val="21"/>
                <w:lang w:val="zh-CN"/>
                <w14:textFill>
                  <w14:solidFill>
                    <w14:schemeClr w14:val="tx1"/>
                  </w14:solidFill>
                </w14:textFill>
              </w:rPr>
              <w:t>规定。</w:t>
            </w:r>
          </w:p>
        </w:tc>
      </w:tr>
    </w:tbl>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（五）在磋商过程中磋商的任何一方不得向他人透露与磋商有关的技术资料、价格或其他信息。</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（七）供应商在磋商时作出的所有书面承诺须由法定代表人或其授权代表签字。</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hint="eastAsia" w:ascii="微软雅黑" w:hAnsi="微软雅黑" w:eastAsia="微软雅黑" w:cs="微软雅黑"/>
          <w:b/>
          <w:bCs/>
          <w:color w:val="000000" w:themeColor="text1"/>
          <w:sz w:val="24"/>
          <w:szCs w:val="24"/>
          <w14:textFill>
            <w14:solidFill>
              <w14:schemeClr w14:val="tx1"/>
            </w14:solidFill>
          </w14:textFill>
        </w:rPr>
        <w:t>在未实质性变动竞争性磋商文件的情况下，最后报价不得高于上一次报价，否则失去成交供应商的资格。</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微软雅黑" w:hAnsi="微软雅黑" w:eastAsia="微软雅黑" w:cs="微软雅黑"/>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服务部分为0分，将失去成为成交候选人的资格。</w:t>
      </w:r>
    </w:p>
    <w:p>
      <w:pPr>
        <w:pStyle w:val="5"/>
        <w:spacing w:before="0" w:after="0" w:line="44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84" w:name="_Toc21330"/>
      <w:r>
        <w:rPr>
          <w:rFonts w:hint="eastAsia" w:ascii="微软雅黑" w:hAnsi="微软雅黑" w:eastAsia="微软雅黑" w:cs="微软雅黑"/>
          <w:color w:val="000000" w:themeColor="text1"/>
          <w:sz w:val="24"/>
          <w:szCs w:val="24"/>
          <w14:textFill>
            <w14:solidFill>
              <w14:schemeClr w14:val="tx1"/>
            </w14:solidFill>
          </w14:textFill>
        </w:rPr>
        <w:t>二、评审标准</w:t>
      </w:r>
      <w:bookmarkEnd w:id="81"/>
      <w:bookmarkEnd w:id="84"/>
    </w:p>
    <w:tbl>
      <w:tblPr>
        <w:tblStyle w:val="57"/>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708"/>
        <w:gridCol w:w="567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993"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评分因素及权值</w:t>
            </w:r>
          </w:p>
        </w:tc>
        <w:tc>
          <w:tcPr>
            <w:tcW w:w="708"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分值</w:t>
            </w:r>
          </w:p>
        </w:tc>
        <w:tc>
          <w:tcPr>
            <w:tcW w:w="5670"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评分标准</w:t>
            </w:r>
          </w:p>
        </w:tc>
        <w:tc>
          <w:tcPr>
            <w:tcW w:w="1926"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993" w:type="dxa"/>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w:t>
            </w:r>
          </w:p>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报价</w:t>
            </w:r>
          </w:p>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708" w:type="dxa"/>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5670" w:type="dxa"/>
            <w:vAlign w:val="center"/>
          </w:tcPr>
          <w:p>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满足资格性、符合性要求且最后报价最低的供应商的价格为磋商基准价，其价格分为满分。其他供应商的价格分统一按照下列公式计算：</w:t>
            </w:r>
          </w:p>
          <w:p>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磋商报价得分=（磋商基准价/最后磋商报价）×价格权值×100</w:t>
            </w:r>
          </w:p>
        </w:tc>
        <w:tc>
          <w:tcPr>
            <w:tcW w:w="1926"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对小型和微型企业产品的价格给予</w:t>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sz w:val="21"/>
                <w:szCs w:val="21"/>
              </w:rPr>
              <w:t>的扣除，用扣除后的价格参与评审（注</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eq \o\ac(○,3)</w:instrTex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675" w:type="dxa"/>
            <w:vMerge w:val="restart"/>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993" w:type="dxa"/>
            <w:vMerge w:val="restart"/>
            <w:vAlign w:val="center"/>
          </w:tcPr>
          <w:p>
            <w:pPr>
              <w:spacing w:line="240" w:lineRule="atLeast"/>
              <w:ind w:firstLine="28"/>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服务</w:t>
            </w:r>
          </w:p>
          <w:p>
            <w:pPr>
              <w:spacing w:line="240" w:lineRule="atLeast"/>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部分</w:t>
            </w:r>
          </w:p>
          <w:p>
            <w:pPr>
              <w:spacing w:line="240" w:lineRule="atLeast"/>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（70%）</w:t>
            </w:r>
          </w:p>
        </w:tc>
        <w:tc>
          <w:tcPr>
            <w:tcW w:w="708" w:type="dxa"/>
            <w:vAlign w:val="center"/>
          </w:tcPr>
          <w:p>
            <w:pPr>
              <w:spacing w:line="240" w:lineRule="atLeast"/>
              <w:ind w:left="-3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w:t>
            </w:r>
          </w:p>
        </w:tc>
        <w:tc>
          <w:tcPr>
            <w:tcW w:w="5670" w:type="dxa"/>
            <w:vAlign w:val="center"/>
          </w:tcPr>
          <w:p>
            <w:pPr>
              <w:spacing w:line="240" w:lineRule="atLeas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1.起评分：</w:t>
            </w:r>
          </w:p>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有效供应商的起评分为30分。</w:t>
            </w:r>
          </w:p>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2.扣分条款：</w:t>
            </w:r>
          </w:p>
          <w:p>
            <w:pPr>
              <w:spacing w:line="240" w:lineRule="atLeas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供应商技术应答不满足磋商文件技术需求的，每负偏离一条从起评分中扣除</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分，有5条及以上负偏离的本项得0分。</w:t>
            </w:r>
          </w:p>
        </w:tc>
        <w:tc>
          <w:tcPr>
            <w:tcW w:w="1926"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对竞争性磋商文件第二篇进行应答。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5"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993" w:type="dxa"/>
            <w:vMerge w:val="continue"/>
            <w:vAlign w:val="center"/>
          </w:tcPr>
          <w:p>
            <w:pPr>
              <w:spacing w:line="240" w:lineRule="atLeast"/>
              <w:ind w:firstLine="28"/>
              <w:jc w:val="center"/>
              <w:rPr>
                <w:rFonts w:hint="eastAsia" w:ascii="微软雅黑" w:hAnsi="微软雅黑" w:eastAsia="微软雅黑" w:cs="微软雅黑"/>
                <w:color w:val="auto"/>
                <w:sz w:val="21"/>
                <w:szCs w:val="21"/>
              </w:rPr>
            </w:pPr>
          </w:p>
        </w:tc>
        <w:tc>
          <w:tcPr>
            <w:tcW w:w="708" w:type="dxa"/>
            <w:vAlign w:val="center"/>
          </w:tcPr>
          <w:p>
            <w:pPr>
              <w:spacing w:line="240" w:lineRule="atLeast"/>
              <w:ind w:left="-3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w:t>
            </w:r>
          </w:p>
        </w:tc>
        <w:tc>
          <w:tcPr>
            <w:tcW w:w="5670" w:type="dxa"/>
            <w:vAlign w:val="center"/>
          </w:tcPr>
          <w:p>
            <w:pPr>
              <w:spacing w:line="240" w:lineRule="atLeas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设备管理</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统计分析</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视频接入</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p>
          <w:p>
            <w:pPr>
              <w:spacing w:line="240" w:lineRule="atLeas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4</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视频预览与回放</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p>
          <w:p>
            <w:pPr>
              <w:spacing w:line="240" w:lineRule="atLeas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5</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云台控制</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6.</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w:t>
            </w:r>
            <w:r>
              <w:rPr>
                <w:rFonts w:hint="eastAsia" w:ascii="微软雅黑" w:hAnsi="微软雅黑" w:eastAsia="微软雅黑" w:cs="微软雅黑"/>
                <w:color w:val="auto"/>
                <w:sz w:val="21"/>
                <w:szCs w:val="21"/>
                <w:lang w:val="en-US" w:eastAsia="zh-CN"/>
              </w:rPr>
              <w:t>服务</w:t>
            </w:r>
            <w:r>
              <w:rPr>
                <w:rFonts w:hint="eastAsia" w:ascii="微软雅黑" w:hAnsi="微软雅黑" w:eastAsia="微软雅黑" w:cs="微软雅黑"/>
                <w:color w:val="auto"/>
                <w:sz w:val="21"/>
                <w:szCs w:val="21"/>
              </w:rPr>
              <w:t>方案要求”中“</w:t>
            </w:r>
            <w:r>
              <w:rPr>
                <w:rFonts w:hint="eastAsia" w:ascii="微软雅黑" w:hAnsi="微软雅黑" w:eastAsia="微软雅黑" w:cs="微软雅黑"/>
                <w:color w:val="auto"/>
                <w:sz w:val="21"/>
                <w:szCs w:val="21"/>
                <w:lang w:val="en-US" w:eastAsia="zh-Hans"/>
              </w:rPr>
              <w:t>视频服务调用</w:t>
            </w:r>
            <w:r>
              <w:rPr>
                <w:rFonts w:hint="eastAsia" w:ascii="微软雅黑" w:hAnsi="微软雅黑" w:eastAsia="微软雅黑" w:cs="微软雅黑"/>
                <w:color w:val="auto"/>
                <w:sz w:val="21"/>
                <w:szCs w:val="21"/>
              </w:rPr>
              <w:t>”进行方案描述，根据描述的准确性、完整性、合理性进行评审。（优得5分，良得3分，一般得1分，差或无得0分，本条满分共5分）</w:t>
            </w:r>
            <w:r>
              <w:rPr>
                <w:rFonts w:hint="eastAsia" w:ascii="微软雅黑" w:hAnsi="微软雅黑" w:eastAsia="微软雅黑" w:cs="微软雅黑"/>
                <w:color w:val="auto"/>
                <w:sz w:val="21"/>
                <w:szCs w:val="21"/>
                <w:lang w:eastAsia="zh-CN"/>
              </w:rPr>
              <w:t>。</w:t>
            </w:r>
          </w:p>
        </w:tc>
        <w:tc>
          <w:tcPr>
            <w:tcW w:w="1926"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描述准确完整、科学合理、条理清晰、可行性强的为“优”；方案描述准确完整、科学合理，但条理不清晰或可行性不强的为“良”；方案描述不清，但基本符合项目情况为“一般”；方案与项目无关的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75"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993"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708" w:type="dxa"/>
            <w:vAlign w:val="center"/>
          </w:tcPr>
          <w:p>
            <w:pPr>
              <w:spacing w:line="240" w:lineRule="atLeast"/>
              <w:ind w:left="-3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5670" w:type="dxa"/>
            <w:vAlign w:val="center"/>
          </w:tcPr>
          <w:p>
            <w:pPr>
              <w:spacing w:line="240" w:lineRule="atLeast"/>
              <w:rPr>
                <w:rFonts w:hint="eastAsia" w:ascii="微软雅黑" w:hAnsi="微软雅黑" w:eastAsia="微软雅黑" w:cs="微软雅黑"/>
                <w:color w:val="auto"/>
                <w:sz w:val="21"/>
                <w:szCs w:val="21"/>
                <w:lang w:val="en-US" w:eastAsia="zh-Hans"/>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Hans"/>
              </w:rPr>
              <w:t>、</w:t>
            </w:r>
            <w:r>
              <w:rPr>
                <w:rFonts w:hint="eastAsia" w:ascii="微软雅黑" w:hAnsi="微软雅黑" w:eastAsia="微软雅黑" w:cs="微软雅黑"/>
                <w:color w:val="auto"/>
                <w:sz w:val="21"/>
                <w:szCs w:val="21"/>
                <w:lang w:val="en-US" w:eastAsia="zh-CN"/>
              </w:rPr>
              <w:t>供应商提供的检测报告必须</w:t>
            </w:r>
            <w:r>
              <w:rPr>
                <w:rFonts w:hint="eastAsia" w:ascii="微软雅黑" w:hAnsi="微软雅黑" w:eastAsia="微软雅黑" w:cs="微软雅黑"/>
                <w:color w:val="auto"/>
                <w:sz w:val="21"/>
                <w:szCs w:val="21"/>
                <w:highlight w:val="none"/>
                <w:lang w:val="en-US" w:eastAsia="zh-Hans"/>
              </w:rPr>
              <w:t>具备车辆</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lang w:val="en-US" w:eastAsia="zh-Hans"/>
              </w:rPr>
              <w:t>车牌</w:t>
            </w:r>
            <w:r>
              <w:rPr>
                <w:rFonts w:hint="eastAsia" w:ascii="微软雅黑" w:hAnsi="微软雅黑" w:eastAsia="微软雅黑" w:cs="微软雅黑"/>
                <w:color w:val="auto"/>
                <w:sz w:val="21"/>
                <w:szCs w:val="21"/>
                <w:highlight w:val="none"/>
                <w:lang w:val="en-US" w:eastAsia="zh-CN"/>
              </w:rPr>
              <w:t>的</w:t>
            </w:r>
            <w:r>
              <w:rPr>
                <w:rFonts w:hint="eastAsia" w:ascii="微软雅黑" w:hAnsi="微软雅黑" w:eastAsia="微软雅黑" w:cs="微软雅黑"/>
                <w:color w:val="auto"/>
                <w:sz w:val="21"/>
                <w:szCs w:val="21"/>
                <w:highlight w:val="none"/>
                <w:lang w:val="en-US" w:eastAsia="zh-Hans"/>
              </w:rPr>
              <w:t>识别检测算法</w:t>
            </w:r>
            <w:r>
              <w:rPr>
                <w:rFonts w:hint="eastAsia" w:ascii="微软雅黑" w:hAnsi="微软雅黑" w:eastAsia="微软雅黑" w:cs="微软雅黑"/>
                <w:color w:val="auto"/>
                <w:sz w:val="21"/>
                <w:szCs w:val="21"/>
                <w:highlight w:val="none"/>
                <w:lang w:val="en-US" w:eastAsia="zh-CN"/>
              </w:rPr>
              <w:t>，算法的有效</w:t>
            </w:r>
            <w:r>
              <w:rPr>
                <w:rFonts w:hint="eastAsia" w:ascii="微软雅黑" w:hAnsi="微软雅黑" w:eastAsia="微软雅黑" w:cs="微软雅黑"/>
                <w:color w:val="auto"/>
                <w:sz w:val="21"/>
                <w:szCs w:val="21"/>
                <w:highlight w:val="none"/>
                <w:lang w:val="en-US" w:eastAsia="zh-Hans"/>
              </w:rPr>
              <w:t>识别率</w:t>
            </w:r>
            <w:r>
              <w:rPr>
                <w:rFonts w:hint="eastAsia" w:ascii="微软雅黑" w:hAnsi="微软雅黑" w:eastAsia="微软雅黑" w:cs="微软雅黑"/>
                <w:color w:val="auto"/>
                <w:sz w:val="21"/>
                <w:szCs w:val="21"/>
                <w:highlight w:val="none"/>
                <w:lang w:val="en-US" w:eastAsia="zh-CN"/>
              </w:rPr>
              <w:t>达到</w:t>
            </w:r>
            <w:r>
              <w:rPr>
                <w:rFonts w:hint="eastAsia" w:ascii="微软雅黑" w:hAnsi="微软雅黑" w:eastAsia="微软雅黑" w:cs="微软雅黑"/>
                <w:color w:val="auto"/>
                <w:sz w:val="21"/>
                <w:szCs w:val="21"/>
                <w:highlight w:val="none"/>
                <w:lang w:val="en-US" w:eastAsia="zh-Hans"/>
              </w:rPr>
              <w:t>9</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lang w:val="en-US" w:eastAsia="zh-Hans"/>
              </w:rPr>
              <w:t>%</w:t>
            </w:r>
            <w:r>
              <w:rPr>
                <w:rFonts w:hint="eastAsia" w:ascii="微软雅黑" w:hAnsi="微软雅黑" w:eastAsia="微软雅黑" w:cs="微软雅黑"/>
                <w:color w:val="auto"/>
                <w:sz w:val="21"/>
                <w:szCs w:val="21"/>
                <w:highlight w:val="none"/>
                <w:lang w:val="en-US" w:eastAsia="zh-CN"/>
              </w:rPr>
              <w:t>（不含）</w:t>
            </w:r>
            <w:r>
              <w:rPr>
                <w:rFonts w:hint="eastAsia" w:ascii="微软雅黑" w:hAnsi="微软雅黑" w:eastAsia="微软雅黑" w:cs="微软雅黑"/>
                <w:color w:val="auto"/>
                <w:sz w:val="21"/>
                <w:szCs w:val="21"/>
                <w:highlight w:val="none"/>
                <w:lang w:val="en-US" w:eastAsia="zh-Hans"/>
              </w:rPr>
              <w:t>以上得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en-US" w:eastAsia="zh-Hans"/>
              </w:rPr>
              <w:t>分，</w:t>
            </w:r>
            <w:r>
              <w:rPr>
                <w:rFonts w:hint="eastAsia" w:ascii="微软雅黑" w:hAnsi="微软雅黑" w:eastAsia="微软雅黑" w:cs="微软雅黑"/>
                <w:color w:val="auto"/>
                <w:sz w:val="21"/>
                <w:szCs w:val="21"/>
                <w:highlight w:val="none"/>
                <w:lang w:val="en-US" w:eastAsia="zh-CN"/>
              </w:rPr>
              <w:t>识别率在80%（不含）以上至</w:t>
            </w:r>
            <w:r>
              <w:rPr>
                <w:rFonts w:hint="eastAsia" w:ascii="微软雅黑" w:hAnsi="微软雅黑" w:eastAsia="微软雅黑" w:cs="微软雅黑"/>
                <w:color w:val="auto"/>
                <w:sz w:val="21"/>
                <w:szCs w:val="21"/>
                <w:highlight w:val="none"/>
                <w:lang w:val="en-US" w:eastAsia="zh-Hans"/>
              </w:rPr>
              <w:t>90%</w:t>
            </w:r>
            <w:r>
              <w:rPr>
                <w:rFonts w:hint="eastAsia" w:ascii="微软雅黑" w:hAnsi="微软雅黑" w:eastAsia="微软雅黑" w:cs="微软雅黑"/>
                <w:color w:val="auto"/>
                <w:sz w:val="21"/>
                <w:szCs w:val="21"/>
                <w:highlight w:val="none"/>
                <w:lang w:val="en-US" w:eastAsia="zh-CN"/>
              </w:rPr>
              <w:t>（含90%）的</w:t>
            </w:r>
            <w:r>
              <w:rPr>
                <w:rFonts w:hint="eastAsia" w:ascii="微软雅黑" w:hAnsi="微软雅黑" w:eastAsia="微软雅黑" w:cs="微软雅黑"/>
                <w:color w:val="auto"/>
                <w:sz w:val="21"/>
                <w:szCs w:val="21"/>
                <w:highlight w:val="none"/>
                <w:lang w:val="en-US" w:eastAsia="zh-Hans"/>
              </w:rPr>
              <w:t>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lang w:val="en-US" w:eastAsia="zh-Hans"/>
              </w:rPr>
              <w:t>分，</w:t>
            </w:r>
            <w:r>
              <w:rPr>
                <w:rFonts w:hint="eastAsia" w:ascii="微软雅黑" w:hAnsi="微软雅黑" w:eastAsia="微软雅黑" w:cs="微软雅黑"/>
                <w:color w:val="auto"/>
                <w:sz w:val="21"/>
                <w:szCs w:val="21"/>
                <w:highlight w:val="none"/>
                <w:lang w:val="en-US" w:eastAsia="zh-CN"/>
              </w:rPr>
              <w:t>识别率在70%（含）以上至8</w:t>
            </w:r>
            <w:r>
              <w:rPr>
                <w:rFonts w:hint="eastAsia" w:ascii="微软雅黑" w:hAnsi="微软雅黑" w:eastAsia="微软雅黑" w:cs="微软雅黑"/>
                <w:color w:val="auto"/>
                <w:sz w:val="21"/>
                <w:szCs w:val="21"/>
                <w:highlight w:val="none"/>
                <w:lang w:val="en-US" w:eastAsia="zh-Hans"/>
              </w:rPr>
              <w:t>0%</w:t>
            </w:r>
            <w:r>
              <w:rPr>
                <w:rFonts w:hint="eastAsia" w:ascii="微软雅黑" w:hAnsi="微软雅黑" w:eastAsia="微软雅黑" w:cs="微软雅黑"/>
                <w:color w:val="auto"/>
                <w:sz w:val="21"/>
                <w:szCs w:val="21"/>
                <w:highlight w:val="none"/>
                <w:lang w:val="en-US" w:eastAsia="zh-CN"/>
              </w:rPr>
              <w:t>（含80%）的得1分，其余</w:t>
            </w:r>
            <w:r>
              <w:rPr>
                <w:rFonts w:hint="eastAsia" w:ascii="微软雅黑" w:hAnsi="微软雅黑" w:eastAsia="微软雅黑" w:cs="微软雅黑"/>
                <w:color w:val="auto"/>
                <w:sz w:val="21"/>
                <w:szCs w:val="21"/>
                <w:highlight w:val="none"/>
                <w:lang w:val="en-US" w:eastAsia="zh-Hans"/>
              </w:rPr>
              <w:t>得0分。</w:t>
            </w:r>
          </w:p>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2、为增强本系统平台视频基础数据服务，供应商能够为本系统平台提供基于视频图像</w:t>
            </w:r>
            <w:r>
              <w:rPr>
                <w:rFonts w:hint="eastAsia" w:ascii="微软雅黑" w:hAnsi="微软雅黑" w:eastAsia="微软雅黑" w:cs="微软雅黑"/>
                <w:color w:val="auto"/>
                <w:sz w:val="21"/>
                <w:szCs w:val="21"/>
                <w:lang w:val="en-US" w:eastAsia="zh-Hans"/>
              </w:rPr>
              <w:t>识别算法拓展</w:t>
            </w:r>
            <w:r>
              <w:rPr>
                <w:rFonts w:hint="eastAsia" w:ascii="微软雅黑" w:hAnsi="微软雅黑" w:eastAsia="微软雅黑" w:cs="微软雅黑"/>
                <w:color w:val="auto"/>
                <w:sz w:val="21"/>
                <w:szCs w:val="21"/>
                <w:lang w:val="en-US" w:eastAsia="zh-CN"/>
              </w:rPr>
              <w:t>服务的，提供1种识别算法得1分，最多得5分。</w:t>
            </w:r>
          </w:p>
          <w:p>
            <w:pPr>
              <w:spacing w:line="240" w:lineRule="atLeast"/>
              <w:ind w:left="-38"/>
              <w:rPr>
                <w:rFonts w:hint="eastAsia" w:ascii="微软雅黑" w:hAnsi="微软雅黑" w:eastAsia="微软雅黑" w:cs="微软雅黑"/>
              </w:rPr>
            </w:pPr>
          </w:p>
        </w:tc>
        <w:tc>
          <w:tcPr>
            <w:tcW w:w="1926"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Hans"/>
              </w:rPr>
              <w:t>提供具有检测机构资质认定证书（CMA）和实验室认可证书（CNAS）资格的第三方软件测评机构出具的</w:t>
            </w:r>
            <w:r>
              <w:rPr>
                <w:rFonts w:hint="eastAsia" w:ascii="微软雅黑" w:hAnsi="微软雅黑" w:eastAsia="微软雅黑" w:cs="微软雅黑"/>
                <w:sz w:val="21"/>
                <w:szCs w:val="21"/>
                <w:lang w:val="en-US" w:eastAsia="zh-CN"/>
              </w:rPr>
              <w:t>评测</w:t>
            </w:r>
            <w:r>
              <w:rPr>
                <w:rFonts w:hint="eastAsia" w:ascii="微软雅黑" w:hAnsi="微软雅黑" w:eastAsia="微软雅黑" w:cs="微软雅黑"/>
                <w:sz w:val="21"/>
                <w:szCs w:val="21"/>
                <w:lang w:val="en-US" w:eastAsia="zh-Hans"/>
              </w:rPr>
              <w:t>报告复印件并加盖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sz w:val="21"/>
                <w:szCs w:val="21"/>
                <w:lang w:val="en-US" w:eastAsia="zh-Hans"/>
              </w:rPr>
              <w:t>公章，</w:t>
            </w:r>
            <w:r>
              <w:rPr>
                <w:rFonts w:hint="eastAsia" w:ascii="微软雅黑" w:hAnsi="微软雅黑" w:eastAsia="微软雅黑" w:cs="微软雅黑"/>
                <w:sz w:val="21"/>
                <w:szCs w:val="21"/>
                <w:lang w:val="en-US" w:eastAsia="zh-CN"/>
              </w:rPr>
              <w:t>且评测报告取得</w:t>
            </w:r>
            <w:r>
              <w:rPr>
                <w:rFonts w:hint="eastAsia" w:ascii="微软雅黑" w:hAnsi="微软雅黑" w:eastAsia="微软雅黑" w:cs="微软雅黑"/>
                <w:sz w:val="21"/>
                <w:szCs w:val="21"/>
                <w:lang w:val="en-US" w:eastAsia="zh-Hans"/>
              </w:rPr>
              <w:t>时间</w:t>
            </w:r>
            <w:r>
              <w:rPr>
                <w:rFonts w:hint="eastAsia" w:ascii="微软雅黑" w:hAnsi="微软雅黑" w:eastAsia="微软雅黑" w:cs="微软雅黑"/>
                <w:sz w:val="21"/>
                <w:szCs w:val="21"/>
                <w:lang w:val="en-US" w:eastAsia="zh-CN"/>
              </w:rPr>
              <w:t>必须</w:t>
            </w:r>
            <w:r>
              <w:rPr>
                <w:rFonts w:hint="eastAsia" w:ascii="微软雅黑" w:hAnsi="微软雅黑" w:eastAsia="微软雅黑" w:cs="微软雅黑"/>
                <w:sz w:val="21"/>
                <w:szCs w:val="21"/>
                <w:lang w:val="en-US" w:eastAsia="zh-Hans"/>
              </w:rPr>
              <w:t>在</w:t>
            </w:r>
            <w:r>
              <w:rPr>
                <w:rFonts w:hint="eastAsia" w:ascii="微软雅黑" w:hAnsi="微软雅黑" w:eastAsia="微软雅黑" w:cs="微软雅黑"/>
                <w:sz w:val="21"/>
                <w:szCs w:val="21"/>
                <w:lang w:val="en-US" w:eastAsia="zh-CN"/>
              </w:rPr>
              <w:t>本公告发布之日前原始取得。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72" w:type="dxa"/>
            <w:gridSpan w:val="5"/>
            <w:vAlign w:val="center"/>
          </w:tcPr>
          <w:p>
            <w:pPr>
              <w:spacing w:line="240" w:lineRule="atLeast"/>
              <w:ind w:left="-38"/>
              <w:rPr>
                <w:rFonts w:hint="eastAsia" w:ascii="微软雅黑" w:hAnsi="微软雅黑" w:eastAsia="微软雅黑" w:cs="微软雅黑"/>
                <w:sz w:val="21"/>
                <w:szCs w:val="21"/>
                <w:lang w:val="en-US" w:eastAsia="zh-Hans"/>
              </w:rPr>
            </w:pPr>
            <w:r>
              <w:rPr>
                <w:rFonts w:hint="eastAsia" w:ascii="微软雅黑" w:hAnsi="微软雅黑" w:eastAsia="微软雅黑" w:cs="微软雅黑"/>
                <w:color w:val="000000" w:themeColor="text1"/>
                <w:sz w:val="21"/>
                <w:szCs w:val="21"/>
                <w14:textFill>
                  <w14:solidFill>
                    <w14:schemeClr w14:val="tx1"/>
                  </w14:solidFill>
                </w14:textFill>
              </w:rPr>
              <w:t>供应商的应答应满足竞争性磋商文件“第三篇 采购商务要求”，服务时间不满足竞争性磋商文件要求的为无效响应，其它商务要求有一条不满足的，商务部分得分为0分，不再进入商务部分的评审。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993" w:type="dxa"/>
            <w:vMerge w:val="restart"/>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商务部分（20%）</w:t>
            </w:r>
          </w:p>
        </w:tc>
        <w:tc>
          <w:tcPr>
            <w:tcW w:w="708" w:type="dxa"/>
            <w:tcBorders>
              <w:top w:val="single" w:color="auto" w:sz="4" w:space="0"/>
              <w:left w:val="single" w:color="auto" w:sz="4" w:space="0"/>
              <w:right w:val="single" w:color="auto" w:sz="4" w:space="0"/>
            </w:tcBorders>
            <w:vAlign w:val="center"/>
          </w:tcPr>
          <w:p>
            <w:pPr>
              <w:spacing w:line="240" w:lineRule="atLeast"/>
              <w:ind w:left="-3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1、供应商具有国家高新技术企业证书得2分，未提供不得分。</w:t>
            </w:r>
          </w:p>
          <w:p>
            <w:pPr>
              <w:spacing w:line="240" w:lineRule="atLeast"/>
              <w:ind w:left="-38"/>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sz w:val="21"/>
                <w:szCs w:val="21"/>
                <w:lang w:val="en-US" w:eastAsia="zh-CN"/>
              </w:rPr>
              <w:t>2、供应商具有具有27001信息安全管理体系认证证书的得1分，未提供不得分。</w:t>
            </w:r>
          </w:p>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3、具备ISO9001质量管理体系认证证书，提供得1分，未提供不得分。</w:t>
            </w:r>
          </w:p>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4、供应商具备AAA企业信用等级得1分，未提供不得分。</w:t>
            </w:r>
          </w:p>
          <w:p>
            <w:pPr>
              <w:spacing w:line="240" w:lineRule="atLeast"/>
              <w:ind w:left="-38"/>
              <w:rPr>
                <w:rFonts w:hint="eastAsia" w:ascii="微软雅黑" w:hAnsi="微软雅黑" w:eastAsia="微软雅黑" w:cs="微软雅黑"/>
                <w:lang w:eastAsia="zh-CN"/>
              </w:rPr>
            </w:pPr>
            <w:r>
              <w:rPr>
                <w:rFonts w:hint="eastAsia" w:ascii="微软雅黑" w:hAnsi="微软雅黑" w:eastAsia="微软雅黑" w:cs="微软雅黑"/>
                <w:sz w:val="21"/>
                <w:szCs w:val="21"/>
                <w:lang w:val="en-US" w:eastAsia="zh-CN"/>
              </w:rPr>
              <w:t>5、供应商具备软件及信息服务外包企业认定证书得1分，未提供不得分。</w:t>
            </w:r>
          </w:p>
        </w:tc>
        <w:tc>
          <w:tcPr>
            <w:tcW w:w="1926" w:type="dxa"/>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提供证书复印件并加盖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公</w:t>
            </w:r>
            <w:r>
              <w:rPr>
                <w:rFonts w:hint="eastAsia" w:ascii="微软雅黑" w:hAnsi="微软雅黑" w:eastAsia="微软雅黑" w:cs="微软雅黑"/>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993"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rPr>
                <w:rFonts w:hint="eastAsia" w:ascii="微软雅黑" w:hAnsi="微软雅黑" w:eastAsia="微软雅黑" w:cs="微软雅黑"/>
                <w:sz w:val="21"/>
                <w:szCs w:val="21"/>
              </w:rPr>
            </w:pPr>
            <w:r>
              <w:rPr>
                <w:rFonts w:hint="eastAsia" w:ascii="微软雅黑" w:hAnsi="微软雅黑" w:eastAsia="微软雅黑" w:cs="微软雅黑"/>
                <w:sz w:val="21"/>
                <w:szCs w:val="21"/>
                <w:highlight w:val="none"/>
              </w:rPr>
              <w:t>供应商承担过生态领域相关信息项目（仅软件开发类</w:t>
            </w:r>
            <w:r>
              <w:rPr>
                <w:rFonts w:hint="eastAsia" w:ascii="微软雅黑" w:hAnsi="微软雅黑" w:eastAsia="微软雅黑" w:cs="微软雅黑"/>
                <w:sz w:val="21"/>
                <w:szCs w:val="21"/>
                <w:highlight w:val="none"/>
                <w:lang w:eastAsia="zh-CN"/>
              </w:rPr>
              <w:t>或</w:t>
            </w:r>
            <w:r>
              <w:rPr>
                <w:rFonts w:hint="eastAsia" w:ascii="微软雅黑" w:hAnsi="微软雅黑" w:eastAsia="微软雅黑" w:cs="微软雅黑"/>
                <w:sz w:val="21"/>
                <w:szCs w:val="21"/>
                <w:highlight w:val="none"/>
              </w:rPr>
              <w:t>数据服务类）建设的，每提供一个合同得</w:t>
            </w: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分，最多得</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分，未提供得0分。</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提供合同复印件并加盖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公</w:t>
            </w:r>
            <w:r>
              <w:rPr>
                <w:rFonts w:hint="eastAsia" w:ascii="微软雅黑" w:hAnsi="微软雅黑" w:eastAsia="微软雅黑" w:cs="微软雅黑"/>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993"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jc w:val="center"/>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lang w:val="en-US" w:eastAsia="zh-CN"/>
              </w:rPr>
              <w:t>6</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1、供应商具有“视频分析系统”关键字的软件著作权证书，的得1分，未提供不得分；</w:t>
            </w:r>
          </w:p>
          <w:p>
            <w:pPr>
              <w:spacing w:line="240" w:lineRule="atLeast"/>
              <w:ind w:left="-38"/>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2、供应商具有设备“终端管理”与“摄像头管理”功能的测试报告得1分，未提供不得分；</w:t>
            </w:r>
          </w:p>
          <w:p>
            <w:pPr>
              <w:spacing w:line="240" w:lineRule="atLeast"/>
              <w:ind w:left="-38"/>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3、供应商具有“智能预警”可查看音频报警提示和视频提示相关功能的系统测试报告及对应软著登记证书得2分，未提供不得分；</w:t>
            </w:r>
          </w:p>
          <w:p>
            <w:pPr>
              <w:spacing w:line="240" w:lineRule="atLeast"/>
              <w:ind w:left="-38"/>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2、供应商具有“视频监控”相关功能的视频结构分析系统测试报告及对应软著登记证书得2分，未提供不得分；</w:t>
            </w:r>
          </w:p>
          <w:p>
            <w:pPr>
              <w:spacing w:line="240" w:lineRule="atLeast"/>
              <w:ind w:left="-38" w:leftChars="0"/>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lang w:val="en-US" w:eastAsia="zh-CN"/>
              </w:rPr>
              <w:t>（注：上述证书须由国家版权局颁发，且著作权须属于供应商所有，在本公告发布之日前原始取得）</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w:t>
            </w:r>
            <w:r>
              <w:rPr>
                <w:rFonts w:hint="eastAsia" w:ascii="微软雅黑" w:hAnsi="微软雅黑" w:eastAsia="微软雅黑" w:cs="微软雅黑"/>
                <w:color w:val="auto"/>
                <w:sz w:val="21"/>
                <w:szCs w:val="21"/>
                <w:highlight w:val="none"/>
                <w:lang w:val="en-US" w:eastAsia="zh-CN"/>
              </w:rPr>
              <w:t>相应证明材料</w:t>
            </w:r>
            <w:r>
              <w:rPr>
                <w:rFonts w:hint="eastAsia" w:ascii="微软雅黑" w:hAnsi="微软雅黑" w:eastAsia="微软雅黑" w:cs="微软雅黑"/>
                <w:color w:val="auto"/>
                <w:sz w:val="21"/>
                <w:szCs w:val="21"/>
              </w:rPr>
              <w:t>复印件并加盖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993"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708" w:type="dxa"/>
            <w:tcBorders>
              <w:top w:val="single" w:color="auto" w:sz="4" w:space="0"/>
              <w:left w:val="single" w:color="auto" w:sz="4" w:space="0"/>
              <w:right w:val="single" w:color="auto" w:sz="4" w:space="0"/>
            </w:tcBorders>
            <w:vAlign w:val="center"/>
          </w:tcPr>
          <w:p>
            <w:pPr>
              <w:spacing w:line="240" w:lineRule="atLeast"/>
              <w:ind w:left="-3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项目实施团队人员中:</w:t>
            </w:r>
          </w:p>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1.具有工业和信息化部颁发的高级数据库管理工程师证书得1分，未提供不得分</w:t>
            </w:r>
            <w:r>
              <w:rPr>
                <w:rFonts w:hint="eastAsia" w:ascii="微软雅黑" w:hAnsi="微软雅黑" w:eastAsia="微软雅黑" w:cs="微软雅黑"/>
                <w:sz w:val="21"/>
                <w:szCs w:val="21"/>
              </w:rPr>
              <w:t>。</w:t>
            </w:r>
          </w:p>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2.具有工业和信息化部颁发的系统分析师证书得1分，未提供不得分</w:t>
            </w:r>
            <w:r>
              <w:rPr>
                <w:rFonts w:hint="eastAsia" w:ascii="微软雅黑" w:hAnsi="微软雅黑" w:eastAsia="微软雅黑" w:cs="微软雅黑"/>
                <w:sz w:val="21"/>
                <w:szCs w:val="21"/>
              </w:rPr>
              <w:t>。</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w:t>
            </w:r>
            <w:r>
              <w:rPr>
                <w:rFonts w:hint="eastAsia" w:ascii="微软雅黑" w:hAnsi="微软雅黑" w:eastAsia="微软雅黑" w:cs="微软雅黑"/>
                <w:color w:val="auto"/>
                <w:sz w:val="21"/>
                <w:szCs w:val="21"/>
                <w:lang w:val="en-US" w:eastAsia="zh-CN"/>
              </w:rPr>
              <w:t>证书</w:t>
            </w:r>
            <w:r>
              <w:rPr>
                <w:rFonts w:hint="eastAsia" w:ascii="微软雅黑" w:hAnsi="微软雅黑" w:eastAsia="微软雅黑" w:cs="微软雅黑"/>
                <w:color w:val="auto"/>
                <w:sz w:val="21"/>
                <w:szCs w:val="21"/>
              </w:rPr>
              <w:t>复印件</w:t>
            </w:r>
            <w:r>
              <w:rPr>
                <w:rFonts w:hint="eastAsia" w:ascii="微软雅黑" w:hAnsi="微软雅黑" w:eastAsia="微软雅黑" w:cs="微软雅黑"/>
                <w:color w:val="auto"/>
                <w:sz w:val="21"/>
                <w:szCs w:val="21"/>
                <w:lang w:val="en-US" w:eastAsia="zh-CN"/>
              </w:rPr>
              <w:t>并加盖供应商公章</w:t>
            </w:r>
            <w:r>
              <w:rPr>
                <w:rFonts w:hint="eastAsia" w:ascii="微软雅黑" w:hAnsi="微软雅黑" w:eastAsia="微软雅黑" w:cs="微软雅黑"/>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993" w:type="dxa"/>
            <w:vMerge w:val="continue"/>
            <w:tcBorders>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708" w:type="dxa"/>
            <w:tcBorders>
              <w:left w:val="single" w:color="auto" w:sz="4" w:space="0"/>
              <w:bottom w:val="single" w:color="auto" w:sz="4" w:space="0"/>
              <w:right w:val="single" w:color="auto" w:sz="4" w:space="0"/>
            </w:tcBorders>
            <w:vAlign w:val="center"/>
          </w:tcPr>
          <w:p>
            <w:pPr>
              <w:spacing w:line="240" w:lineRule="atLeast"/>
              <w:ind w:left="-38"/>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1.供应商拟投入本项目的开发团队，提供4名开发人员的得1分；提供5名及以上的开发人员的得2分，未提供的不得分。</w:t>
            </w:r>
          </w:p>
          <w:p>
            <w:pPr>
              <w:spacing w:line="240" w:lineRule="atLeast"/>
              <w:ind w:left="-38"/>
              <w:rPr>
                <w:rFonts w:hint="default" w:eastAsia="宋体"/>
                <w:lang w:val="en-US" w:eastAsia="zh-CN"/>
              </w:rPr>
            </w:pPr>
            <w:r>
              <w:rPr>
                <w:rFonts w:hint="eastAsia" w:ascii="微软雅黑" w:hAnsi="微软雅黑" w:eastAsia="微软雅黑" w:cs="微软雅黑"/>
                <w:sz w:val="21"/>
                <w:szCs w:val="21"/>
                <w:lang w:val="en-US" w:eastAsia="zh-CN"/>
              </w:rPr>
              <w:t>2.项目驻场开发人员每增加一人得0.5分，最多不超过1分。</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提供</w:t>
            </w:r>
            <w:r>
              <w:rPr>
                <w:rFonts w:hint="eastAsia" w:ascii="微软雅黑" w:hAnsi="微软雅黑" w:eastAsia="微软雅黑" w:cs="微软雅黑"/>
                <w:color w:val="auto"/>
                <w:sz w:val="21"/>
                <w:szCs w:val="21"/>
                <w:lang w:val="en-US" w:eastAsia="zh-CN"/>
              </w:rPr>
              <w:t>人员清单及人员所在单位缴纳的社保记录</w:t>
            </w:r>
            <w:r>
              <w:rPr>
                <w:rFonts w:hint="eastAsia" w:ascii="微软雅黑" w:hAnsi="微软雅黑" w:eastAsia="微软雅黑" w:cs="微软雅黑"/>
                <w:color w:val="auto"/>
                <w:sz w:val="21"/>
                <w:szCs w:val="21"/>
              </w:rPr>
              <w:t>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公章。</w:t>
            </w:r>
          </w:p>
        </w:tc>
      </w:tr>
    </w:tbl>
    <w:p>
      <w:pPr>
        <w:pStyle w:val="5"/>
        <w:spacing w:before="0" w:after="0" w:line="440" w:lineRule="exact"/>
        <w:rPr>
          <w:rFonts w:ascii="微软雅黑" w:hAnsi="微软雅黑" w:eastAsia="微软雅黑" w:cs="微软雅黑"/>
          <w:color w:val="000000" w:themeColor="text1"/>
          <w14:textFill>
            <w14:solidFill>
              <w14:schemeClr w14:val="tx1"/>
            </w14:solidFill>
          </w14:textFill>
        </w:rPr>
      </w:pP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注：关于小微企业报价扣除比例说明</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1.对小微企业给</w:t>
      </w:r>
      <w:r>
        <w:rPr>
          <w:rFonts w:hint="eastAsia" w:ascii="微软雅黑" w:hAnsi="微软雅黑" w:eastAsia="微软雅黑" w:cs="微软雅黑"/>
          <w:color w:val="auto"/>
          <w:sz w:val="24"/>
          <w:szCs w:val="24"/>
        </w:rPr>
        <w:t>予6%的</w:t>
      </w:r>
      <w:r>
        <w:rPr>
          <w:rFonts w:hint="eastAsia" w:ascii="微软雅黑" w:hAnsi="微软雅黑" w:eastAsia="微软雅黑" w:cs="微软雅黑"/>
          <w:color w:val="000000" w:themeColor="text1"/>
          <w:sz w:val="24"/>
          <w:szCs w:val="24"/>
          <w14:textFill>
            <w14:solidFill>
              <w14:schemeClr w14:val="tx1"/>
            </w14:solidFill>
          </w14:textFill>
        </w:rPr>
        <w:t>扣除，以扣除后的报价参与评审。</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2.监狱企业、残疾人福利性单位视同小型、微型企业。</w:t>
      </w: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85" w:name="_Toc26972"/>
      <w:r>
        <w:rPr>
          <w:rFonts w:hint="eastAsia" w:ascii="微软雅黑" w:hAnsi="微软雅黑" w:eastAsia="微软雅黑" w:cs="微软雅黑"/>
          <w:color w:val="000000" w:themeColor="text1"/>
          <w:sz w:val="24"/>
          <w:szCs w:val="24"/>
          <w14:textFill>
            <w14:solidFill>
              <w14:schemeClr w14:val="tx1"/>
            </w14:solidFill>
          </w14:textFill>
        </w:rPr>
        <w:t>三、无效响应</w:t>
      </w:r>
      <w:bookmarkEnd w:id="85"/>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供应商发生以下条款情况之一者，视为无效响应，其响应文件将被拒绝：</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（一）供应商不符合规定的基本资格条件或特定资格条件或符合性审查的；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（二）供应商的法定代表人或其授权代表未参加磋商；</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（三）供应商未按照竞争性磋商文件的要求缴纳磋商保证金；</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（四）供应商所提交的响应文件不按第六篇“响应文件编制要求”规定签字、盖章；</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（五）供应商的报价超过采购预算或者最高限价的；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（六）法定代表人为同一个人的两个及两个以上法人，母公司、全资子公司及其控股公司，在同一分包采购中同时参与磋商；</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（七）单位负责人为同一人或者存在直接控股、管理关系的不同供应商，参加同一合同项下的政府采购活动的；</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（八）为采购项目提供整体设计、规范编制或者项目管理、监理、检测等服务的供应商，再参加该采购项目的其他采购活动；</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（九）供应商的服务期、质量保证期及磋商有效期不满足竞争性磋商文件要求的；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（十）供应商响应文件内容有与国家现行法律法规相违背的内容，或附有采购人无法接受的条件。</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（十一）供应商被列入失信被执行人、重大税收违法案件当事人名单、政府采购严重违法失信行为记录名单及其他不符合《中华人民共和国政府采购法》第二十二条规定条件的。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86" w:name="_Toc18904"/>
      <w:r>
        <w:rPr>
          <w:rFonts w:hint="eastAsia" w:ascii="微软雅黑" w:hAnsi="微软雅黑" w:eastAsia="微软雅黑" w:cs="微软雅黑"/>
          <w:color w:val="000000" w:themeColor="text1"/>
          <w:sz w:val="24"/>
          <w:szCs w:val="24"/>
          <w14:textFill>
            <w14:solidFill>
              <w14:schemeClr w14:val="tx1"/>
            </w14:solidFill>
          </w14:textFill>
        </w:rPr>
        <w:t>四、</w:t>
      </w:r>
      <w:bookmarkEnd w:id="82"/>
      <w:bookmarkEnd w:id="83"/>
      <w:r>
        <w:rPr>
          <w:rFonts w:hint="eastAsia" w:ascii="微软雅黑" w:hAnsi="微软雅黑" w:eastAsia="微软雅黑" w:cs="微软雅黑"/>
          <w:color w:val="000000" w:themeColor="text1"/>
          <w:sz w:val="24"/>
          <w:szCs w:val="24"/>
          <w14:textFill>
            <w14:solidFill>
              <w14:schemeClr w14:val="tx1"/>
            </w14:solidFill>
          </w14:textFill>
        </w:rPr>
        <w:t>采购终止</w:t>
      </w:r>
      <w:bookmarkEnd w:id="86"/>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（一）因情况变化，不再符合规定的竞争性磋商采购方式适用情形的；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（二）出现影响采购公正的违法、违规行为的；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pPr>
        <w:spacing w:line="360" w:lineRule="auto"/>
        <w:rPr>
          <w:rFonts w:ascii="微软雅黑" w:hAnsi="微软雅黑" w:eastAsia="微软雅黑" w:cs="微软雅黑"/>
          <w:color w:val="000000" w:themeColor="text1"/>
          <w:sz w:val="24"/>
          <w:szCs w:val="24"/>
          <w14:textFill>
            <w14:solidFill>
              <w14:schemeClr w14:val="tx1"/>
            </w14:solidFill>
          </w14:textFill>
        </w:rPr>
        <w:sectPr>
          <w:footerReference r:id="rId8" w:type="default"/>
          <w:footerReference r:id="rId9" w:type="even"/>
          <w:pgSz w:w="11907" w:h="16840"/>
          <w:pgMar w:top="1134" w:right="1191" w:bottom="1134" w:left="1304" w:header="964" w:footer="992" w:gutter="0"/>
          <w:pgNumType w:fmt="numberInDash"/>
          <w:cols w:space="720" w:num="1"/>
          <w:rtlGutter w:val="1"/>
          <w:docGrid w:linePitch="312" w:charSpace="0"/>
        </w:sectPr>
      </w:pPr>
    </w:p>
    <w:p>
      <w:pPr>
        <w:pStyle w:val="4"/>
        <w:spacing w:line="360" w:lineRule="auto"/>
        <w:jc w:val="center"/>
        <w:rPr>
          <w:rFonts w:ascii="微软雅黑" w:hAnsi="微软雅黑" w:eastAsia="微软雅黑" w:cs="微软雅黑"/>
          <w:bCs/>
          <w:color w:val="000000" w:themeColor="text1"/>
          <w:szCs w:val="30"/>
          <w14:textFill>
            <w14:solidFill>
              <w14:schemeClr w14:val="tx1"/>
            </w14:solidFill>
          </w14:textFill>
        </w:rPr>
      </w:pPr>
      <w:bookmarkStart w:id="87" w:name="_Toc102227313"/>
      <w:bookmarkStart w:id="88" w:name="_Toc26440"/>
      <w:r>
        <w:rPr>
          <w:rFonts w:hint="eastAsia" w:ascii="微软雅黑" w:hAnsi="微软雅黑" w:eastAsia="微软雅黑" w:cs="微软雅黑"/>
          <w:bCs/>
          <w:color w:val="000000" w:themeColor="text1"/>
          <w:sz w:val="36"/>
          <w:szCs w:val="30"/>
          <w14:textFill>
            <w14:solidFill>
              <w14:schemeClr w14:val="tx1"/>
            </w14:solidFill>
          </w14:textFill>
        </w:rPr>
        <w:t>第五篇  供应商须知</w:t>
      </w:r>
      <w:bookmarkEnd w:id="87"/>
      <w:bookmarkEnd w:id="88"/>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89" w:name="_Toc7746"/>
      <w:bookmarkStart w:id="90" w:name="_Toc342913389"/>
      <w:r>
        <w:rPr>
          <w:rFonts w:hint="eastAsia" w:ascii="微软雅黑" w:hAnsi="微软雅黑" w:eastAsia="微软雅黑" w:cs="微软雅黑"/>
          <w:color w:val="000000" w:themeColor="text1"/>
          <w:sz w:val="24"/>
          <w:szCs w:val="24"/>
          <w14:textFill>
            <w14:solidFill>
              <w14:schemeClr w14:val="tx1"/>
            </w14:solidFill>
          </w14:textFill>
        </w:rPr>
        <w:t>一、磋商费用</w:t>
      </w:r>
      <w:bookmarkEnd w:id="89"/>
      <w:bookmarkEnd w:id="90"/>
    </w:p>
    <w:p>
      <w:pPr>
        <w:pStyle w:val="209"/>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1" w:name="_Toc342913391"/>
      <w:bookmarkStart w:id="92" w:name="_Toc10152"/>
      <w:r>
        <w:rPr>
          <w:rFonts w:hint="eastAsia" w:ascii="微软雅黑" w:hAnsi="微软雅黑" w:eastAsia="微软雅黑" w:cs="微软雅黑"/>
          <w:color w:val="000000" w:themeColor="text1"/>
          <w:sz w:val="24"/>
          <w:szCs w:val="24"/>
          <w14:textFill>
            <w14:solidFill>
              <w14:schemeClr w14:val="tx1"/>
            </w14:solidFill>
          </w14:textFill>
        </w:rPr>
        <w:t>二、竞争性磋商文件</w:t>
      </w:r>
      <w:bookmarkEnd w:id="91"/>
      <w:bookmarkEnd w:id="92"/>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（一）竞争性磋商文件由采购邀请书、采购技术需求、采购商务需求、磋商程序及方法、评审标准、无效响应和采购终止、供应商须知、政府采购合同、响应文件编制要求七部分组成。</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bookmarkStart w:id="93" w:name="_Toc179714297"/>
      <w:bookmarkStart w:id="94" w:name="_Toc102227318"/>
      <w:bookmarkStart w:id="95" w:name="_Toc342913392"/>
      <w:r>
        <w:rPr>
          <w:rFonts w:hint="eastAsia" w:ascii="微软雅黑" w:hAnsi="微软雅黑" w:eastAsia="微软雅黑" w:cs="微软雅黑"/>
          <w:color w:val="000000" w:themeColor="text1"/>
          <w:sz w:val="24"/>
          <w:szCs w:val="24"/>
          <w14:textFill>
            <w14:solidFill>
              <w14:schemeClr w14:val="tx1"/>
            </w14:solidFill>
          </w14:textFill>
        </w:rPr>
        <w:t xml:space="preserve">    （三）竞争性磋商文件的解释</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（四）本竞争性磋商文件中，磋商小组根据与供应商进行磋商可能实质性变动的内容为竞争性磋商文件第二、三、六篇全部内容。</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（五）评审的依据为竞争性磋商文件和响应文件（含有效的书面承诺）。磋商小组判断响应文件对竞争性磋商文件的响应，仅基于响应文件本身而不靠外部证据。</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6" w:name="_Toc11241"/>
      <w:r>
        <w:rPr>
          <w:rFonts w:hint="eastAsia" w:ascii="微软雅黑" w:hAnsi="微软雅黑" w:eastAsia="微软雅黑" w:cs="微软雅黑"/>
          <w:color w:val="000000" w:themeColor="text1"/>
          <w:sz w:val="24"/>
          <w:szCs w:val="24"/>
          <w14:textFill>
            <w14:solidFill>
              <w14:schemeClr w14:val="tx1"/>
            </w14:solidFill>
          </w14:textFill>
        </w:rPr>
        <w:t>三、磋商要求</w:t>
      </w:r>
      <w:bookmarkEnd w:id="93"/>
      <w:bookmarkEnd w:id="94"/>
      <w:bookmarkEnd w:id="95"/>
      <w:bookmarkEnd w:id="96"/>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（一）响应文件</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2、响应文件组成</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本项目不接受联合体</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1.两个以上供应商可以组成一个联合体，以一个供应商的身份共同参与磋商。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2.以联合体形式参加磋商的，联合体各方均应满足供应商资格条件。联合体中有同类资质的供应商按照联合体分工承担相同工作的，应当按照资质等级较低的供应商确定资质等级。</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（四）修正错误</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（四）提交响应文件的份数和签署</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1、响应文件一式四份，其中正本一份，副本二份；</w:t>
      </w:r>
      <w:r>
        <w:rPr>
          <w:rFonts w:hint="eastAsia" w:ascii="微软雅黑" w:hAnsi="微软雅黑" w:eastAsia="微软雅黑" w:cs="微软雅黑"/>
          <w:b/>
          <w:bCs/>
          <w:color w:val="000000" w:themeColor="text1"/>
          <w:sz w:val="24"/>
          <w:szCs w:val="24"/>
          <w14:textFill>
            <w14:solidFill>
              <w14:schemeClr w14:val="tx1"/>
            </w14:solidFill>
          </w14:textFill>
        </w:rPr>
        <w:t>电子文档一份（正本签字盖章扫描件）</w:t>
      </w:r>
      <w:r>
        <w:rPr>
          <w:rFonts w:hint="eastAsia" w:ascii="微软雅黑" w:hAnsi="微软雅黑" w:eastAsia="微软雅黑" w:cs="微软雅黑"/>
          <w:color w:val="000000" w:themeColor="text1"/>
          <w:sz w:val="24"/>
          <w:szCs w:val="24"/>
          <w14:textFill>
            <w14:solidFill>
              <w14:schemeClr w14:val="tx1"/>
            </w14:solidFill>
          </w14:textFill>
        </w:rPr>
        <w:t>（电子文档内容应与纸质文件正本一致，如不一致以纸质文件正本为准。</w:t>
      </w:r>
      <w:r>
        <w:rPr>
          <w:rFonts w:hint="eastAsia" w:ascii="微软雅黑" w:hAnsi="微软雅黑" w:eastAsia="微软雅黑" w:cs="微软雅黑"/>
          <w:b/>
          <w:bCs/>
          <w:color w:val="000000" w:themeColor="text1"/>
          <w:sz w:val="24"/>
          <w:szCs w:val="24"/>
          <w14:textFill>
            <w14:solidFill>
              <w14:schemeClr w14:val="tx1"/>
            </w14:solidFill>
          </w14:textFill>
        </w:rPr>
        <w:t>推荐采用U盘为电子文档载体</w:t>
      </w:r>
      <w:r>
        <w:rPr>
          <w:rFonts w:hint="eastAsia" w:ascii="微软雅黑" w:hAnsi="微软雅黑" w:eastAsia="微软雅黑" w:cs="微软雅黑"/>
          <w:color w:val="000000" w:themeColor="text1"/>
          <w:sz w:val="24"/>
          <w:szCs w:val="24"/>
          <w14:textFill>
            <w14:solidFill>
              <w14:schemeClr w14:val="tx1"/>
            </w14:solidFill>
          </w14:textFill>
        </w:rPr>
        <w:t>）；副本可为正本的复印件，应与正本一致，如出现不一致情况以正本为准。</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在响应文件正本中，竞争性磋商文件第七篇响应文件编制要求中规定签字、盖章的地方必须按其规定签字、盖章。</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（五）响应文件的递交</w:t>
      </w:r>
    </w:p>
    <w:p>
      <w:pPr>
        <w:snapToGrid w:val="0"/>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响应文件</w:t>
      </w:r>
      <w:r>
        <w:rPr>
          <w:rFonts w:hint="eastAsia" w:ascii="微软雅黑" w:hAnsi="微软雅黑" w:eastAsia="微软雅黑" w:cs="微软雅黑"/>
          <w:color w:val="000000" w:themeColor="text1"/>
          <w:sz w:val="24"/>
          <w14:textFill>
            <w14:solidFill>
              <w14:schemeClr w14:val="tx1"/>
            </w14:solidFill>
          </w14:textFill>
        </w:rPr>
        <w:t>的正本、副本均应密封送达</w:t>
      </w:r>
      <w:r>
        <w:rPr>
          <w:rFonts w:hint="eastAsia" w:ascii="微软雅黑" w:hAnsi="微软雅黑" w:eastAsia="微软雅黑" w:cs="微软雅黑"/>
          <w:color w:val="000000" w:themeColor="text1"/>
          <w:sz w:val="24"/>
          <w:szCs w:val="24"/>
          <w14:textFill>
            <w14:solidFill>
              <w14:schemeClr w14:val="tx1"/>
            </w14:solidFill>
          </w14:textFill>
        </w:rPr>
        <w:t>递交响应文件地点</w:t>
      </w:r>
      <w:r>
        <w:rPr>
          <w:rFonts w:hint="eastAsia" w:ascii="微软雅黑" w:hAnsi="微软雅黑" w:eastAsia="微软雅黑" w:cs="微软雅黑"/>
          <w:color w:val="000000" w:themeColor="text1"/>
          <w:sz w:val="24"/>
          <w14:textFill>
            <w14:solidFill>
              <w14:schemeClr w14:val="tx1"/>
            </w14:solidFill>
          </w14:textFill>
        </w:rPr>
        <w:t>，应在封套上注明项目名称、供应商名称。若正本、副本以及电子文档分别进行密封的，还应在封套上注明“正本”、“副本”、“电子文档”字样。</w:t>
      </w:r>
    </w:p>
    <w:p>
      <w:pPr>
        <w:snapToGrid w:val="0"/>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2、封套的封口处应加盖供应商公章或由法定代表人授权代表签字。</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3、如果未按上述规定进行密封，采购代理机构对响应文件误投、丢失或提前拆封不负责任。</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（六）供应商参与人员</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各个供应商应当派1-2名代表参与磋商，至少1人应为法定代表人或具有法定代表人授权委托书的授权代表。</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7" w:name="_Toc31612"/>
      <w:r>
        <w:rPr>
          <w:rFonts w:hint="eastAsia" w:ascii="微软雅黑" w:hAnsi="微软雅黑" w:eastAsia="微软雅黑" w:cs="微软雅黑"/>
          <w:color w:val="000000" w:themeColor="text1"/>
          <w:sz w:val="24"/>
          <w:szCs w:val="24"/>
          <w14:textFill>
            <w14:solidFill>
              <w14:schemeClr w14:val="tx1"/>
            </w14:solidFill>
          </w14:textFill>
        </w:rPr>
        <w:t>四、成交供应商的确认和变更</w:t>
      </w:r>
      <w:bookmarkEnd w:id="97"/>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（一）成交供应商的确认</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（二）成交供应商的变更</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8" w:name="_Toc342913395"/>
      <w:bookmarkStart w:id="99" w:name="_Toc102227321"/>
      <w:bookmarkStart w:id="100" w:name="_Toc32436"/>
      <w:r>
        <w:rPr>
          <w:rFonts w:hint="eastAsia" w:ascii="微软雅黑" w:hAnsi="微软雅黑" w:eastAsia="微软雅黑" w:cs="微软雅黑"/>
          <w:color w:val="000000" w:themeColor="text1"/>
          <w:sz w:val="24"/>
          <w:szCs w:val="24"/>
          <w14:textFill>
            <w14:solidFill>
              <w14:schemeClr w14:val="tx1"/>
            </w14:solidFill>
          </w14:textFill>
        </w:rPr>
        <w:t>五、成交通知</w:t>
      </w:r>
      <w:bookmarkEnd w:id="98"/>
      <w:bookmarkEnd w:id="99"/>
      <w:bookmarkEnd w:id="100"/>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（一）成交供应商确定后，采购代理机构将在重庆市生态环境局政府公众信息网站（http://sthjj.cq.gov.cn）上发布成交结果公告。</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（三）《成交通知书》将作为签订合同的依据。</w:t>
      </w:r>
    </w:p>
    <w:p>
      <w:pPr>
        <w:spacing w:line="400" w:lineRule="exact"/>
        <w:ind w:firstLine="48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（四）如有供应商对成交结果提出质疑的，在质疑处理完毕后发出成交通知书。</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1" w:name="_Toc19047"/>
      <w:r>
        <w:rPr>
          <w:rFonts w:hint="eastAsia" w:ascii="微软雅黑" w:hAnsi="微软雅黑" w:eastAsia="微软雅黑" w:cs="微软雅黑"/>
          <w:color w:val="000000" w:themeColor="text1"/>
          <w:sz w:val="24"/>
          <w:szCs w:val="24"/>
          <w14:textFill>
            <w14:solidFill>
              <w14:schemeClr w14:val="tx1"/>
            </w14:solidFill>
          </w14:textFill>
        </w:rPr>
        <w:t>六、关于质疑和投诉</w:t>
      </w:r>
      <w:bookmarkEnd w:id="101"/>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供应商认为采购文件、采购过程和成交结果使自己的权益收到伤害的，可向采购人或采购代理机构以书面形式提出质疑。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提出质疑的应当是参与所质疑项目采购活动的供应商。 </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1.质疑时限、内容</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1.2供应商提出质疑应当提交质疑函和必要的证明材料，质疑函应当包括下列内容：</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1.2.1供应商的姓名或者名称、地址、邮编、联系人及联系电话；</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1.2.2质疑项目的名称、项目号以及磋商项目编号；</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1.2.3具体、明确的质疑事项和与质疑事项相关的请求；</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1.2.4事实依据；</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1.2.5必要的法律依据；</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1.2.6提出质疑的日期；</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1.2.7营业执照（或事业单位法人证书，或个体工商户营业执照或有效的自然人身份证明）复印件；</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2.质疑答复</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3.其他</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3.2质疑函范本可在财政部门户网站和中国政府采购网下载。</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2" w:name="_Toc9639"/>
      <w:r>
        <w:rPr>
          <w:rFonts w:hint="eastAsia" w:ascii="微软雅黑" w:hAnsi="微软雅黑" w:eastAsia="微软雅黑" w:cs="微软雅黑"/>
          <w:color w:val="000000" w:themeColor="text1"/>
          <w:sz w:val="24"/>
          <w:szCs w:val="24"/>
          <w14:textFill>
            <w14:solidFill>
              <w14:schemeClr w14:val="tx1"/>
            </w14:solidFill>
          </w14:textFill>
        </w:rPr>
        <w:t>七、采购代理服务费</w:t>
      </w:r>
      <w:bookmarkEnd w:id="102"/>
    </w:p>
    <w:p>
      <w:pPr>
        <w:spacing w:line="400" w:lineRule="exact"/>
        <w:ind w:firstLine="48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1供应商成交</w:t>
      </w:r>
      <w:r>
        <w:rPr>
          <w:rFonts w:hint="eastAsia" w:ascii="微软雅黑" w:hAnsi="微软雅黑" w:eastAsia="微软雅黑" w:cs="微软雅黑"/>
          <w:color w:val="000000" w:themeColor="text1"/>
          <w:sz w:val="24"/>
          <w14:textFill>
            <w14:solidFill>
              <w14:schemeClr w14:val="tx1"/>
            </w14:solidFill>
          </w14:textFill>
        </w:rPr>
        <w:t>后向采购代理机构缴纳招标代理服务费，招标代理服务费的收取标准按照以下标准执行（本项目代理服务费不足6000元按6000元收取）: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pPr>
              <w:spacing w:line="240" w:lineRule="atLeast"/>
              <w:jc w:val="righ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微软雅黑" w:hAnsi="微软雅黑" w:eastAsia="微软雅黑" w:cs="微软雅黑"/>
                <w:color w:val="000000" w:themeColor="text1"/>
                <w:sz w:val="21"/>
                <w:szCs w:val="21"/>
                <w14:textFill>
                  <w14:solidFill>
                    <w14:schemeClr w14:val="tx1"/>
                  </w14:solidFill>
                </w14:textFill>
              </w:rPr>
              <w:t>招标类型</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中标金额（万元）</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货物招标</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服务招标</w:t>
            </w:r>
          </w:p>
        </w:tc>
        <w:tc>
          <w:tcPr>
            <w:tcW w:w="2102" w:type="dxa"/>
            <w:vAlign w:val="center"/>
          </w:tcPr>
          <w:p>
            <w:pPr>
              <w:pStyle w:val="206"/>
              <w:widowControl w:val="0"/>
              <w:pBdr>
                <w:left w:val="none" w:color="auto" w:sz="0" w:space="0"/>
                <w:right w:val="none" w:color="auto" w:sz="0" w:space="0"/>
              </w:pBdr>
              <w:spacing w:before="0" w:beforeAutospacing="0" w:after="0" w:afterAutospacing="0" w:line="240" w:lineRule="atLeast"/>
              <w:rPr>
                <w:rFonts w:ascii="微软雅黑" w:hAnsi="微软雅黑" w:eastAsia="微软雅黑" w:cs="微软雅黑"/>
                <w:color w:val="000000" w:themeColor="text1"/>
                <w:kern w:val="2"/>
                <w:sz w:val="21"/>
                <w:szCs w:val="21"/>
                <w14:textFill>
                  <w14:solidFill>
                    <w14:schemeClr w14:val="tx1"/>
                  </w14:solidFill>
                </w14:textFill>
              </w:rPr>
            </w:pPr>
            <w:r>
              <w:rPr>
                <w:rFonts w:hint="eastAsia" w:ascii="微软雅黑" w:hAnsi="微软雅黑" w:eastAsia="微软雅黑" w:cs="微软雅黑"/>
                <w:color w:val="000000" w:themeColor="text1"/>
                <w:kern w:val="2"/>
                <w:sz w:val="2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100以下</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100-200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0.8%</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200-500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1.08%</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0.78%</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500-1000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0.76%</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0.43%</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1000-5000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0.45%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0.23%</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5000-10000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0.23%</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0.09%</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10000-100000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100000以上</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r>
    </w:tbl>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注：招标代理服务收费按差额定率累进法计算。例如：某服务招标代理业务中标金额为500万元，计算招标代理服务收费额如下：</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100万元×1.5%=1.5万元</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（200-100）万元×0.8%=0.8万元</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（500-200）×0.78%=2.34万元</w:t>
      </w:r>
    </w:p>
    <w:p>
      <w:pPr>
        <w:spacing w:line="400" w:lineRule="exact"/>
        <w:ind w:firstLine="48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合计收费=1.5+0.8+2.34=4.64（万元）</w:t>
      </w:r>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2.服务费以转账、电汇等形式支付。</w:t>
      </w:r>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3.采购代理服务费缴纳账户信息：</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bookmarkStart w:id="103" w:name="_Toc102227322"/>
      <w:bookmarkStart w:id="104" w:name="_Toc342913396"/>
      <w:bookmarkStart w:id="105" w:name="_Toc12789059"/>
      <w:bookmarkStart w:id="106" w:name="_Toc11641055"/>
      <w:r>
        <w:rPr>
          <w:rFonts w:hint="eastAsia" w:ascii="微软雅黑" w:hAnsi="微软雅黑" w:eastAsia="微软雅黑" w:cs="微软雅黑"/>
          <w:b/>
          <w:bCs/>
          <w:color w:val="000000" w:themeColor="text1"/>
          <w:sz w:val="24"/>
          <w:szCs w:val="24"/>
          <w14:textFill>
            <w14:solidFill>
              <w14:schemeClr w14:val="tx1"/>
            </w14:solidFill>
          </w14:textFill>
        </w:rPr>
        <w:t>户  名：重庆鼎创招标代理有限公司</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开户行：招商银行股份有限公司重庆观音桥支行</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账  号：123911157910105</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7" w:name="_Toc23946"/>
      <w:r>
        <w:rPr>
          <w:rFonts w:hint="eastAsia" w:ascii="微软雅黑" w:hAnsi="微软雅黑" w:eastAsia="微软雅黑" w:cs="微软雅黑"/>
          <w:color w:val="000000" w:themeColor="text1"/>
          <w:sz w:val="24"/>
          <w:szCs w:val="24"/>
          <w14:textFill>
            <w14:solidFill>
              <w14:schemeClr w14:val="tx1"/>
            </w14:solidFill>
          </w14:textFill>
        </w:rPr>
        <w:t>八、签订</w:t>
      </w:r>
      <w:bookmarkEnd w:id="103"/>
      <w:r>
        <w:rPr>
          <w:rFonts w:hint="eastAsia" w:ascii="微软雅黑" w:hAnsi="微软雅黑" w:eastAsia="微软雅黑" w:cs="微软雅黑"/>
          <w:color w:val="000000" w:themeColor="text1"/>
          <w:sz w:val="24"/>
          <w:szCs w:val="24"/>
          <w14:textFill>
            <w14:solidFill>
              <w14:schemeClr w14:val="tx1"/>
            </w14:solidFill>
          </w14:textFill>
        </w:rPr>
        <w:t>合同</w:t>
      </w:r>
      <w:bookmarkEnd w:id="104"/>
      <w:bookmarkEnd w:id="107"/>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（二）竞争性磋商文件、供应商的响应文件及澄清文件等，均为签订政府采购合同的依据。</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w:t>
      </w:r>
      <w:r>
        <w:rPr>
          <w:rFonts w:hint="eastAsia" w:ascii="微软雅黑" w:hAnsi="微软雅黑" w:eastAsia="微软雅黑" w:cs="微软雅黑"/>
          <w:color w:val="000000" w:themeColor="text1"/>
          <w:sz w:val="24"/>
          <w14:textFill>
            <w14:solidFill>
              <w14:schemeClr w14:val="tx1"/>
            </w14:solidFill>
          </w14:textFill>
        </w:rPr>
        <w:t>应按磋商文件及合同的约定无息退还其履约保证金。</w:t>
      </w:r>
    </w:p>
    <w:p>
      <w:pPr>
        <w:pStyle w:val="5"/>
        <w:spacing w:before="0" w:after="0" w:line="400" w:lineRule="exact"/>
        <w:rPr>
          <w:rFonts w:ascii="微软雅黑" w:hAnsi="微软雅黑" w:eastAsia="微软雅黑" w:cs="微软雅黑"/>
          <w:color w:val="000000" w:themeColor="text1"/>
          <w:sz w:val="24"/>
          <w14:textFill>
            <w14:solidFill>
              <w14:schemeClr w14:val="tx1"/>
            </w14:solidFill>
          </w14:textFill>
        </w:rPr>
      </w:pPr>
      <w:bookmarkStart w:id="108" w:name="_Toc14780"/>
      <w:bookmarkStart w:id="109" w:name="_Toc2790"/>
      <w:r>
        <w:rPr>
          <w:rFonts w:hint="eastAsia" w:ascii="微软雅黑" w:hAnsi="微软雅黑" w:eastAsia="微软雅黑" w:cs="微软雅黑"/>
          <w:color w:val="000000" w:themeColor="text1"/>
          <w:sz w:val="24"/>
          <w:szCs w:val="24"/>
          <w14:textFill>
            <w14:solidFill>
              <w14:schemeClr w14:val="tx1"/>
            </w14:solidFill>
          </w14:textFill>
        </w:rPr>
        <w:t>九、</w:t>
      </w:r>
      <w:r>
        <w:rPr>
          <w:rFonts w:hint="eastAsia" w:ascii="微软雅黑" w:hAnsi="微软雅黑" w:eastAsia="微软雅黑" w:cs="微软雅黑"/>
          <w:color w:val="000000" w:themeColor="text1"/>
          <w:sz w:val="24"/>
          <w14:textFill>
            <w14:solidFill>
              <w14:schemeClr w14:val="tx1"/>
            </w14:solidFill>
          </w14:textFill>
        </w:rPr>
        <w:t>政府采购信用融资</w:t>
      </w:r>
      <w:bookmarkEnd w:id="108"/>
      <w:bookmarkEnd w:id="109"/>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参与重庆市政府采购活动，成为成交供应商，并与采购人签订政府采购合同后，可按照重庆市政府采购支持中小企业信用融资办法的规定，向开展政府采购信用融资业务的银行申请贷款。具体内容详见重庆政府采购“信用融资”信息专栏。</w:t>
      </w:r>
    </w:p>
    <w:bookmarkEnd w:id="105"/>
    <w:bookmarkEnd w:id="106"/>
    <w:p>
      <w:pPr>
        <w:rPr>
          <w:rFonts w:ascii="微软雅黑" w:hAnsi="微软雅黑" w:eastAsia="微软雅黑" w:cs="微软雅黑"/>
          <w:color w:val="000000" w:themeColor="text1"/>
          <w14:textFill>
            <w14:solidFill>
              <w14:schemeClr w14:val="tx1"/>
            </w14:solidFill>
          </w14:textFill>
        </w:rPr>
        <w:sectPr>
          <w:footerReference r:id="rId10" w:type="default"/>
          <w:footerReference r:id="rId11" w:type="even"/>
          <w:pgSz w:w="11907" w:h="16840"/>
          <w:pgMar w:top="1134" w:right="1191" w:bottom="1134" w:left="1304" w:header="964" w:footer="992" w:gutter="0"/>
          <w:pgNumType w:fmt="numberInDash"/>
          <w:cols w:space="720" w:num="1"/>
          <w:rtlGutter w:val="1"/>
          <w:docGrid w:linePitch="312" w:charSpace="0"/>
        </w:sectPr>
      </w:pPr>
    </w:p>
    <w:p>
      <w:pPr>
        <w:pStyle w:val="4"/>
        <w:spacing w:before="0" w:after="0" w:line="360" w:lineRule="auto"/>
        <w:jc w:val="center"/>
        <w:rPr>
          <w:rFonts w:ascii="微软雅黑" w:hAnsi="微软雅黑" w:eastAsia="微软雅黑" w:cs="微软雅黑"/>
          <w:color w:val="000000" w:themeColor="text1"/>
          <w:sz w:val="36"/>
          <w:szCs w:val="30"/>
          <w14:textFill>
            <w14:solidFill>
              <w14:schemeClr w14:val="tx1"/>
            </w14:solidFill>
          </w14:textFill>
        </w:rPr>
      </w:pPr>
      <w:bookmarkStart w:id="110" w:name="_Toc6917"/>
      <w:bookmarkStart w:id="111" w:name="_Toc11764"/>
      <w:bookmarkStart w:id="112" w:name="_Toc303945820"/>
      <w:bookmarkStart w:id="113" w:name="_Toc148265480"/>
      <w:bookmarkStart w:id="114" w:name="_Toc12789072"/>
      <w:r>
        <w:rPr>
          <w:rFonts w:hint="eastAsia" w:ascii="微软雅黑" w:hAnsi="微软雅黑" w:eastAsia="微软雅黑" w:cs="微软雅黑"/>
          <w:color w:val="000000" w:themeColor="text1"/>
          <w:sz w:val="36"/>
          <w:szCs w:val="30"/>
          <w14:textFill>
            <w14:solidFill>
              <w14:schemeClr w14:val="tx1"/>
            </w14:solidFill>
          </w14:textFill>
        </w:rPr>
        <w:t>第六篇  合同草案条款</w:t>
      </w:r>
      <w:bookmarkEnd w:id="110"/>
      <w:r>
        <w:rPr>
          <w:rFonts w:hint="eastAsia" w:ascii="微软雅黑" w:hAnsi="微软雅黑" w:eastAsia="微软雅黑" w:cs="微软雅黑"/>
          <w:color w:val="000000" w:themeColor="text1"/>
          <w:sz w:val="36"/>
          <w:szCs w:val="30"/>
          <w14:textFill>
            <w14:solidFill>
              <w14:schemeClr w14:val="tx1"/>
            </w14:solidFill>
          </w14:textFill>
        </w:rPr>
        <w:t>(参考版本)</w:t>
      </w:r>
      <w:bookmarkEnd w:id="111"/>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1、定义</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1.1甲方（需方）即采购人，是指通过竞争性磋商采购，接受合同货物及服务的各级国家机关、事业单位和团体组织。</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1.2乙方（供方）即成交供应商，是指成交后提供合同货物和服务的自然人、法人及其他组织。</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1.3合同是指由甲乙双方按照竞争性磋商文件和响应文件的实质性内容，通过协商一致达成的书面协议。</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1.4合同价格指以成交价格为依据，在供方全面履行合同义务后，需方（或财政部门）应支付给供方的金额。</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1.5技术资料是指合同货物及其相关的设计、制造、监造、检验、验收等文件（包括图纸、各种文字说明、标准）。</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2、货物内容（合同内容）</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合同包括以下内容：货物名称、型号规格、技术参数、数量（单位）等内容。</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3、合同价格</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3.1合同价格即合同总价。</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3.3合同货物单价为不变价。</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4、转包或分包</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4.1本合同范围的货物，应由乙方直接供应，不得转让他人供应；</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4.2非经甲方书面同意，乙方不得将本合同范围的货物全部或部分分包给他人供应；</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4.3如有转让和未经甲方同意的分包行为，甲方有权解除合同，没收履约保证金并追究乙方的违约责任。</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5、质量保证及售后服务</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5.1乙方应按竞争性磋商文件规定的货物性能、技术要求、质量标准向甲方提供未经使用的全新产品。</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5.2.1更换：由乙方承担所发生的全部费用。</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5.2.2贬值处理：由甲乙双方合议定价。</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5.3 如在使用过程中发生质量问题，乙方应同本项目“第三篇  采购商务需求”对质量保证及售后服务内容的约定。</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5.4在质保期内，乙方应对货物出现的质量及安全问题负责处理解决并承担一切费用。</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6、付款</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6.1本合同使用货币币制如未作特别说明均为人民币。</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6.2付款方式：银行转账、现金支票。</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6.3付款方法：同本项目“第三篇  采购商务需求”中关于付款方式的约定。</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7、检查验收</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7.1供方应随货物提供合格证和质量证明文件，如是国外进口的货物还须提供入关证明。</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7.2货物验收</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7.3货物验收报告应由需方、供方经办人签字，并加盖双方公章，以此作为支付凭据。</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8、索赔</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8.2根据货物的疵劣和受损程度以及需方遭受损失的金额，经双方同意降低货物价格。</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9、知识产权</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9.1</w:t>
      </w:r>
      <w:r>
        <w:rPr>
          <w:rFonts w:hint="eastAsia" w:ascii="微软雅黑" w:hAnsi="微软雅黑" w:eastAsia="微软雅黑" w:cs="微软雅黑"/>
          <w:color w:val="000000" w:themeColor="text1"/>
          <w:sz w:val="24"/>
          <w:szCs w:val="24"/>
          <w14:textFill>
            <w14:solidFill>
              <w14:schemeClr w14:val="tx1"/>
            </w14:solidFill>
          </w14:textFill>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9.2</w:t>
      </w:r>
      <w:r>
        <w:rPr>
          <w:rFonts w:hint="eastAsia" w:ascii="微软雅黑" w:hAnsi="微软雅黑" w:eastAsia="微软雅黑" w:cs="微软雅黑"/>
          <w:color w:val="000000" w:themeColor="text1"/>
          <w:sz w:val="24"/>
          <w:szCs w:val="24"/>
          <w14:textFill>
            <w14:solidFill>
              <w14:schemeClr w14:val="tx1"/>
            </w14:solidFill>
          </w14:textFill>
        </w:rPr>
        <w:t>若涉及软件开发等服务类项目知识产权的，知识产权归采购人所有。</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10、合同争议的解决</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10.1当事人友好协商达成一致</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10.2在60天内当事人协商不能达成协议的，可提请采购人当地仲裁机构仲裁。</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11、违约责任</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按《中华人民共和国民法典》、《中华人民共和国政府采购法》有关条款，或由供需双方约定。</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12、合同生效及其它</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12.1合同生效及其效力应符合《中华人民共和国民法典》有关规定。</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12.2合同应经当事人法定代表人或委托代理人签字，加盖双方合同专用章或公章。</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12.3合同所包括附件，是合同不可分割的一部分，具有同等法法律效力。</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12.4合同需提供担保的，按《中华人民共和国民法典》规定执行。</w:t>
      </w:r>
    </w:p>
    <w:p>
      <w:pPr>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12.5本合同条件未尽事宜依照《中华人民共和国民法典》，由供需双方共同协商确定。</w:t>
      </w:r>
    </w:p>
    <w:p>
      <w:pPr>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合同格式</w:t>
      </w:r>
      <w:bookmarkEnd w:id="112"/>
      <w:bookmarkEnd w:id="113"/>
      <w:r>
        <w:rPr>
          <w:rFonts w:hint="eastAsia" w:ascii="微软雅黑" w:hAnsi="微软雅黑" w:eastAsia="微软雅黑" w:cs="微软雅黑"/>
          <w:color w:val="000000" w:themeColor="text1"/>
          <w:sz w:val="24"/>
          <w14:textFill>
            <w14:solidFill>
              <w14:schemeClr w14:val="tx1"/>
            </w14:solidFill>
          </w14:textFill>
        </w:rPr>
        <w:t>（根据项目情况自拟）</w:t>
      </w:r>
    </w:p>
    <w:p>
      <w:pPr>
        <w:tabs>
          <w:tab w:val="left" w:pos="9000"/>
        </w:tabs>
        <w:spacing w:line="276" w:lineRule="auto"/>
        <w:rPr>
          <w:rFonts w:ascii="微软雅黑" w:hAnsi="微软雅黑" w:eastAsia="微软雅黑" w:cs="微软雅黑"/>
          <w:color w:val="000000" w:themeColor="text1"/>
          <w:sz w:val="21"/>
          <w:szCs w:val="21"/>
          <w14:textFill>
            <w14:solidFill>
              <w14:schemeClr w14:val="tx1"/>
            </w14:solidFill>
          </w14:textFill>
        </w:rPr>
      </w:pPr>
    </w:p>
    <w:p>
      <w:pPr>
        <w:spacing w:line="500" w:lineRule="exact"/>
        <w:jc w:val="center"/>
        <w:rPr>
          <w:rFonts w:ascii="微软雅黑" w:hAnsi="微软雅黑" w:eastAsia="微软雅黑" w:cs="微软雅黑"/>
          <w:b/>
          <w:color w:val="000000" w:themeColor="text1"/>
          <w:sz w:val="44"/>
          <w14:textFill>
            <w14:solidFill>
              <w14:schemeClr w14:val="tx1"/>
            </w14:solidFill>
          </w14:textFill>
        </w:rPr>
      </w:pPr>
      <w:r>
        <w:rPr>
          <w:rFonts w:hint="eastAsia" w:ascii="微软雅黑" w:hAnsi="微软雅黑" w:eastAsia="微软雅黑" w:cs="微软雅黑"/>
          <w:b/>
          <w:color w:val="000000" w:themeColor="text1"/>
          <w:sz w:val="44"/>
          <w14:textFill>
            <w14:solidFill>
              <w14:schemeClr w14:val="tx1"/>
            </w14:solidFill>
          </w14:textFill>
        </w:rPr>
        <w:t>重庆市政府采购合同（样本）</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bookmarkStart w:id="115" w:name="_Hlt41879464"/>
      <w:bookmarkEnd w:id="115"/>
      <w:r>
        <w:rPr>
          <w:rFonts w:hint="eastAsia" w:ascii="微软雅黑" w:hAnsi="微软雅黑" w:eastAsia="微软雅黑" w:cs="微软雅黑"/>
          <w:color w:val="000000" w:themeColor="text1"/>
          <w:sz w:val="24"/>
          <w:szCs w:val="24"/>
          <w14:textFill>
            <w14:solidFill>
              <w14:schemeClr w14:val="tx1"/>
            </w14:solidFill>
          </w14:textFill>
        </w:rPr>
        <w:t>（采购项目编号：     ）</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甲方（需方）：___________________________      计价单位：____________</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乙方（供方）：___________________________      计量单位：_____________</w:t>
      </w:r>
    </w:p>
    <w:p>
      <w:pPr>
        <w:snapToGrid w:val="0"/>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项目名称</w:t>
            </w: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pPr>
              <w:pStyle w:val="32"/>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1.采购文件及其补遗文件、响应文件和承诺是本合同不可分割的部分。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3.本合同一式__份，需方__份，供方__份，具同等法律效力。</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5"/>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pPr>
              <w:widowControl/>
              <w:spacing w:line="240" w:lineRule="atLeast"/>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bl>
    <w:p>
      <w:pPr>
        <w:snapToGrid w:val="0"/>
        <w:spacing w:line="400" w:lineRule="exact"/>
        <w:rPr>
          <w:rFonts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54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签约时间：  年   月   日                        签约地点：</w:t>
      </w:r>
    </w:p>
    <w:bookmarkEnd w:id="114"/>
    <w:p>
      <w:pPr>
        <w:pStyle w:val="4"/>
        <w:spacing w:before="0" w:after="0" w:line="360" w:lineRule="auto"/>
        <w:jc w:val="center"/>
        <w:rPr>
          <w:rFonts w:ascii="微软雅黑" w:hAnsi="微软雅黑" w:eastAsia="微软雅黑" w:cs="微软雅黑"/>
          <w:color w:val="000000" w:themeColor="text1"/>
          <w:sz w:val="36"/>
          <w:szCs w:val="30"/>
          <w14:textFill>
            <w14:solidFill>
              <w14:schemeClr w14:val="tx1"/>
            </w14:solidFill>
          </w14:textFill>
        </w:rPr>
      </w:pPr>
      <w:bookmarkStart w:id="116" w:name="_Toc1780"/>
      <w:bookmarkStart w:id="117" w:name="_Toc1237"/>
      <w:r>
        <w:rPr>
          <w:rFonts w:hint="eastAsia" w:ascii="微软雅黑" w:hAnsi="微软雅黑" w:eastAsia="微软雅黑" w:cs="微软雅黑"/>
          <w:color w:val="000000" w:themeColor="text1"/>
          <w:sz w:val="36"/>
          <w:szCs w:val="30"/>
          <w14:textFill>
            <w14:solidFill>
              <w14:schemeClr w14:val="tx1"/>
            </w14:solidFill>
          </w14:textFill>
        </w:rPr>
        <w:t>第七篇  响应文件编制要求</w:t>
      </w:r>
      <w:bookmarkEnd w:id="116"/>
      <w:bookmarkEnd w:id="117"/>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一、经济部分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（一）竞争性磋商报价函</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（二）分项报价明细表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（一）服务方案</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三、商务部分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（一）商务要求响应情况：服务时间、地点及验收方式等</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（三）其它优惠服务承诺</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四、资格条件及其他</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（一）营业执照（副本）或事业单位法人证书（副本）复印件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（二）组织机构代码证复印件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（三）法定代表人身份证明书（格式）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（四）法定代表人授权委托书（格式）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（五）2019或2020年度财务状况报告（表）复印件，本年度新成立或成立不满一年的组织和自然人无法提供财务状况报告（表）的，可提供银行出具的资信证明复印件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（六）书面声明（格式）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（七）税务登记证（副本）复印件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（八）社会保险缴纳证明材料</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（九）特定资格条件证书或证明文件</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说明：供应商按“多证合一”登记制度办理营业执照的，组织机构代码证、税务登记证（副本）和社会保险登记证以供应商所提供的营业执照（副本）复印件为准。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五、其他应提供的资料</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（一）供应商中小微企业声明函、监狱企业证明文件、残疾人福利性单位声明函</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（二）联合体共同联合协议（如果有）</w:t>
      </w:r>
    </w:p>
    <w:p>
      <w:pPr>
        <w:spacing w:line="440" w:lineRule="exact"/>
        <w:ind w:firstLine="480" w:firstLineChars="200"/>
        <w:rPr>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（三）其他资料</w:t>
      </w:r>
    </w:p>
    <w:p>
      <w:pPr>
        <w:snapToGrid w:val="0"/>
        <w:spacing w:line="360" w:lineRule="auto"/>
        <w:ind w:firstLine="480" w:firstLineChars="200"/>
        <w:rPr>
          <w:rFonts w:ascii="微软雅黑" w:hAnsi="微软雅黑" w:eastAsia="微软雅黑" w:cs="微软雅黑"/>
          <w:color w:val="000000" w:themeColor="text1"/>
          <w:sz w:val="24"/>
          <w:szCs w:val="24"/>
          <w:bdr w:val="single" w:color="auto" w:sz="4" w:space="0"/>
          <w14:textFill>
            <w14:solidFill>
              <w14:schemeClr w14:val="tx1"/>
            </w14:solidFill>
          </w14:textFill>
        </w:rPr>
        <w:sectPr>
          <w:headerReference r:id="rId12" w:type="default"/>
          <w:footerReference r:id="rId13" w:type="default"/>
          <w:pgSz w:w="11907" w:h="16840"/>
          <w:pgMar w:top="1134" w:right="1191" w:bottom="1134" w:left="1304" w:header="851" w:footer="992" w:gutter="0"/>
          <w:pgNumType w:fmt="numberInDash"/>
          <w:cols w:space="720" w:num="1"/>
          <w:rtlGutter w:val="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其他与项目有关的资料</w:t>
      </w: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118" w:name="_Toc313008356"/>
      <w:bookmarkStart w:id="119" w:name="_Toc499576264"/>
      <w:bookmarkStart w:id="120" w:name="_Toc10238"/>
      <w:bookmarkStart w:id="121" w:name="_Toc313888360"/>
      <w:bookmarkStart w:id="122" w:name="_Toc342913419"/>
      <w:bookmarkStart w:id="123" w:name="_Toc15299"/>
      <w:bookmarkStart w:id="124" w:name="_Toc283382454"/>
      <w:bookmarkStart w:id="125" w:name="_Toc12789073"/>
      <w:r>
        <w:rPr>
          <w:rFonts w:hint="eastAsia" w:ascii="微软雅黑" w:hAnsi="微软雅黑" w:eastAsia="微软雅黑" w:cs="微软雅黑"/>
          <w:color w:val="000000" w:themeColor="text1"/>
          <w:sz w:val="24"/>
          <w:szCs w:val="24"/>
          <w14:textFill>
            <w14:solidFill>
              <w14:schemeClr w14:val="tx1"/>
            </w14:solidFill>
          </w14:textFill>
        </w:rPr>
        <w:t>一、经济部分</w:t>
      </w:r>
      <w:bookmarkEnd w:id="118"/>
      <w:bookmarkEnd w:id="119"/>
      <w:bookmarkEnd w:id="120"/>
      <w:bookmarkEnd w:id="121"/>
      <w:bookmarkEnd w:id="122"/>
      <w:bookmarkEnd w:id="123"/>
    </w:p>
    <w:bookmarkEnd w:id="124"/>
    <w:bookmarkEnd w:id="125"/>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（一）竞争性磋商报价函</w:t>
      </w:r>
    </w:p>
    <w:p>
      <w:pPr>
        <w:tabs>
          <w:tab w:val="left" w:pos="6300"/>
        </w:tabs>
        <w:snapToGrid w:val="0"/>
        <w:spacing w:line="312" w:lineRule="auto"/>
        <w:jc w:val="center"/>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竞争性磋商报价函</w:t>
      </w:r>
    </w:p>
    <w:p>
      <w:pPr>
        <w:tabs>
          <w:tab w:val="left" w:pos="6300"/>
        </w:tabs>
        <w:snapToGrid w:val="0"/>
        <w:spacing w:line="312"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szCs w:val="24"/>
          <w14:textFill>
            <w14:solidFill>
              <w14:schemeClr w14:val="tx1"/>
            </w14:solidFill>
          </w14:textFill>
        </w:rPr>
        <w:t>：</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我方收到____________________________（项目名称）的竞争性磋商文件，经详细研究，决定参加该项目的磋商。</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1、愿意按照竞争性磋商文件中的一切要求，提供本项目的所需服务，初始报价为人民币大写：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元整；人民币小写：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元。以我公司最后报价为准。</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2、我方现提交的响应文件为：响应文件正本</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份，副本</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份，电子文档</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份。</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3、我方承诺：本次磋商的有效期为90天。</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7、我方同意按竞争性磋商文件规定，交纳竞争性磋商文件要求的磋商保证金。如果我方成为成交供应商，保证在接到成交通知书后，向采购代理机构缴纳竞争性磋商文件规定的采购代理服务费。</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w:t>
      </w:r>
      <w:r>
        <w:rPr>
          <w:rFonts w:hint="eastAsia" w:ascii="微软雅黑" w:hAnsi="微软雅黑" w:eastAsia="微软雅黑" w:cs="微软雅黑"/>
          <w:color w:val="000000" w:themeColor="text1"/>
          <w:sz w:val="24"/>
          <w:szCs w:val="28"/>
          <w14:textFill>
            <w14:solidFill>
              <w14:schemeClr w14:val="tx1"/>
            </w14:solidFill>
          </w14:textFill>
        </w:rPr>
        <w:t>我方未</w:t>
      </w:r>
      <w:r>
        <w:rPr>
          <w:rFonts w:hint="eastAsia" w:ascii="微软雅黑" w:hAnsi="微软雅黑" w:eastAsia="微软雅黑" w:cs="微软雅黑"/>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供应商（公章）：</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地址：  </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电话：                                             传真：</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网址：                                             邮编：</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p>
    <w:p>
      <w:pPr>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rtlGutter w:val="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 xml:space="preserve">                                                  年   月   日</w:t>
      </w:r>
    </w:p>
    <w:p>
      <w:pPr>
        <w:tabs>
          <w:tab w:val="left" w:pos="6300"/>
        </w:tabs>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（二）分项报价明细表</w:t>
      </w:r>
    </w:p>
    <w:p>
      <w:pPr>
        <w:tabs>
          <w:tab w:val="left" w:pos="6300"/>
        </w:tabs>
        <w:snapToGrid w:val="0"/>
        <w:spacing w:line="480" w:lineRule="exact"/>
        <w:jc w:val="center"/>
        <w:rPr>
          <w:rFonts w:ascii="微软雅黑" w:hAnsi="微软雅黑" w:eastAsia="微软雅黑" w:cs="微软雅黑"/>
          <w:b/>
          <w:bCs/>
          <w:color w:val="000000" w:themeColor="text1"/>
          <w:szCs w:val="28"/>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分项报价明细表</w:t>
      </w:r>
    </w:p>
    <w:p>
      <w:pPr>
        <w:tabs>
          <w:tab w:val="left" w:pos="6300"/>
        </w:tabs>
        <w:snapToGrid w:val="0"/>
        <w:spacing w:line="360" w:lineRule="auto"/>
        <w:ind w:firstLine="570"/>
        <w:rPr>
          <w:rFonts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项目编号：                                           单位：人民币/元</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序号</w:t>
            </w:r>
          </w:p>
        </w:tc>
        <w:tc>
          <w:tcPr>
            <w:tcW w:w="1557"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名称</w:t>
            </w:r>
          </w:p>
        </w:tc>
        <w:tc>
          <w:tcPr>
            <w:tcW w:w="3127"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相关信息</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数量</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单价</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56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其他费用</w:t>
            </w: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总计</w:t>
            </w:r>
          </w:p>
        </w:tc>
        <w:tc>
          <w:tcPr>
            <w:tcW w:w="6832" w:type="dxa"/>
            <w:gridSpan w:val="4"/>
          </w:tcPr>
          <w:p>
            <w:pPr>
              <w:rPr>
                <w:rFonts w:ascii="微软雅黑" w:hAnsi="微软雅黑" w:eastAsia="微软雅黑" w:cs="微软雅黑"/>
                <w:color w:val="000000" w:themeColor="text1"/>
                <w:sz w:val="21"/>
                <w:szCs w:val="21"/>
                <w14:textFill>
                  <w14:solidFill>
                    <w14:schemeClr w14:val="tx1"/>
                  </w14:solidFill>
                </w14:textFill>
              </w:rPr>
            </w:pPr>
          </w:p>
        </w:tc>
      </w:tr>
    </w:tbl>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p>
    <w:p>
      <w:pPr>
        <w:pStyle w:val="37"/>
        <w:spacing w:line="360" w:lineRule="auto"/>
        <w:rPr>
          <w:rFonts w:ascii="微软雅黑" w:hAnsi="微软雅黑" w:eastAsia="微软雅黑" w:cs="微软雅黑"/>
          <w:color w:val="000000" w:themeColor="text1"/>
          <w:sz w:val="24"/>
          <w:szCs w:val="24"/>
          <w14:textFill>
            <w14:solidFill>
              <w14:schemeClr w14:val="tx1"/>
            </w14:solidFill>
          </w14:textFill>
        </w:rPr>
      </w:pPr>
    </w:p>
    <w:p>
      <w:pPr>
        <w:pStyle w:val="37"/>
        <w:spacing w:line="360" w:lineRule="auto"/>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pPr>
        <w:spacing w:line="360" w:lineRule="auto"/>
        <w:ind w:right="480" w:firstLine="6480" w:firstLineChars="27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pPr>
        <w:snapToGrid w:val="0"/>
        <w:spacing w:line="360" w:lineRule="auto"/>
        <w:ind w:firstLine="480" w:firstLineChars="200"/>
        <w:rPr>
          <w:rFonts w:ascii="微软雅黑" w:hAnsi="微软雅黑" w:eastAsia="微软雅黑" w:cs="微软雅黑"/>
          <w:color w:val="000000" w:themeColor="text1"/>
          <w:sz w:val="24"/>
          <w:szCs w:val="24"/>
          <w:bdr w:val="single" w:color="auto" w:sz="4" w:space="0"/>
          <w14:textFill>
            <w14:solidFill>
              <w14:schemeClr w14:val="tx1"/>
            </w14:solidFill>
          </w14:textFill>
        </w:rPr>
        <w:sectPr>
          <w:headerReference r:id="rId14" w:type="default"/>
          <w:pgSz w:w="11907" w:h="16840"/>
          <w:pgMar w:top="1134" w:right="1191" w:bottom="1134" w:left="1304" w:header="851" w:footer="992" w:gutter="0"/>
          <w:pgNumType w:fmt="numberInDash"/>
          <w:cols w:space="720" w:num="1"/>
          <w:rtlGutter w:val="1"/>
          <w:docGrid w:linePitch="380" w:charSpace="-5735"/>
        </w:sectPr>
      </w:pP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126" w:name="_Toc342913420"/>
      <w:bookmarkStart w:id="127" w:name="_Toc499576265"/>
      <w:bookmarkStart w:id="128" w:name="_Toc28589"/>
      <w:bookmarkStart w:id="129" w:name="_Toc313008357"/>
      <w:bookmarkStart w:id="130" w:name="_Toc12606"/>
      <w:bookmarkStart w:id="131" w:name="_Toc313888361"/>
      <w:r>
        <w:rPr>
          <w:rFonts w:hint="eastAsia" w:ascii="微软雅黑" w:hAnsi="微软雅黑" w:eastAsia="微软雅黑" w:cs="微软雅黑"/>
          <w:color w:val="000000" w:themeColor="text1"/>
          <w:sz w:val="24"/>
          <w:szCs w:val="24"/>
          <w14:textFill>
            <w14:solidFill>
              <w14:schemeClr w14:val="tx1"/>
            </w14:solidFill>
          </w14:textFill>
        </w:rPr>
        <w:t>二、服务部分</w:t>
      </w:r>
      <w:bookmarkEnd w:id="126"/>
      <w:bookmarkEnd w:id="127"/>
      <w:bookmarkEnd w:id="128"/>
      <w:bookmarkEnd w:id="129"/>
      <w:bookmarkEnd w:id="130"/>
      <w:bookmarkEnd w:id="131"/>
    </w:p>
    <w:p>
      <w:pPr>
        <w:snapToGrid w:val="0"/>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（一）服务方案（格式自定）</w:t>
      </w:r>
    </w:p>
    <w:p>
      <w:pPr>
        <w:tabs>
          <w:tab w:val="left" w:pos="6300"/>
        </w:tabs>
        <w:snapToGrid w:val="0"/>
        <w:spacing w:line="500" w:lineRule="exact"/>
        <w:rPr>
          <w:rFonts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pStyle w:val="32"/>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采购项目名称：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序号</w:t>
            </w: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服务需求</w:t>
            </w: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响应情况</w:t>
            </w: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bl>
    <w:p>
      <w:pPr>
        <w:spacing w:line="500" w:lineRule="exact"/>
        <w:ind w:firstLine="600" w:firstLineChars="2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ascii="微软雅黑" w:hAnsi="微软雅黑" w:eastAsia="微软雅黑" w:cs="微软雅黑"/>
          <w:color w:val="000000" w:themeColor="text1"/>
          <w:sz w:val="24"/>
          <w:szCs w:val="28"/>
          <w14:textFill>
            <w14:solidFill>
              <w14:schemeClr w14:val="tx1"/>
            </w14:solidFill>
          </w14:textFill>
        </w:rPr>
      </w:pPr>
    </w:p>
    <w:p>
      <w:pPr>
        <w:spacing w:line="500" w:lineRule="exact"/>
        <w:ind w:firstLine="720" w:firstLineChars="30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、本表即为对本项目“第二篇  采购服务需求”中所列服务需求进行比较和响应；</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该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3、该表可扩展</w:t>
      </w:r>
      <w:r>
        <w:rPr>
          <w:rFonts w:hint="eastAsia" w:ascii="微软雅黑" w:hAnsi="微软雅黑" w:eastAsia="微软雅黑" w:cs="微软雅黑"/>
          <w:color w:val="000000" w:themeColor="text1"/>
          <w:sz w:val="24"/>
          <w:szCs w:val="28"/>
          <w14:textFill>
            <w14:solidFill>
              <w14:schemeClr w14:val="tx1"/>
            </w14:solidFill>
          </w14:textFill>
        </w:rPr>
        <w:t>，并逐页签字或盖章</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4、可附相关支撑材料。（格式自定）</w:t>
      </w:r>
    </w:p>
    <w:p>
      <w:pPr>
        <w:pStyle w:val="5"/>
        <w:spacing w:before="0" w:after="0"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val="0"/>
          <w:color w:val="000000" w:themeColor="text1"/>
          <w14:textFill>
            <w14:solidFill>
              <w14:schemeClr w14:val="tx1"/>
            </w14:solidFill>
          </w14:textFill>
        </w:rPr>
        <w:br w:type="page"/>
      </w:r>
      <w:bookmarkStart w:id="132" w:name="_Toc499576266"/>
      <w:bookmarkStart w:id="133" w:name="_Toc342913421"/>
      <w:bookmarkStart w:id="134" w:name="_Toc23343"/>
      <w:bookmarkStart w:id="135" w:name="_Toc17833"/>
      <w:bookmarkStart w:id="136" w:name="_Toc313008358"/>
      <w:bookmarkStart w:id="137" w:name="_Toc313888362"/>
      <w:r>
        <w:rPr>
          <w:rFonts w:hint="eastAsia" w:ascii="微软雅黑" w:hAnsi="微软雅黑" w:eastAsia="微软雅黑" w:cs="微软雅黑"/>
          <w:color w:val="000000" w:themeColor="text1"/>
          <w:sz w:val="24"/>
          <w:szCs w:val="24"/>
          <w14:textFill>
            <w14:solidFill>
              <w14:schemeClr w14:val="tx1"/>
            </w14:solidFill>
          </w14:textFill>
        </w:rPr>
        <w:t>三、商务部分</w:t>
      </w:r>
      <w:bookmarkEnd w:id="132"/>
      <w:bookmarkEnd w:id="133"/>
      <w:bookmarkEnd w:id="134"/>
      <w:bookmarkEnd w:id="135"/>
      <w:bookmarkEnd w:id="136"/>
      <w:bookmarkEnd w:id="137"/>
    </w:p>
    <w:p>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（一）商务要求响应情况：</w:t>
      </w:r>
      <w:bookmarkStart w:id="138" w:name="_Toc283382459"/>
      <w:r>
        <w:rPr>
          <w:rFonts w:hint="eastAsia" w:ascii="微软雅黑" w:hAnsi="微软雅黑" w:eastAsia="微软雅黑" w:cs="微软雅黑"/>
          <w:color w:val="000000" w:themeColor="text1"/>
          <w:sz w:val="24"/>
          <w:szCs w:val="24"/>
          <w14:textFill>
            <w14:solidFill>
              <w14:schemeClr w14:val="tx1"/>
            </w14:solidFill>
          </w14:textFill>
        </w:rPr>
        <w:t>服务时间、服务地点及验收方式等（格式自定）</w:t>
      </w:r>
    </w:p>
    <w:p>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snapToGrid w:val="0"/>
        <w:spacing w:line="360" w:lineRule="auto"/>
        <w:jc w:val="center"/>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商务响应偏离表（本表可自行设计格式）</w:t>
      </w:r>
    </w:p>
    <w:p>
      <w:pPr>
        <w:snapToGrid w:val="0"/>
        <w:spacing w:line="360" w:lineRule="auto"/>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磋商项目商务需求</w:t>
            </w: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bl>
    <w:p>
      <w:pPr>
        <w:snapToGrid w:val="0"/>
        <w:spacing w:line="360" w:lineRule="auto"/>
        <w:ind w:firstLine="465"/>
        <w:rPr>
          <w:rFonts w:ascii="微软雅黑" w:hAnsi="微软雅黑" w:eastAsia="微软雅黑" w:cs="微软雅黑"/>
          <w:color w:val="000000" w:themeColor="text1"/>
          <w:sz w:val="24"/>
          <w:szCs w:val="24"/>
          <w14:textFill>
            <w14:solidFill>
              <w14:schemeClr w14:val="tx1"/>
            </w14:solidFill>
          </w14:textFill>
        </w:rPr>
      </w:pPr>
    </w:p>
    <w:p>
      <w:pPr>
        <w:spacing w:line="500" w:lineRule="exact"/>
        <w:ind w:firstLine="600" w:firstLineChars="2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ascii="微软雅黑" w:hAnsi="微软雅黑" w:eastAsia="微软雅黑" w:cs="微软雅黑"/>
          <w:color w:val="000000" w:themeColor="text1"/>
          <w:sz w:val="24"/>
          <w:szCs w:val="28"/>
          <w14:textFill>
            <w14:solidFill>
              <w14:schemeClr w14:val="tx1"/>
            </w14:solidFill>
          </w14:textFill>
        </w:rPr>
      </w:pPr>
    </w:p>
    <w:p>
      <w:pPr>
        <w:spacing w:line="500" w:lineRule="exact"/>
        <w:ind w:firstLine="360" w:firstLineChars="1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、本表即为对本项目“第三篇 采购商务需求”中所列商务要求进行比较和响应；</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该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3、该表可扩展</w:t>
      </w:r>
      <w:r>
        <w:rPr>
          <w:rFonts w:hint="eastAsia" w:ascii="微软雅黑" w:hAnsi="微软雅黑" w:eastAsia="微软雅黑" w:cs="微软雅黑"/>
          <w:color w:val="000000" w:themeColor="text1"/>
          <w:sz w:val="24"/>
          <w:szCs w:val="28"/>
          <w14:textFill>
            <w14:solidFill>
              <w14:schemeClr w14:val="tx1"/>
            </w14:solidFill>
          </w14:textFill>
        </w:rPr>
        <w:t>，并逐页签字或盖章</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（三）其它优惠承诺（格式自定）</w:t>
      </w:r>
    </w:p>
    <w:p>
      <w:pPr>
        <w:pStyle w:val="5"/>
        <w:spacing w:before="0" w:after="0"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br w:type="page"/>
      </w:r>
      <w:bookmarkEnd w:id="138"/>
      <w:bookmarkStart w:id="139" w:name="_Toc499576267"/>
      <w:bookmarkStart w:id="140" w:name="_Toc313008359"/>
      <w:bookmarkStart w:id="141" w:name="_Toc29768"/>
      <w:bookmarkStart w:id="142" w:name="_Toc29349"/>
      <w:bookmarkStart w:id="143" w:name="_Toc342913422"/>
      <w:bookmarkStart w:id="144" w:name="_Toc313888363"/>
      <w:r>
        <w:rPr>
          <w:rFonts w:hint="eastAsia" w:ascii="微软雅黑" w:hAnsi="微软雅黑" w:eastAsia="微软雅黑" w:cs="微软雅黑"/>
          <w:color w:val="000000" w:themeColor="text1"/>
          <w:sz w:val="24"/>
          <w:szCs w:val="24"/>
          <w14:textFill>
            <w14:solidFill>
              <w14:schemeClr w14:val="tx1"/>
            </w14:solidFill>
          </w14:textFill>
        </w:rPr>
        <w:t>四、资格条件及其他</w:t>
      </w:r>
      <w:bookmarkEnd w:id="139"/>
      <w:bookmarkEnd w:id="140"/>
      <w:bookmarkEnd w:id="141"/>
      <w:bookmarkEnd w:id="142"/>
      <w:bookmarkEnd w:id="143"/>
      <w:bookmarkEnd w:id="144"/>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（一）营业执照（副本）</w:t>
      </w:r>
      <w:r>
        <w:rPr>
          <w:rFonts w:hint="eastAsia" w:ascii="微软雅黑" w:hAnsi="微软雅黑" w:eastAsia="微软雅黑" w:cs="微软雅黑"/>
          <w:color w:val="000000" w:themeColor="text1"/>
          <w:szCs w:val="28"/>
          <w14:textFill>
            <w14:solidFill>
              <w14:schemeClr w14:val="tx1"/>
            </w14:solidFill>
          </w14:textFill>
        </w:rPr>
        <w:t>或事业单位法人证书（副本）</w:t>
      </w:r>
      <w:r>
        <w:rPr>
          <w:rFonts w:hint="eastAsia" w:ascii="微软雅黑" w:hAnsi="微软雅黑" w:eastAsia="微软雅黑" w:cs="微软雅黑"/>
          <w:color w:val="000000" w:themeColor="text1"/>
          <w14:textFill>
            <w14:solidFill>
              <w14:schemeClr w14:val="tx1"/>
            </w14:solidFill>
          </w14:textFill>
        </w:rPr>
        <w:t>复印件</w:t>
      </w: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（二）组织机构代码证复印件</w:t>
      </w: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（三）法定代表人身份证明书（格式）</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w:t>
      </w:r>
      <w:r>
        <w:rPr>
          <w:rFonts w:hint="eastAsia" w:ascii="微软雅黑" w:hAnsi="微软雅黑" w:eastAsia="微软雅黑" w:cs="微软雅黑"/>
          <w:color w:val="000000" w:themeColor="text1"/>
          <w:sz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u w:val="single"/>
          <w14:textFill>
            <w14:solidFill>
              <w14:schemeClr w14:val="tx1"/>
            </w14:solidFill>
          </w14:textFill>
        </w:rPr>
        <w:t>（法定代表人姓名）</w:t>
      </w:r>
      <w:r>
        <w:rPr>
          <w:rFonts w:hint="eastAsia" w:ascii="微软雅黑" w:hAnsi="微软雅黑" w:eastAsia="微软雅黑" w:cs="微软雅黑"/>
          <w:color w:val="000000" w:themeColor="text1"/>
          <w:sz w:val="24"/>
          <w14:textFill>
            <w14:solidFill>
              <w14:schemeClr w14:val="tx1"/>
            </w14:solidFill>
          </w14:textFill>
        </w:rPr>
        <w:t>在</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任</w:t>
      </w:r>
      <w:r>
        <w:rPr>
          <w:rFonts w:hint="eastAsia" w:ascii="微软雅黑" w:hAnsi="微软雅黑" w:eastAsia="微软雅黑" w:cs="微软雅黑"/>
          <w:color w:val="000000" w:themeColor="text1"/>
          <w:sz w:val="24"/>
          <w:u w:val="single"/>
          <w14:textFill>
            <w14:solidFill>
              <w14:schemeClr w14:val="tx1"/>
            </w14:solidFill>
          </w14:textFill>
        </w:rPr>
        <w:t>（职务名称）</w:t>
      </w:r>
      <w:r>
        <w:rPr>
          <w:rFonts w:hint="eastAsia" w:ascii="微软雅黑" w:hAnsi="微软雅黑" w:eastAsia="微软雅黑" w:cs="微软雅黑"/>
          <w:color w:val="000000" w:themeColor="text1"/>
          <w:sz w:val="24"/>
          <w14:textFill>
            <w14:solidFill>
              <w14:schemeClr w14:val="tx1"/>
            </w14:solidFill>
          </w14:textFill>
        </w:rPr>
        <w:t>职务，是</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的法定代表人。</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特此证明。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（供应商公章）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年   月   日</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column"/>
      </w:r>
      <w:r>
        <w:rPr>
          <w:rFonts w:hint="eastAsia" w:ascii="微软雅黑" w:hAnsi="微软雅黑" w:eastAsia="微软雅黑" w:cs="微软雅黑"/>
          <w:color w:val="000000" w:themeColor="text1"/>
          <w14:textFill>
            <w14:solidFill>
              <w14:schemeClr w14:val="tx1"/>
            </w14:solidFill>
          </w14:textFill>
        </w:rPr>
        <w:t>（四）法定代表人授权委托书（格式）</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w:t>
      </w:r>
      <w:r>
        <w:rPr>
          <w:rFonts w:hint="eastAsia" w:ascii="微软雅黑" w:hAnsi="微软雅黑" w:eastAsia="微软雅黑" w:cs="微软雅黑"/>
          <w:color w:val="000000" w:themeColor="text1"/>
          <w:sz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u w:val="single"/>
          <w14:textFill>
            <w14:solidFill>
              <w14:schemeClr w14:val="tx1"/>
            </w14:solidFill>
          </w14:textFill>
        </w:rPr>
        <w:t>（供应商法定代表人名称）</w:t>
      </w:r>
      <w:r>
        <w:rPr>
          <w:rFonts w:hint="eastAsia" w:ascii="微软雅黑" w:hAnsi="微软雅黑" w:eastAsia="微软雅黑" w:cs="微软雅黑"/>
          <w:color w:val="000000" w:themeColor="text1"/>
          <w:sz w:val="24"/>
          <w14:textFill>
            <w14:solidFill>
              <w14:schemeClr w14:val="tx1"/>
            </w14:solidFill>
          </w14:textFill>
        </w:rPr>
        <w:t>是</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的法定代表人，特授权（</w:t>
      </w:r>
      <w:r>
        <w:rPr>
          <w:rFonts w:hint="eastAsia" w:ascii="微软雅黑" w:hAnsi="微软雅黑" w:eastAsia="微软雅黑" w:cs="微软雅黑"/>
          <w:color w:val="000000" w:themeColor="text1"/>
          <w:sz w:val="24"/>
          <w:u w:val="single"/>
          <w14:textFill>
            <w14:solidFill>
              <w14:schemeClr w14:val="tx1"/>
            </w14:solidFill>
          </w14:textFill>
        </w:rPr>
        <w:t>被授权人姓名及身份证代码）</w:t>
      </w:r>
      <w:r>
        <w:rPr>
          <w:rFonts w:hint="eastAsia" w:ascii="微软雅黑" w:hAnsi="微软雅黑" w:eastAsia="微软雅黑" w:cs="微软雅黑"/>
          <w:color w:val="000000" w:themeColor="text1"/>
          <w:sz w:val="24"/>
          <w14:textFill>
            <w14:solidFill>
              <w14:schemeClr w14:val="tx1"/>
            </w14:solidFill>
          </w14:textFill>
        </w:rPr>
        <w:t>代表我单位全权办理上述项目的磋商、签约等具体工作，并签署全部有关文件、协议及合同。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57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（签字或盖章）                                （签字或盖章）</w:t>
      </w:r>
    </w:p>
    <w:p>
      <w:pPr>
        <w:tabs>
          <w:tab w:val="left" w:pos="6300"/>
        </w:tabs>
        <w:snapToGrid w:val="0"/>
        <w:spacing w:line="500" w:lineRule="exact"/>
        <w:ind w:firstLine="570"/>
        <w:rPr>
          <w:rFonts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年   月   日</w:t>
      </w: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（五）2019或2020年度财务状况报告（表）复印件，本年度新成立或成立不满一年的组织和自然人无法提供财务状况报告（表）的，可提供银行出具的资信证明复印件。</w:t>
      </w: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（六）书面声明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致：（采购代理机构名称）：</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特此声明。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24"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年   月   日</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numPr>
          <w:ilvl w:val="0"/>
          <w:numId w:val="3"/>
        </w:num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税务登记证（副本）复印件</w:t>
      </w:r>
    </w:p>
    <w:p>
      <w:pPr>
        <w:numPr>
          <w:ilvl w:val="0"/>
          <w:numId w:val="3"/>
        </w:num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缴纳社会保障金的证明材料复印件</w:t>
      </w: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（九）特定资格条件证书或证明文件（本项目无）</w:t>
      </w:r>
    </w:p>
    <w:p>
      <w:pPr>
        <w:tabs>
          <w:tab w:val="left" w:pos="6300"/>
        </w:tabs>
        <w:snapToGrid w:val="0"/>
        <w:spacing w:line="360" w:lineRule="auto"/>
        <w:ind w:firstLine="560" w:firstLineChars="200"/>
        <w:rPr>
          <w:rFonts w:ascii="微软雅黑" w:hAnsi="微软雅黑" w:eastAsia="微软雅黑" w:cs="微软雅黑"/>
          <w:color w:val="000000" w:themeColor="text1"/>
          <w14:textFill>
            <w14:solidFill>
              <w14:schemeClr w14:val="tx1"/>
            </w14:solidFill>
          </w14:textFill>
        </w:rPr>
      </w:pPr>
    </w:p>
    <w:p>
      <w:pPr>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w:t>
      </w:r>
      <w:bookmarkStart w:id="145" w:name="_Toc499576268"/>
      <w:bookmarkStart w:id="146" w:name="_Toc14422"/>
      <w:r>
        <w:rPr>
          <w:rFonts w:hint="eastAsia" w:ascii="微软雅黑" w:hAnsi="微软雅黑" w:eastAsia="微软雅黑" w:cs="微软雅黑"/>
          <w:color w:val="000000" w:themeColor="text1"/>
          <w:sz w:val="24"/>
          <w:szCs w:val="24"/>
          <w14:textFill>
            <w14:solidFill>
              <w14:schemeClr w14:val="tx1"/>
            </w14:solidFill>
          </w14:textFill>
        </w:rPr>
        <w:t>供应商按“多证合一”登记制度办理营业执照的，组织机构代码证、税务登记证（副本）和社会保险登记证以供应商所提供的营业执照（副本）复印件为准。</w:t>
      </w: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5"/>
        <w:spacing w:before="0" w:after="0" w:line="360" w:lineRule="auto"/>
        <w:rPr>
          <w:rFonts w:ascii="微软雅黑" w:hAnsi="微软雅黑" w:eastAsia="微软雅黑" w:cs="微软雅黑"/>
          <w:color w:val="000000" w:themeColor="text1"/>
          <w:sz w:val="24"/>
          <w:szCs w:val="24"/>
          <w14:textFill>
            <w14:solidFill>
              <w14:schemeClr w14:val="tx1"/>
            </w14:solidFill>
          </w14:textFill>
        </w:rPr>
      </w:pPr>
      <w:bookmarkStart w:id="147" w:name="_Toc28583"/>
      <w:bookmarkStart w:id="148" w:name="_Toc3864"/>
      <w:r>
        <w:rPr>
          <w:rFonts w:hint="eastAsia" w:ascii="微软雅黑" w:hAnsi="微软雅黑" w:eastAsia="微软雅黑" w:cs="微软雅黑"/>
          <w:color w:val="000000" w:themeColor="text1"/>
          <w:sz w:val="24"/>
          <w:szCs w:val="24"/>
          <w14:textFill>
            <w14:solidFill>
              <w14:schemeClr w14:val="tx1"/>
            </w14:solidFill>
          </w14:textFill>
        </w:rPr>
        <w:t>五、其他应提供的资料</w:t>
      </w:r>
      <w:bookmarkEnd w:id="145"/>
      <w:bookmarkEnd w:id="146"/>
      <w:bookmarkEnd w:id="147"/>
      <w:bookmarkEnd w:id="148"/>
    </w:p>
    <w:p>
      <w:pPr>
        <w:tabs>
          <w:tab w:val="left" w:pos="6300"/>
        </w:tabs>
        <w:snapToGrid w:val="0"/>
        <w:spacing w:line="500" w:lineRule="exact"/>
        <w:outlineLvl w:val="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（一）供应商中小微企业声明函、监狱企业证明文件、残疾人福利性单位声明函</w:t>
      </w:r>
    </w:p>
    <w:p>
      <w:pPr>
        <w:snapToGrid w:val="0"/>
        <w:spacing w:line="500" w:lineRule="exact"/>
        <w:ind w:firstLine="560" w:firstLineChars="200"/>
        <w:jc w:val="center"/>
        <w:rPr>
          <w:rFonts w:ascii="宋体" w:hAnsi="宋体" w:cs="宋体"/>
          <w:color w:val="000000" w:themeColor="text1"/>
          <w14:textFill>
            <w14:solidFill>
              <w14:schemeClr w14:val="tx1"/>
            </w14:solidFill>
          </w14:textFill>
        </w:rPr>
      </w:pPr>
    </w:p>
    <w:p>
      <w:pPr>
        <w:snapToGrid w:val="0"/>
        <w:spacing w:line="500" w:lineRule="exact"/>
        <w:ind w:firstLine="560" w:firstLineChars="200"/>
        <w:jc w:val="center"/>
        <w:rPr>
          <w:rFonts w:ascii="宋体" w:hAnsi="宋体" w:cs="宋体"/>
          <w:color w:val="000000" w:themeColor="text1"/>
          <w14:textFill>
            <w14:solidFill>
              <w14:schemeClr w14:val="tx1"/>
            </w14:solidFill>
          </w14:textFill>
        </w:rPr>
      </w:pPr>
    </w:p>
    <w:p>
      <w:pPr>
        <w:snapToGrid w:val="0"/>
        <w:spacing w:line="500" w:lineRule="exact"/>
        <w:ind w:firstLine="560" w:firstLineChars="20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中小企业声明函</w:t>
      </w:r>
    </w:p>
    <w:p>
      <w:pPr>
        <w:pStyle w:val="2"/>
        <w:rPr>
          <w:rFonts w:hint="eastAsia"/>
        </w:rPr>
      </w:pP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本公司（联合体）郑重声明，根据《政府采购促进中小企业发展管理办法》（财库﹝2020﹞4 6号）的规定，本公司（联合体）参加</w:t>
      </w:r>
      <w:r>
        <w:rPr>
          <w:rFonts w:hint="eastAsia" w:ascii="微软雅黑" w:hAnsi="微软雅黑" w:eastAsia="微软雅黑" w:cs="微软雅黑"/>
          <w:color w:val="000000" w:themeColor="text1"/>
          <w:sz w:val="24"/>
          <w:szCs w:val="24"/>
          <w:u w:val="single" w:color="000000"/>
          <w14:textFill>
            <w14:solidFill>
              <w14:schemeClr w14:val="tx1"/>
            </w14:solidFill>
          </w14:textFill>
        </w:rPr>
        <w:t>(单位名称)</w:t>
      </w:r>
      <w:r>
        <w:rPr>
          <w:rFonts w:hint="eastAsia" w:ascii="微软雅黑" w:hAnsi="微软雅黑" w:eastAsia="微软雅黑" w:cs="微软雅黑"/>
          <w:color w:val="000000" w:themeColor="text1"/>
          <w:sz w:val="24"/>
          <w:szCs w:val="24"/>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400" w:lineRule="exact"/>
        <w:ind w:firstLine="480" w:firstLineChars="200"/>
        <w:rPr>
          <w:rFonts w:hint="eastAsia" w:ascii="微软雅黑" w:hAnsi="微软雅黑" w:eastAsia="微软雅黑" w:cs="微软雅黑"/>
          <w:color w:val="000000" w:themeColor="text1"/>
          <w:sz w:val="24"/>
          <w:szCs w:val="24"/>
          <w:u w:val="single" w:color="00000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1. </w:t>
      </w:r>
      <w:r>
        <w:rPr>
          <w:rFonts w:hint="eastAsia" w:ascii="微软雅黑" w:hAnsi="微软雅黑" w:eastAsia="微软雅黑" w:cs="微软雅黑"/>
          <w:color w:val="000000" w:themeColor="text1"/>
          <w:sz w:val="24"/>
          <w:szCs w:val="24"/>
          <w:u w:val="single"/>
          <w14:textFill>
            <w14:solidFill>
              <w14:schemeClr w14:val="tx1"/>
            </w14:solidFill>
          </w14:textFill>
        </w:rPr>
        <w:t>（标的名称）</w:t>
      </w:r>
      <w:r>
        <w:rPr>
          <w:rFonts w:hint="eastAsia" w:ascii="微软雅黑" w:hAnsi="微软雅黑" w:eastAsia="微软雅黑" w:cs="微软雅黑"/>
          <w:color w:val="000000" w:themeColor="text1"/>
          <w:sz w:val="24"/>
          <w:szCs w:val="24"/>
          <w14:textFill>
            <w14:solidFill>
              <w14:schemeClr w14:val="tx1"/>
            </w14:solidFill>
          </w14:textFill>
        </w:rPr>
        <w:t>，属于</w:t>
      </w:r>
      <w:r>
        <w:rPr>
          <w:rFonts w:hint="eastAsia" w:ascii="微软雅黑" w:hAnsi="微软雅黑" w:eastAsia="微软雅黑" w:cs="微软雅黑"/>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s="微软雅黑"/>
          <w:color w:val="000000" w:themeColor="text1"/>
          <w:sz w:val="24"/>
          <w:szCs w:val="24"/>
          <w14:textFill>
            <w14:solidFill>
              <w14:schemeClr w14:val="tx1"/>
            </w14:solidFill>
          </w14:textFill>
        </w:rPr>
        <w:t>；承接企业为</w:t>
      </w:r>
      <w:r>
        <w:rPr>
          <w:rFonts w:hint="eastAsia" w:ascii="微软雅黑" w:hAnsi="微软雅黑" w:eastAsia="微软雅黑" w:cs="微软雅黑"/>
          <w:color w:val="000000" w:themeColor="text1"/>
          <w:sz w:val="24"/>
          <w:szCs w:val="24"/>
          <w:u w:val="single" w:color="000000"/>
          <w14:textFill>
            <w14:solidFill>
              <w14:schemeClr w14:val="tx1"/>
            </w14:solidFill>
          </w14:textFill>
        </w:rPr>
        <w:t>(企业名称)</w:t>
      </w:r>
      <w:r>
        <w:rPr>
          <w:rFonts w:hint="eastAsia" w:ascii="微软雅黑" w:hAnsi="微软雅黑" w:eastAsia="微软雅黑" w:cs="微软雅黑"/>
          <w:color w:val="000000" w:themeColor="text1"/>
          <w:sz w:val="24"/>
          <w:szCs w:val="24"/>
          <w14:textFill>
            <w14:solidFill>
              <w14:schemeClr w14:val="tx1"/>
            </w14:solidFill>
          </w14:textFill>
        </w:rPr>
        <w:t>，从业人员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人，营业收入为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万元，资产总额为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万元'，属于</w:t>
      </w:r>
      <w:r>
        <w:rPr>
          <w:rFonts w:hint="eastAsia" w:ascii="微软雅黑" w:hAnsi="微软雅黑" w:eastAsia="微软雅黑" w:cs="微软雅黑"/>
          <w:color w:val="000000" w:themeColor="text1"/>
          <w:sz w:val="24"/>
          <w:szCs w:val="24"/>
          <w:u w:val="single" w:color="000000"/>
          <w14:textFill>
            <w14:solidFill>
              <w14:schemeClr w14:val="tx1"/>
            </w14:solidFill>
          </w14:textFill>
        </w:rPr>
        <w:t>（中型企业、小型企业、微型企业）。</w:t>
      </w:r>
    </w:p>
    <w:p>
      <w:pPr>
        <w:spacing w:line="400" w:lineRule="exact"/>
        <w:ind w:firstLine="480" w:firstLineChars="2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人，其他人员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w:t>
      </w:r>
      <w:r>
        <w:rPr>
          <w:rFonts w:hint="eastAsia" w:ascii="微软雅黑" w:hAnsi="微软雅黑" w:eastAsia="微软雅黑" w:cs="微软雅黑"/>
          <w:b/>
          <w:color w:val="000000" w:themeColor="text1"/>
          <w:sz w:val="24"/>
          <w:szCs w:val="24"/>
          <w14:textFill>
            <w14:solidFill>
              <w14:schemeClr w14:val="tx1"/>
            </w14:solidFill>
          </w14:textFill>
        </w:rPr>
        <w:t>有其他人员的不符合中小企业扶持政策;</w:t>
      </w:r>
    </w:p>
    <w:p>
      <w:pPr>
        <w:spacing w:line="400" w:lineRule="exact"/>
        <w:ind w:firstLine="480" w:firstLineChars="200"/>
        <w:rPr>
          <w:rFonts w:hint="eastAsia" w:ascii="微软雅黑" w:hAnsi="微软雅黑" w:eastAsia="微软雅黑" w:cs="微软雅黑"/>
          <w:color w:val="000000" w:themeColor="text1"/>
          <w:sz w:val="24"/>
          <w:szCs w:val="24"/>
          <w:u w:val="single" w:color="00000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2. </w:t>
      </w:r>
      <w:r>
        <w:rPr>
          <w:rFonts w:hint="eastAsia" w:ascii="微软雅黑" w:hAnsi="微软雅黑" w:eastAsia="微软雅黑" w:cs="微软雅黑"/>
          <w:color w:val="000000" w:themeColor="text1"/>
          <w:sz w:val="24"/>
          <w:szCs w:val="24"/>
          <w:u w:val="single"/>
          <w14:textFill>
            <w14:solidFill>
              <w14:schemeClr w14:val="tx1"/>
            </w14:solidFill>
          </w14:textFill>
        </w:rPr>
        <w:t>（标的名称）</w:t>
      </w:r>
      <w:r>
        <w:rPr>
          <w:rFonts w:hint="eastAsia" w:ascii="微软雅黑" w:hAnsi="微软雅黑" w:eastAsia="微软雅黑" w:cs="微软雅黑"/>
          <w:color w:val="000000" w:themeColor="text1"/>
          <w:sz w:val="24"/>
          <w:szCs w:val="24"/>
          <w14:textFill>
            <w14:solidFill>
              <w14:schemeClr w14:val="tx1"/>
            </w14:solidFill>
          </w14:textFill>
        </w:rPr>
        <w:t>，属于</w:t>
      </w:r>
      <w:r>
        <w:rPr>
          <w:rFonts w:hint="eastAsia" w:ascii="微软雅黑" w:hAnsi="微软雅黑" w:eastAsia="微软雅黑" w:cs="微软雅黑"/>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s="微软雅黑"/>
          <w:color w:val="000000" w:themeColor="text1"/>
          <w:sz w:val="24"/>
          <w:szCs w:val="24"/>
          <w14:textFill>
            <w14:solidFill>
              <w14:schemeClr w14:val="tx1"/>
            </w14:solidFill>
          </w14:textFill>
        </w:rPr>
        <w:t>；承接企业为</w:t>
      </w:r>
      <w:r>
        <w:rPr>
          <w:rFonts w:hint="eastAsia" w:ascii="微软雅黑" w:hAnsi="微软雅黑" w:eastAsia="微软雅黑" w:cs="微软雅黑"/>
          <w:color w:val="000000" w:themeColor="text1"/>
          <w:sz w:val="24"/>
          <w:szCs w:val="24"/>
          <w:u w:val="single"/>
          <w14:textFill>
            <w14:solidFill>
              <w14:schemeClr w14:val="tx1"/>
            </w14:solidFill>
          </w14:textFill>
        </w:rPr>
        <w:t>（企业名称）</w:t>
      </w:r>
      <w:r>
        <w:rPr>
          <w:rFonts w:hint="eastAsia" w:ascii="微软雅黑" w:hAnsi="微软雅黑" w:eastAsia="微软雅黑" w:cs="微软雅黑"/>
          <w:color w:val="000000" w:themeColor="text1"/>
          <w:sz w:val="24"/>
          <w:szCs w:val="24"/>
          <w14:textFill>
            <w14:solidFill>
              <w14:schemeClr w14:val="tx1"/>
            </w14:solidFill>
          </w14:textFill>
        </w:rPr>
        <w:t>，从业人员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人，营业收入为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万元，资产总额为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万元，属于 </w:t>
      </w:r>
      <w:r>
        <w:rPr>
          <w:rFonts w:hint="eastAsia" w:ascii="微软雅黑" w:hAnsi="微软雅黑" w:eastAsia="微软雅黑" w:cs="微软雅黑"/>
          <w:color w:val="000000" w:themeColor="text1"/>
          <w:sz w:val="24"/>
          <w:szCs w:val="24"/>
          <w:u w:val="single" w:color="000000"/>
          <w14:textFill>
            <w14:solidFill>
              <w14:schemeClr w14:val="tx1"/>
            </w14:solidFill>
          </w14:textFill>
        </w:rPr>
        <w:t>（中型企业、小型企业、微型企业）。</w:t>
      </w:r>
    </w:p>
    <w:p>
      <w:pPr>
        <w:spacing w:line="400" w:lineRule="exact"/>
        <w:ind w:firstLine="480" w:firstLineChars="2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人，其他人员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w:t>
      </w:r>
      <w:r>
        <w:rPr>
          <w:rFonts w:hint="eastAsia" w:ascii="微软雅黑" w:hAnsi="微软雅黑" w:eastAsia="微软雅黑" w:cs="微软雅黑"/>
          <w:b/>
          <w:color w:val="000000" w:themeColor="text1"/>
          <w:sz w:val="24"/>
          <w:szCs w:val="24"/>
          <w14:textFill>
            <w14:solidFill>
              <w14:schemeClr w14:val="tx1"/>
            </w14:solidFill>
          </w14:textFill>
        </w:rPr>
        <w:t>有其他人员的不符合中小企业扶持政策;</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本企业对上述声明内容的真实性负责。如有虚假，将依法承担相应责任。</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snapToGrid w:val="0"/>
        <w:spacing w:line="500" w:lineRule="exact"/>
        <w:ind w:firstLine="6120" w:firstLineChars="25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企业名称（盖章）： </w:t>
      </w:r>
    </w:p>
    <w:p>
      <w:pPr>
        <w:snapToGrid w:val="0"/>
        <w:spacing w:line="500" w:lineRule="exact"/>
        <w:ind w:right="784" w:firstLine="6120" w:firstLineChars="25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日期：</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填写时应注意以下事项：</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1.从业人员、营业收入、资产总额填报上一年度数据，无上一年度数据的新成立企业可不填报。</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2.投标人未按照采购文件第一篇“采购标的对应的中小企业划分标准所属行业”填写所属行业，或所填写企业类型与相应行业划型标准不一致的，视为未提供《中小企业声明函》，不享受中小企业扶持政策。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3.中小企业应当按照《中小企业划型标准规定》（工信部联企业〔2011〕300号），如实填写并提交《中小企业声明函》。</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注：各行业划型标准：</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outlineLvl w:val="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sz w:val="29"/>
          <w:szCs w:val="29"/>
          <w14:textFill>
            <w14:solidFill>
              <w14:schemeClr w14:val="tx1"/>
            </w14:solidFill>
          </w14:textFill>
        </w:rPr>
        <w:t>监狱企业证明文件</w:t>
      </w:r>
    </w:p>
    <w:p>
      <w:pPr>
        <w:tabs>
          <w:tab w:val="left" w:pos="6300"/>
        </w:tabs>
        <w:snapToGrid w:val="0"/>
        <w:spacing w:line="500" w:lineRule="exact"/>
        <w:ind w:firstLine="480" w:firstLineChars="200"/>
        <w:outlineLvl w:val="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以省级以上监狱管理局、戒毒管理局（含新疆生产建设兵团）出具的属于监狱企业的证明文件为准。</w:t>
      </w:r>
      <w:r>
        <w:rPr>
          <w:rFonts w:hint="eastAsia" w:ascii="微软雅黑" w:hAnsi="微软雅黑" w:eastAsia="微软雅黑" w:cs="微软雅黑"/>
          <w:color w:val="000000" w:themeColor="text1"/>
          <w:sz w:val="21"/>
          <w:szCs w:val="21"/>
          <w14:textFill>
            <w14:solidFill>
              <w14:schemeClr w14:val="tx1"/>
            </w14:solidFill>
          </w14:textFill>
        </w:rPr>
        <w:br w:type="page"/>
      </w:r>
      <w:r>
        <w:rPr>
          <w:rFonts w:hint="eastAsia" w:ascii="微软雅黑" w:hAnsi="微软雅黑" w:eastAsia="微软雅黑" w:cs="微软雅黑"/>
          <w:color w:val="000000" w:themeColor="text1"/>
          <w14:textFill>
            <w14:solidFill>
              <w14:schemeClr w14:val="tx1"/>
            </w14:solidFill>
          </w14:textFill>
        </w:rPr>
        <w:t>4.残疾人福利性单位声明函</w:t>
      </w:r>
    </w:p>
    <w:p>
      <w:pPr>
        <w:tabs>
          <w:tab w:val="left" w:pos="6300"/>
        </w:tabs>
        <w:snapToGrid w:val="0"/>
        <w:spacing w:line="500" w:lineRule="exact"/>
        <w:ind w:firstLine="560" w:firstLineChars="200"/>
        <w:jc w:val="center"/>
        <w:outlineLvl w:val="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残疾人福利性单位声明函</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供应商名称（盖章）：</w:t>
      </w:r>
    </w:p>
    <w:p>
      <w:pPr>
        <w:tabs>
          <w:tab w:val="left" w:pos="6300"/>
        </w:tabs>
        <w:snapToGrid w:val="0"/>
        <w:spacing w:line="500" w:lineRule="exact"/>
        <w:ind w:firstLine="57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日  期：</w:t>
      </w:r>
    </w:p>
    <w:p>
      <w:pPr>
        <w:spacing w:line="360" w:lineRule="auto"/>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spacing w:line="360" w:lineRule="auto"/>
        <w:rPr>
          <w:rFonts w:ascii="微软雅黑" w:hAnsi="微软雅黑" w:eastAsia="微软雅黑" w:cs="微软雅黑"/>
          <w:color w:val="000000" w:themeColor="text1"/>
          <w:sz w:val="24"/>
          <w:szCs w:val="24"/>
          <w14:textFill>
            <w14:solidFill>
              <w14:schemeClr w14:val="tx1"/>
            </w14:solidFill>
          </w14:textFill>
        </w:rPr>
      </w:pPr>
    </w:p>
    <w:p>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（二）联合体共同联合协议（如果有）</w:t>
      </w:r>
    </w:p>
    <w:p>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（三）其他资料</w:t>
      </w:r>
    </w:p>
    <w:p>
      <w:pPr>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1、其他与项目有关的资料（自附）：供应商总体情况介绍、其他与本项目有关的资料等。</w:t>
      </w: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（结束）</w:t>
      </w:r>
    </w:p>
    <w:p>
      <w:pPr>
        <w:spacing w:line="360" w:lineRule="auto"/>
        <w:jc w:val="center"/>
        <w:rPr>
          <w:rFonts w:ascii="微软雅黑" w:hAnsi="微软雅黑" w:eastAsia="微软雅黑" w:cs="微软雅黑"/>
          <w:color w:val="000000" w:themeColor="text1"/>
          <w14:textFill>
            <w14:solidFill>
              <w14:schemeClr w14:val="tx1"/>
            </w14:solidFill>
          </w14:textFill>
        </w:rPr>
      </w:pPr>
    </w:p>
    <w:sectPr>
      <w:headerReference r:id="rId15" w:type="default"/>
      <w:footerReference r:id="rId16" w:type="default"/>
      <w:pgSz w:w="11907" w:h="16840"/>
      <w:pgMar w:top="1134" w:right="1191" w:bottom="1134" w:left="1304" w:header="851" w:footer="992" w:gutter="0"/>
      <w:pgNumType w:fmt="numberInDash"/>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9D33CD-4760-4282-B356-33B9A74B39D4}"/>
  </w:font>
  <w:font w:name="PMingLiU">
    <w:altName w:val="PMingLiU-ExtB"/>
    <w:panose1 w:val="02020500000000000000"/>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6D2AACC-45C2-4AA5-BB19-C5B42B72A616}"/>
  </w:font>
  <w:font w:name="仿宋">
    <w:panose1 w:val="02010609060101010101"/>
    <w:charset w:val="86"/>
    <w:family w:val="modern"/>
    <w:pitch w:val="default"/>
    <w:sig w:usb0="800002BF" w:usb1="38CF7CFA" w:usb2="00000016" w:usb3="00000000" w:csb0="00040001" w:csb1="00000000"/>
    <w:embedRegular r:id="rId3" w:fontKey="{3C8334E5-1667-49D6-B224-7554849726C7}"/>
  </w:font>
  <w:font w:name="方正仿宋_GBK">
    <w:altName w:val="微软雅黑"/>
    <w:panose1 w:val="02000000000000000000"/>
    <w:charset w:val="86"/>
    <w:family w:val="script"/>
    <w:pitch w:val="default"/>
    <w:sig w:usb0="00000000" w:usb1="00000000" w:usb2="00000000" w:usb3="00000000" w:csb0="00000000" w:csb1="00000000"/>
    <w:embedRegular r:id="rId4" w:fontKey="{1F7F96EC-771C-4C6E-B14A-7C2E0BD213ED}"/>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- 27 -</w:t>
    </w:r>
    <w:r>
      <w:rPr>
        <w:rFonts w:ascii="宋体" w:hAnsi="宋体"/>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abstractNum w:abstractNumId="1">
    <w:nsid w:val="D1A00428"/>
    <w:multiLevelType w:val="singleLevel"/>
    <w:tmpl w:val="D1A00428"/>
    <w:lvl w:ilvl="0" w:tentative="0">
      <w:start w:val="2"/>
      <w:numFmt w:val="chineseCounting"/>
      <w:suff w:val="space"/>
      <w:lvlText w:val="第%1篇"/>
      <w:lvlJc w:val="left"/>
      <w:rPr>
        <w:rFonts w:hint="eastAsia"/>
      </w:rPr>
    </w:lvl>
  </w:abstractNum>
  <w:abstractNum w:abstractNumId="2">
    <w:nsid w:val="02892447"/>
    <w:multiLevelType w:val="singleLevel"/>
    <w:tmpl w:val="02892447"/>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A66"/>
    <w:rsid w:val="0008423B"/>
    <w:rsid w:val="000B68AA"/>
    <w:rsid w:val="000D3C74"/>
    <w:rsid w:val="000F126B"/>
    <w:rsid w:val="0013562B"/>
    <w:rsid w:val="00172A27"/>
    <w:rsid w:val="001821C5"/>
    <w:rsid w:val="001A0223"/>
    <w:rsid w:val="001B56BE"/>
    <w:rsid w:val="00200842"/>
    <w:rsid w:val="00236038"/>
    <w:rsid w:val="00237493"/>
    <w:rsid w:val="002460FA"/>
    <w:rsid w:val="00252953"/>
    <w:rsid w:val="00295CDD"/>
    <w:rsid w:val="002A4EED"/>
    <w:rsid w:val="002C5DB9"/>
    <w:rsid w:val="002E6C3D"/>
    <w:rsid w:val="00333FEB"/>
    <w:rsid w:val="00346BD3"/>
    <w:rsid w:val="00382A07"/>
    <w:rsid w:val="0040020E"/>
    <w:rsid w:val="00422B5B"/>
    <w:rsid w:val="00450D61"/>
    <w:rsid w:val="0045743C"/>
    <w:rsid w:val="00483A92"/>
    <w:rsid w:val="004D1A39"/>
    <w:rsid w:val="004D556F"/>
    <w:rsid w:val="004D6435"/>
    <w:rsid w:val="004E747D"/>
    <w:rsid w:val="005452D4"/>
    <w:rsid w:val="0055272A"/>
    <w:rsid w:val="00552B00"/>
    <w:rsid w:val="0056303B"/>
    <w:rsid w:val="00564C86"/>
    <w:rsid w:val="005838E6"/>
    <w:rsid w:val="005A14C0"/>
    <w:rsid w:val="005F188A"/>
    <w:rsid w:val="005F1ABB"/>
    <w:rsid w:val="006064F0"/>
    <w:rsid w:val="00606741"/>
    <w:rsid w:val="00650358"/>
    <w:rsid w:val="00661C5D"/>
    <w:rsid w:val="00690DF6"/>
    <w:rsid w:val="0069545E"/>
    <w:rsid w:val="006C0E1D"/>
    <w:rsid w:val="006E5BAF"/>
    <w:rsid w:val="006F3086"/>
    <w:rsid w:val="00792144"/>
    <w:rsid w:val="007D1654"/>
    <w:rsid w:val="007D21A6"/>
    <w:rsid w:val="00836D36"/>
    <w:rsid w:val="00871DF8"/>
    <w:rsid w:val="0087444B"/>
    <w:rsid w:val="00877B8A"/>
    <w:rsid w:val="00882B2D"/>
    <w:rsid w:val="009A7342"/>
    <w:rsid w:val="00A057D3"/>
    <w:rsid w:val="00A203D7"/>
    <w:rsid w:val="00A5142C"/>
    <w:rsid w:val="00AA16C1"/>
    <w:rsid w:val="00AD0130"/>
    <w:rsid w:val="00AE6CE8"/>
    <w:rsid w:val="00AF10C6"/>
    <w:rsid w:val="00B314CC"/>
    <w:rsid w:val="00B534EA"/>
    <w:rsid w:val="00B93997"/>
    <w:rsid w:val="00BB6450"/>
    <w:rsid w:val="00BB7457"/>
    <w:rsid w:val="00BE60C2"/>
    <w:rsid w:val="00BF0051"/>
    <w:rsid w:val="00C002B8"/>
    <w:rsid w:val="00C13205"/>
    <w:rsid w:val="00C952A2"/>
    <w:rsid w:val="00CC4113"/>
    <w:rsid w:val="00CE166B"/>
    <w:rsid w:val="00D10EED"/>
    <w:rsid w:val="00D4258A"/>
    <w:rsid w:val="00D43D89"/>
    <w:rsid w:val="00DB4B49"/>
    <w:rsid w:val="00DB6B3A"/>
    <w:rsid w:val="00DE42C1"/>
    <w:rsid w:val="00DE46DF"/>
    <w:rsid w:val="00DF55F1"/>
    <w:rsid w:val="00DF7B2D"/>
    <w:rsid w:val="00E0279E"/>
    <w:rsid w:val="00E223C0"/>
    <w:rsid w:val="00E959FC"/>
    <w:rsid w:val="00EA31BE"/>
    <w:rsid w:val="00ED1913"/>
    <w:rsid w:val="00EF54D3"/>
    <w:rsid w:val="00F44428"/>
    <w:rsid w:val="00F512D2"/>
    <w:rsid w:val="00FE3B26"/>
    <w:rsid w:val="00FE403F"/>
    <w:rsid w:val="00FF3CDE"/>
    <w:rsid w:val="019B55D1"/>
    <w:rsid w:val="019D1959"/>
    <w:rsid w:val="01EA4AF8"/>
    <w:rsid w:val="02027657"/>
    <w:rsid w:val="0213623D"/>
    <w:rsid w:val="02811BAD"/>
    <w:rsid w:val="02853582"/>
    <w:rsid w:val="029C56A3"/>
    <w:rsid w:val="02A4262D"/>
    <w:rsid w:val="0309061F"/>
    <w:rsid w:val="03346E3D"/>
    <w:rsid w:val="034A2830"/>
    <w:rsid w:val="038553B5"/>
    <w:rsid w:val="03CC7C7C"/>
    <w:rsid w:val="03DB29EC"/>
    <w:rsid w:val="03F36199"/>
    <w:rsid w:val="049022FF"/>
    <w:rsid w:val="05046E9E"/>
    <w:rsid w:val="053563BD"/>
    <w:rsid w:val="05676809"/>
    <w:rsid w:val="06323A19"/>
    <w:rsid w:val="065974FD"/>
    <w:rsid w:val="069963F4"/>
    <w:rsid w:val="074825C3"/>
    <w:rsid w:val="07644CF8"/>
    <w:rsid w:val="077E0B02"/>
    <w:rsid w:val="0789586E"/>
    <w:rsid w:val="079A480F"/>
    <w:rsid w:val="07C2410E"/>
    <w:rsid w:val="07DC741A"/>
    <w:rsid w:val="07DF027A"/>
    <w:rsid w:val="080273C3"/>
    <w:rsid w:val="087E4495"/>
    <w:rsid w:val="09026204"/>
    <w:rsid w:val="091D145D"/>
    <w:rsid w:val="092211B5"/>
    <w:rsid w:val="093C4D3E"/>
    <w:rsid w:val="09517944"/>
    <w:rsid w:val="09864881"/>
    <w:rsid w:val="09AC314B"/>
    <w:rsid w:val="09B80559"/>
    <w:rsid w:val="09E366F4"/>
    <w:rsid w:val="0A340F11"/>
    <w:rsid w:val="0A6A7D1A"/>
    <w:rsid w:val="0A7121DA"/>
    <w:rsid w:val="0A793A2E"/>
    <w:rsid w:val="0A8F0952"/>
    <w:rsid w:val="0A9F2459"/>
    <w:rsid w:val="0AC959DA"/>
    <w:rsid w:val="0AF816C4"/>
    <w:rsid w:val="0B040301"/>
    <w:rsid w:val="0B1968C3"/>
    <w:rsid w:val="0BAB3064"/>
    <w:rsid w:val="0BB923D0"/>
    <w:rsid w:val="0BC126B3"/>
    <w:rsid w:val="0BEA5720"/>
    <w:rsid w:val="0C0624F3"/>
    <w:rsid w:val="0C4867FB"/>
    <w:rsid w:val="0C945683"/>
    <w:rsid w:val="0CB54492"/>
    <w:rsid w:val="0CCE3126"/>
    <w:rsid w:val="0CFE294D"/>
    <w:rsid w:val="0D1962EE"/>
    <w:rsid w:val="0D3E3574"/>
    <w:rsid w:val="0D712717"/>
    <w:rsid w:val="0D986DC4"/>
    <w:rsid w:val="0DA8437F"/>
    <w:rsid w:val="0DD71C05"/>
    <w:rsid w:val="0DE00C0B"/>
    <w:rsid w:val="0DF875DC"/>
    <w:rsid w:val="0E046A11"/>
    <w:rsid w:val="0E2C6D18"/>
    <w:rsid w:val="0E300D44"/>
    <w:rsid w:val="0EF05683"/>
    <w:rsid w:val="0F6A0D0D"/>
    <w:rsid w:val="0F9526BB"/>
    <w:rsid w:val="10353C8C"/>
    <w:rsid w:val="10587BA8"/>
    <w:rsid w:val="105C4535"/>
    <w:rsid w:val="105D7C7D"/>
    <w:rsid w:val="10B477B0"/>
    <w:rsid w:val="10F70FED"/>
    <w:rsid w:val="112C386F"/>
    <w:rsid w:val="11741C87"/>
    <w:rsid w:val="11F71C03"/>
    <w:rsid w:val="127E3EAB"/>
    <w:rsid w:val="12957AAF"/>
    <w:rsid w:val="12D00551"/>
    <w:rsid w:val="12D03193"/>
    <w:rsid w:val="12D64474"/>
    <w:rsid w:val="12E442B7"/>
    <w:rsid w:val="13101EF5"/>
    <w:rsid w:val="132A10D3"/>
    <w:rsid w:val="132D3965"/>
    <w:rsid w:val="137A43BD"/>
    <w:rsid w:val="1383225E"/>
    <w:rsid w:val="13915246"/>
    <w:rsid w:val="13A138F5"/>
    <w:rsid w:val="13C70DD3"/>
    <w:rsid w:val="13CE50AA"/>
    <w:rsid w:val="140459E8"/>
    <w:rsid w:val="141564A3"/>
    <w:rsid w:val="1426739E"/>
    <w:rsid w:val="144D6EBF"/>
    <w:rsid w:val="14A63623"/>
    <w:rsid w:val="1553683E"/>
    <w:rsid w:val="15826839"/>
    <w:rsid w:val="15AA505D"/>
    <w:rsid w:val="15CA3338"/>
    <w:rsid w:val="15DA142C"/>
    <w:rsid w:val="15E409F3"/>
    <w:rsid w:val="160C4FAC"/>
    <w:rsid w:val="16333A59"/>
    <w:rsid w:val="165D78E5"/>
    <w:rsid w:val="166B0912"/>
    <w:rsid w:val="16E11DAC"/>
    <w:rsid w:val="16E233EE"/>
    <w:rsid w:val="170D76B7"/>
    <w:rsid w:val="1739317C"/>
    <w:rsid w:val="17A415E0"/>
    <w:rsid w:val="17EC0D07"/>
    <w:rsid w:val="17F2157E"/>
    <w:rsid w:val="18382CA8"/>
    <w:rsid w:val="184D5BF1"/>
    <w:rsid w:val="18575D38"/>
    <w:rsid w:val="186A617B"/>
    <w:rsid w:val="186F26E9"/>
    <w:rsid w:val="187B6D1D"/>
    <w:rsid w:val="18D12DF5"/>
    <w:rsid w:val="18ED585A"/>
    <w:rsid w:val="18ED5880"/>
    <w:rsid w:val="19127222"/>
    <w:rsid w:val="198D4A9F"/>
    <w:rsid w:val="19E91876"/>
    <w:rsid w:val="1A282DDA"/>
    <w:rsid w:val="1A2B301F"/>
    <w:rsid w:val="1A43273A"/>
    <w:rsid w:val="1A9354DB"/>
    <w:rsid w:val="1AE738E4"/>
    <w:rsid w:val="1AFE5477"/>
    <w:rsid w:val="1B0C559F"/>
    <w:rsid w:val="1B121581"/>
    <w:rsid w:val="1B2D5678"/>
    <w:rsid w:val="1B601C65"/>
    <w:rsid w:val="1B631991"/>
    <w:rsid w:val="1B8C33F4"/>
    <w:rsid w:val="1B98469D"/>
    <w:rsid w:val="1BA84479"/>
    <w:rsid w:val="1BC814F3"/>
    <w:rsid w:val="1BCD4A66"/>
    <w:rsid w:val="1BDE2883"/>
    <w:rsid w:val="1C004178"/>
    <w:rsid w:val="1C3A3714"/>
    <w:rsid w:val="1C5D11C3"/>
    <w:rsid w:val="1D826775"/>
    <w:rsid w:val="1D981CC2"/>
    <w:rsid w:val="1DCA7FA5"/>
    <w:rsid w:val="1E253E9A"/>
    <w:rsid w:val="1E4B542F"/>
    <w:rsid w:val="1E622558"/>
    <w:rsid w:val="1E882ABA"/>
    <w:rsid w:val="1E963FB8"/>
    <w:rsid w:val="1EDB79E1"/>
    <w:rsid w:val="1EE019A3"/>
    <w:rsid w:val="1FB06E2D"/>
    <w:rsid w:val="1FCD0A84"/>
    <w:rsid w:val="203D5420"/>
    <w:rsid w:val="20A82934"/>
    <w:rsid w:val="20E51212"/>
    <w:rsid w:val="20F669B0"/>
    <w:rsid w:val="2105635C"/>
    <w:rsid w:val="21102A49"/>
    <w:rsid w:val="21124499"/>
    <w:rsid w:val="216C5203"/>
    <w:rsid w:val="216D6770"/>
    <w:rsid w:val="21903690"/>
    <w:rsid w:val="21AD399F"/>
    <w:rsid w:val="21CC09CA"/>
    <w:rsid w:val="227F6C94"/>
    <w:rsid w:val="228213E7"/>
    <w:rsid w:val="22A7590B"/>
    <w:rsid w:val="22B4528F"/>
    <w:rsid w:val="22D838CF"/>
    <w:rsid w:val="22F825DB"/>
    <w:rsid w:val="22FD20FA"/>
    <w:rsid w:val="231F77C7"/>
    <w:rsid w:val="23374475"/>
    <w:rsid w:val="233B0914"/>
    <w:rsid w:val="237C59BB"/>
    <w:rsid w:val="23BF2464"/>
    <w:rsid w:val="23F3488A"/>
    <w:rsid w:val="243B3EB7"/>
    <w:rsid w:val="24551FD1"/>
    <w:rsid w:val="24C60186"/>
    <w:rsid w:val="24C6775F"/>
    <w:rsid w:val="251304A2"/>
    <w:rsid w:val="25602216"/>
    <w:rsid w:val="256F2A8D"/>
    <w:rsid w:val="25A315A3"/>
    <w:rsid w:val="25CB74EC"/>
    <w:rsid w:val="261F72E0"/>
    <w:rsid w:val="26334D6D"/>
    <w:rsid w:val="2640356F"/>
    <w:rsid w:val="264C6FBD"/>
    <w:rsid w:val="26767805"/>
    <w:rsid w:val="26DA0E0C"/>
    <w:rsid w:val="26F942CB"/>
    <w:rsid w:val="27205B2B"/>
    <w:rsid w:val="2767225B"/>
    <w:rsid w:val="276830CB"/>
    <w:rsid w:val="277609EB"/>
    <w:rsid w:val="27AA2C77"/>
    <w:rsid w:val="27B25CEA"/>
    <w:rsid w:val="27D9637B"/>
    <w:rsid w:val="281E5310"/>
    <w:rsid w:val="28522780"/>
    <w:rsid w:val="288B25DE"/>
    <w:rsid w:val="28BB7068"/>
    <w:rsid w:val="294B4B4D"/>
    <w:rsid w:val="29605B23"/>
    <w:rsid w:val="2A824925"/>
    <w:rsid w:val="2A84522F"/>
    <w:rsid w:val="2BB56560"/>
    <w:rsid w:val="2BCB3BBA"/>
    <w:rsid w:val="2BE75958"/>
    <w:rsid w:val="2BE83786"/>
    <w:rsid w:val="2BE956E1"/>
    <w:rsid w:val="2C1D24D1"/>
    <w:rsid w:val="2D367E96"/>
    <w:rsid w:val="2D4B4662"/>
    <w:rsid w:val="2D6F3C91"/>
    <w:rsid w:val="2D88429C"/>
    <w:rsid w:val="2DED648E"/>
    <w:rsid w:val="2E0559B4"/>
    <w:rsid w:val="2E1A6D19"/>
    <w:rsid w:val="2E482812"/>
    <w:rsid w:val="2E4C697C"/>
    <w:rsid w:val="2E5B353C"/>
    <w:rsid w:val="2EAE5B84"/>
    <w:rsid w:val="2F017C73"/>
    <w:rsid w:val="2F193000"/>
    <w:rsid w:val="2F4475F2"/>
    <w:rsid w:val="2F8452BB"/>
    <w:rsid w:val="2F8856E8"/>
    <w:rsid w:val="2F931F3E"/>
    <w:rsid w:val="2FA20543"/>
    <w:rsid w:val="30793B1F"/>
    <w:rsid w:val="307A6406"/>
    <w:rsid w:val="30EB003C"/>
    <w:rsid w:val="31392548"/>
    <w:rsid w:val="31A1797F"/>
    <w:rsid w:val="31C00EF8"/>
    <w:rsid w:val="31D623CF"/>
    <w:rsid w:val="31E050B0"/>
    <w:rsid w:val="32310628"/>
    <w:rsid w:val="323413C5"/>
    <w:rsid w:val="324B3E79"/>
    <w:rsid w:val="325167B6"/>
    <w:rsid w:val="326266B4"/>
    <w:rsid w:val="32753D0B"/>
    <w:rsid w:val="327F7554"/>
    <w:rsid w:val="32B60A23"/>
    <w:rsid w:val="32DB2081"/>
    <w:rsid w:val="32F42D9E"/>
    <w:rsid w:val="333D477F"/>
    <w:rsid w:val="33AA1058"/>
    <w:rsid w:val="33AF6CE8"/>
    <w:rsid w:val="33C1005A"/>
    <w:rsid w:val="340A02ED"/>
    <w:rsid w:val="34A17D4A"/>
    <w:rsid w:val="34CF4905"/>
    <w:rsid w:val="350D23A0"/>
    <w:rsid w:val="35905D41"/>
    <w:rsid w:val="35B17626"/>
    <w:rsid w:val="35E74616"/>
    <w:rsid w:val="35EB69CC"/>
    <w:rsid w:val="35EE30CD"/>
    <w:rsid w:val="35F77C74"/>
    <w:rsid w:val="36264A5B"/>
    <w:rsid w:val="36452A76"/>
    <w:rsid w:val="36845780"/>
    <w:rsid w:val="36EC30E9"/>
    <w:rsid w:val="370A058B"/>
    <w:rsid w:val="3734069D"/>
    <w:rsid w:val="3782347A"/>
    <w:rsid w:val="37C103D6"/>
    <w:rsid w:val="37E529E9"/>
    <w:rsid w:val="37FE6E39"/>
    <w:rsid w:val="381572B8"/>
    <w:rsid w:val="38536701"/>
    <w:rsid w:val="385E3204"/>
    <w:rsid w:val="387A1DB3"/>
    <w:rsid w:val="388B11B0"/>
    <w:rsid w:val="38B873E2"/>
    <w:rsid w:val="38F67F51"/>
    <w:rsid w:val="39044BAD"/>
    <w:rsid w:val="391A778D"/>
    <w:rsid w:val="3964371B"/>
    <w:rsid w:val="3A3A057F"/>
    <w:rsid w:val="3A837AB1"/>
    <w:rsid w:val="3A964F46"/>
    <w:rsid w:val="3B027E69"/>
    <w:rsid w:val="3B6808F8"/>
    <w:rsid w:val="3BC1657B"/>
    <w:rsid w:val="3BE316E1"/>
    <w:rsid w:val="3BEB4966"/>
    <w:rsid w:val="3CD87AFA"/>
    <w:rsid w:val="3CD91AB9"/>
    <w:rsid w:val="3D1122D9"/>
    <w:rsid w:val="3D1C7E93"/>
    <w:rsid w:val="3D4C4C97"/>
    <w:rsid w:val="3D501BC3"/>
    <w:rsid w:val="3D647F2A"/>
    <w:rsid w:val="3D6F5BDB"/>
    <w:rsid w:val="3D824ED6"/>
    <w:rsid w:val="3DD33B82"/>
    <w:rsid w:val="3E171E42"/>
    <w:rsid w:val="3E2307A3"/>
    <w:rsid w:val="3E384D3D"/>
    <w:rsid w:val="3E5276FB"/>
    <w:rsid w:val="3E76777E"/>
    <w:rsid w:val="3EAA423E"/>
    <w:rsid w:val="3EC309B7"/>
    <w:rsid w:val="3F467593"/>
    <w:rsid w:val="3F8668E2"/>
    <w:rsid w:val="3FBD4F5B"/>
    <w:rsid w:val="407F77F1"/>
    <w:rsid w:val="40935BB3"/>
    <w:rsid w:val="40A2785A"/>
    <w:rsid w:val="40B2745F"/>
    <w:rsid w:val="40F7014B"/>
    <w:rsid w:val="410F4E53"/>
    <w:rsid w:val="41154A97"/>
    <w:rsid w:val="4119041B"/>
    <w:rsid w:val="412D6014"/>
    <w:rsid w:val="4132693C"/>
    <w:rsid w:val="414E240B"/>
    <w:rsid w:val="41A3369B"/>
    <w:rsid w:val="41A87E4D"/>
    <w:rsid w:val="41AC2B40"/>
    <w:rsid w:val="41CD13FD"/>
    <w:rsid w:val="41DC0929"/>
    <w:rsid w:val="41F405DF"/>
    <w:rsid w:val="420C6134"/>
    <w:rsid w:val="422F7D49"/>
    <w:rsid w:val="42411497"/>
    <w:rsid w:val="426113CD"/>
    <w:rsid w:val="42852229"/>
    <w:rsid w:val="42BB5A65"/>
    <w:rsid w:val="42C47367"/>
    <w:rsid w:val="4312153B"/>
    <w:rsid w:val="43251AA8"/>
    <w:rsid w:val="43B27935"/>
    <w:rsid w:val="443426E9"/>
    <w:rsid w:val="445539FA"/>
    <w:rsid w:val="44741DB7"/>
    <w:rsid w:val="449D243B"/>
    <w:rsid w:val="44C05078"/>
    <w:rsid w:val="451259F2"/>
    <w:rsid w:val="45240E10"/>
    <w:rsid w:val="4534265D"/>
    <w:rsid w:val="456F631B"/>
    <w:rsid w:val="45AB480C"/>
    <w:rsid w:val="45C738DC"/>
    <w:rsid w:val="45E3036C"/>
    <w:rsid w:val="460022EF"/>
    <w:rsid w:val="461611FF"/>
    <w:rsid w:val="46302237"/>
    <w:rsid w:val="4648420D"/>
    <w:rsid w:val="46A14C12"/>
    <w:rsid w:val="46E90656"/>
    <w:rsid w:val="4724163E"/>
    <w:rsid w:val="47264769"/>
    <w:rsid w:val="474D2E3F"/>
    <w:rsid w:val="47633BD9"/>
    <w:rsid w:val="47652830"/>
    <w:rsid w:val="47805912"/>
    <w:rsid w:val="47860F1E"/>
    <w:rsid w:val="479E4EDD"/>
    <w:rsid w:val="47A866C0"/>
    <w:rsid w:val="47D24294"/>
    <w:rsid w:val="47DD0DA2"/>
    <w:rsid w:val="48647E91"/>
    <w:rsid w:val="48D7799B"/>
    <w:rsid w:val="48EA7135"/>
    <w:rsid w:val="491518EB"/>
    <w:rsid w:val="49893EBD"/>
    <w:rsid w:val="49AA63AF"/>
    <w:rsid w:val="49D14229"/>
    <w:rsid w:val="4A92473F"/>
    <w:rsid w:val="4BA44E82"/>
    <w:rsid w:val="4BCF3EB6"/>
    <w:rsid w:val="4BE53CA8"/>
    <w:rsid w:val="4BF413A3"/>
    <w:rsid w:val="4C0A317C"/>
    <w:rsid w:val="4C2919FF"/>
    <w:rsid w:val="4CC255AB"/>
    <w:rsid w:val="4CFD1306"/>
    <w:rsid w:val="4D5E16C5"/>
    <w:rsid w:val="4D957FE3"/>
    <w:rsid w:val="4DE9049B"/>
    <w:rsid w:val="4DEF79C6"/>
    <w:rsid w:val="4E4A1E4D"/>
    <w:rsid w:val="4E5F55FC"/>
    <w:rsid w:val="4E7C2C07"/>
    <w:rsid w:val="4E894504"/>
    <w:rsid w:val="4EEC61D3"/>
    <w:rsid w:val="4F0959C6"/>
    <w:rsid w:val="4F1B4C77"/>
    <w:rsid w:val="4F4108D9"/>
    <w:rsid w:val="4F550CF0"/>
    <w:rsid w:val="4F570D38"/>
    <w:rsid w:val="4F5C18E6"/>
    <w:rsid w:val="4F816161"/>
    <w:rsid w:val="4F9C359E"/>
    <w:rsid w:val="50132EF6"/>
    <w:rsid w:val="50587752"/>
    <w:rsid w:val="505C7454"/>
    <w:rsid w:val="50C81C3A"/>
    <w:rsid w:val="50CB22FD"/>
    <w:rsid w:val="51354906"/>
    <w:rsid w:val="51621B49"/>
    <w:rsid w:val="51654349"/>
    <w:rsid w:val="518A613E"/>
    <w:rsid w:val="519535B1"/>
    <w:rsid w:val="51BB5A53"/>
    <w:rsid w:val="51FD2761"/>
    <w:rsid w:val="5253749C"/>
    <w:rsid w:val="52ED6907"/>
    <w:rsid w:val="533E04DE"/>
    <w:rsid w:val="53623718"/>
    <w:rsid w:val="53D02BF5"/>
    <w:rsid w:val="54034FFD"/>
    <w:rsid w:val="5407402D"/>
    <w:rsid w:val="54154DC9"/>
    <w:rsid w:val="543365B2"/>
    <w:rsid w:val="545221AF"/>
    <w:rsid w:val="5464711F"/>
    <w:rsid w:val="54733E51"/>
    <w:rsid w:val="54B45541"/>
    <w:rsid w:val="54EA658D"/>
    <w:rsid w:val="550F678A"/>
    <w:rsid w:val="55125391"/>
    <w:rsid w:val="55184DE5"/>
    <w:rsid w:val="55196BF7"/>
    <w:rsid w:val="552E1A3E"/>
    <w:rsid w:val="553D4707"/>
    <w:rsid w:val="557564E7"/>
    <w:rsid w:val="55921A1A"/>
    <w:rsid w:val="55AB4B2E"/>
    <w:rsid w:val="563E0449"/>
    <w:rsid w:val="56490E7E"/>
    <w:rsid w:val="569037CB"/>
    <w:rsid w:val="56935F0D"/>
    <w:rsid w:val="574834BD"/>
    <w:rsid w:val="577601D3"/>
    <w:rsid w:val="57884849"/>
    <w:rsid w:val="57C43775"/>
    <w:rsid w:val="583D4389"/>
    <w:rsid w:val="586918CE"/>
    <w:rsid w:val="58CE70F0"/>
    <w:rsid w:val="59696800"/>
    <w:rsid w:val="597C4F99"/>
    <w:rsid w:val="59AA24D9"/>
    <w:rsid w:val="59CD006E"/>
    <w:rsid w:val="5A015962"/>
    <w:rsid w:val="5A0A3797"/>
    <w:rsid w:val="5A1D590D"/>
    <w:rsid w:val="5A45472E"/>
    <w:rsid w:val="5A6B17E6"/>
    <w:rsid w:val="5A763D4F"/>
    <w:rsid w:val="5A8037CA"/>
    <w:rsid w:val="5A930966"/>
    <w:rsid w:val="5AD1449C"/>
    <w:rsid w:val="5AD84CB1"/>
    <w:rsid w:val="5AEF5CC8"/>
    <w:rsid w:val="5AF16AC3"/>
    <w:rsid w:val="5B0B3F55"/>
    <w:rsid w:val="5B0C1E13"/>
    <w:rsid w:val="5B2E52F1"/>
    <w:rsid w:val="5B630F3C"/>
    <w:rsid w:val="5B757E7A"/>
    <w:rsid w:val="5B9676DC"/>
    <w:rsid w:val="5B9A555D"/>
    <w:rsid w:val="5BD54BE1"/>
    <w:rsid w:val="5BDF7095"/>
    <w:rsid w:val="5C13413A"/>
    <w:rsid w:val="5C290D9D"/>
    <w:rsid w:val="5C6312A0"/>
    <w:rsid w:val="5C717056"/>
    <w:rsid w:val="5C9C0F22"/>
    <w:rsid w:val="5CFE30FF"/>
    <w:rsid w:val="5D0B54DD"/>
    <w:rsid w:val="5D102783"/>
    <w:rsid w:val="5D711CEE"/>
    <w:rsid w:val="5D8C4409"/>
    <w:rsid w:val="5E0C5D98"/>
    <w:rsid w:val="5E153089"/>
    <w:rsid w:val="5E194310"/>
    <w:rsid w:val="5EB8640C"/>
    <w:rsid w:val="5EC92295"/>
    <w:rsid w:val="5F0B16F5"/>
    <w:rsid w:val="5F12099B"/>
    <w:rsid w:val="5F2035EB"/>
    <w:rsid w:val="5F4E560C"/>
    <w:rsid w:val="5F66592C"/>
    <w:rsid w:val="5F9A6357"/>
    <w:rsid w:val="5FA1065E"/>
    <w:rsid w:val="5FC2179B"/>
    <w:rsid w:val="5FDB4C83"/>
    <w:rsid w:val="5FDE3600"/>
    <w:rsid w:val="603665CD"/>
    <w:rsid w:val="603B51FC"/>
    <w:rsid w:val="611322D1"/>
    <w:rsid w:val="61291C00"/>
    <w:rsid w:val="612A7A57"/>
    <w:rsid w:val="613E5314"/>
    <w:rsid w:val="6147286C"/>
    <w:rsid w:val="618D0FF6"/>
    <w:rsid w:val="61F07F5C"/>
    <w:rsid w:val="61FF059B"/>
    <w:rsid w:val="628E64AF"/>
    <w:rsid w:val="62A063FC"/>
    <w:rsid w:val="62CE7D97"/>
    <w:rsid w:val="62D51D59"/>
    <w:rsid w:val="62EE0E1F"/>
    <w:rsid w:val="62EE4265"/>
    <w:rsid w:val="630B3E0C"/>
    <w:rsid w:val="636E5BB0"/>
    <w:rsid w:val="639C016B"/>
    <w:rsid w:val="64157664"/>
    <w:rsid w:val="6425270D"/>
    <w:rsid w:val="64420C2A"/>
    <w:rsid w:val="64A6696C"/>
    <w:rsid w:val="64C004D8"/>
    <w:rsid w:val="64C5259F"/>
    <w:rsid w:val="64EA0FCF"/>
    <w:rsid w:val="655167CA"/>
    <w:rsid w:val="656C491B"/>
    <w:rsid w:val="65A00D84"/>
    <w:rsid w:val="66086B65"/>
    <w:rsid w:val="66346A66"/>
    <w:rsid w:val="66471453"/>
    <w:rsid w:val="67250883"/>
    <w:rsid w:val="674D64E7"/>
    <w:rsid w:val="6751418F"/>
    <w:rsid w:val="677700E3"/>
    <w:rsid w:val="67BF3E7A"/>
    <w:rsid w:val="67D266B3"/>
    <w:rsid w:val="67D70B7C"/>
    <w:rsid w:val="67DA0018"/>
    <w:rsid w:val="680A3E47"/>
    <w:rsid w:val="686730F2"/>
    <w:rsid w:val="686C2DA0"/>
    <w:rsid w:val="68756FA8"/>
    <w:rsid w:val="689E4D14"/>
    <w:rsid w:val="68F25091"/>
    <w:rsid w:val="694456E3"/>
    <w:rsid w:val="69555CD9"/>
    <w:rsid w:val="697D4736"/>
    <w:rsid w:val="69E9120E"/>
    <w:rsid w:val="69F96630"/>
    <w:rsid w:val="6A08390A"/>
    <w:rsid w:val="6A3613AC"/>
    <w:rsid w:val="6A38564B"/>
    <w:rsid w:val="6A9B06AB"/>
    <w:rsid w:val="6B7F17B1"/>
    <w:rsid w:val="6BA72125"/>
    <w:rsid w:val="6C410FEA"/>
    <w:rsid w:val="6CBF3486"/>
    <w:rsid w:val="6D18269B"/>
    <w:rsid w:val="6D1B5C7E"/>
    <w:rsid w:val="6D4E5217"/>
    <w:rsid w:val="6D561AB4"/>
    <w:rsid w:val="6D5E7BE9"/>
    <w:rsid w:val="6D7D377F"/>
    <w:rsid w:val="6DA5609A"/>
    <w:rsid w:val="6DE224F6"/>
    <w:rsid w:val="6DE360F1"/>
    <w:rsid w:val="6E1B2B27"/>
    <w:rsid w:val="6E256347"/>
    <w:rsid w:val="6E2E712C"/>
    <w:rsid w:val="6EA271B1"/>
    <w:rsid w:val="6EA91348"/>
    <w:rsid w:val="6EB63D5D"/>
    <w:rsid w:val="6EC63B4E"/>
    <w:rsid w:val="6F0B6010"/>
    <w:rsid w:val="6F114A9A"/>
    <w:rsid w:val="70163CF3"/>
    <w:rsid w:val="70691153"/>
    <w:rsid w:val="708906D1"/>
    <w:rsid w:val="70C76100"/>
    <w:rsid w:val="71593B40"/>
    <w:rsid w:val="715E70FD"/>
    <w:rsid w:val="71AF59F3"/>
    <w:rsid w:val="71BB48E8"/>
    <w:rsid w:val="71F32BFA"/>
    <w:rsid w:val="71FD1FC9"/>
    <w:rsid w:val="72C96B68"/>
    <w:rsid w:val="72CC487C"/>
    <w:rsid w:val="72F774F5"/>
    <w:rsid w:val="74097BB1"/>
    <w:rsid w:val="74104207"/>
    <w:rsid w:val="745D0172"/>
    <w:rsid w:val="74F008B3"/>
    <w:rsid w:val="752D3A4F"/>
    <w:rsid w:val="753362C5"/>
    <w:rsid w:val="75822A16"/>
    <w:rsid w:val="759B5A5A"/>
    <w:rsid w:val="75D20971"/>
    <w:rsid w:val="75F33F9B"/>
    <w:rsid w:val="75FA59FA"/>
    <w:rsid w:val="762768F9"/>
    <w:rsid w:val="76577D91"/>
    <w:rsid w:val="77522230"/>
    <w:rsid w:val="7787400A"/>
    <w:rsid w:val="77905FE5"/>
    <w:rsid w:val="77954689"/>
    <w:rsid w:val="779B18FC"/>
    <w:rsid w:val="77BB691C"/>
    <w:rsid w:val="77D702A8"/>
    <w:rsid w:val="7876004E"/>
    <w:rsid w:val="787C73F9"/>
    <w:rsid w:val="792175C5"/>
    <w:rsid w:val="79303C51"/>
    <w:rsid w:val="795E4766"/>
    <w:rsid w:val="795F1582"/>
    <w:rsid w:val="79804EF7"/>
    <w:rsid w:val="799D3616"/>
    <w:rsid w:val="79E058C9"/>
    <w:rsid w:val="7A242F20"/>
    <w:rsid w:val="7AD37ED3"/>
    <w:rsid w:val="7B2B3FE0"/>
    <w:rsid w:val="7B4C30E7"/>
    <w:rsid w:val="7BD5086A"/>
    <w:rsid w:val="7C2F4BDD"/>
    <w:rsid w:val="7C737FCE"/>
    <w:rsid w:val="7C772A93"/>
    <w:rsid w:val="7D127985"/>
    <w:rsid w:val="7D660923"/>
    <w:rsid w:val="7D7B6AD8"/>
    <w:rsid w:val="7DD064C2"/>
    <w:rsid w:val="7DD43CC2"/>
    <w:rsid w:val="7E001EAC"/>
    <w:rsid w:val="7E230656"/>
    <w:rsid w:val="7E291AF0"/>
    <w:rsid w:val="7E41185C"/>
    <w:rsid w:val="7E5B3296"/>
    <w:rsid w:val="7E6D4839"/>
    <w:rsid w:val="7ECC061A"/>
    <w:rsid w:val="7EFC7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rPr>
  </w:style>
  <w:style w:type="paragraph" w:styleId="4">
    <w:name w:val="heading 2"/>
    <w:basedOn w:val="1"/>
    <w:next w:val="1"/>
    <w:link w:val="7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4"/>
    <w:qFormat/>
    <w:uiPriority w:val="0"/>
    <w:pPr>
      <w:keepNext/>
      <w:keepLines/>
      <w:spacing w:before="260" w:after="260" w:line="413" w:lineRule="auto"/>
      <w:outlineLvl w:val="2"/>
    </w:pPr>
    <w:rPr>
      <w:b/>
      <w:sz w:val="32"/>
    </w:rPr>
  </w:style>
  <w:style w:type="paragraph" w:styleId="6">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6"/>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7"/>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0"/>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425" w:hanging="425"/>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69"/>
    <w:qFormat/>
    <w:uiPriority w:val="0"/>
    <w:pPr>
      <w:shd w:val="clear" w:color="auto" w:fill="000080"/>
    </w:pPr>
  </w:style>
  <w:style w:type="paragraph" w:styleId="19">
    <w:name w:val="annotation text"/>
    <w:basedOn w:val="1"/>
    <w:link w:val="148"/>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5"/>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142"/>
    <w:unhideWhenUsed/>
    <w:qFormat/>
    <w:uiPriority w:val="0"/>
    <w:pPr>
      <w:spacing w:after="120"/>
    </w:pPr>
  </w:style>
  <w:style w:type="paragraph" w:styleId="23">
    <w:name w:val="Body Text Indent"/>
    <w:basedOn w:val="1"/>
    <w:link w:val="137"/>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6"/>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7"/>
    <w:qFormat/>
    <w:uiPriority w:val="0"/>
    <w:rPr>
      <w:rFonts w:asciiTheme="minorHAnsi" w:hAnsiTheme="minorHAnsi" w:eastAsiaTheme="minorEastAsia" w:cstheme="minorBidi"/>
      <w:szCs w:val="22"/>
    </w:rPr>
  </w:style>
  <w:style w:type="paragraph" w:styleId="33">
    <w:name w:val="Body Text Indent 2"/>
    <w:basedOn w:val="1"/>
    <w:link w:val="174"/>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4"/>
    <w:qFormat/>
    <w:uiPriority w:val="0"/>
    <w:rPr>
      <w:sz w:val="18"/>
    </w:rPr>
  </w:style>
  <w:style w:type="paragraph" w:styleId="35">
    <w:name w:val="footer"/>
    <w:basedOn w:val="1"/>
    <w:link w:val="181"/>
    <w:qFormat/>
    <w:uiPriority w:val="0"/>
    <w:pPr>
      <w:tabs>
        <w:tab w:val="center" w:pos="4153"/>
        <w:tab w:val="right" w:pos="8306"/>
      </w:tabs>
      <w:snapToGrid w:val="0"/>
      <w:jc w:val="left"/>
    </w:pPr>
    <w:rPr>
      <w:sz w:val="18"/>
    </w:rPr>
  </w:style>
  <w:style w:type="paragraph" w:styleId="36">
    <w:name w:val="header"/>
    <w:basedOn w:val="1"/>
    <w:link w:val="17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78"/>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5"/>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4"/>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0"/>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2"/>
    <w:qFormat/>
    <w:uiPriority w:val="0"/>
    <w:pPr>
      <w:adjustRightInd/>
      <w:spacing w:line="240" w:lineRule="auto"/>
      <w:textAlignment w:val="auto"/>
    </w:pPr>
  </w:style>
  <w:style w:type="paragraph" w:styleId="55">
    <w:name w:val="Body Text First Indent"/>
    <w:basedOn w:val="22"/>
    <w:link w:val="143"/>
    <w:qFormat/>
    <w:uiPriority w:val="0"/>
    <w:pPr>
      <w:spacing w:line="360" w:lineRule="auto"/>
      <w:ind w:firstLine="420"/>
    </w:pPr>
    <w:rPr>
      <w:rFonts w:ascii="宋体" w:hAnsi="宋体"/>
      <w:sz w:val="24"/>
    </w:rPr>
  </w:style>
  <w:style w:type="paragraph" w:styleId="56">
    <w:name w:val="Body Text First Indent 2"/>
    <w:basedOn w:val="23"/>
    <w:link w:val="138"/>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标题 1 字符"/>
    <w:basedOn w:val="59"/>
    <w:link w:val="3"/>
    <w:qFormat/>
    <w:uiPriority w:val="0"/>
    <w:rPr>
      <w:rFonts w:ascii="宋体" w:hAnsi="Times New Roman" w:eastAsia="宋体" w:cs="Times New Roman"/>
      <w:sz w:val="28"/>
      <w:szCs w:val="20"/>
    </w:rPr>
  </w:style>
  <w:style w:type="character" w:customStyle="1" w:styleId="73">
    <w:name w:val="标题 2 字符"/>
    <w:basedOn w:val="59"/>
    <w:link w:val="4"/>
    <w:qFormat/>
    <w:uiPriority w:val="0"/>
    <w:rPr>
      <w:rFonts w:ascii="Arial" w:hAnsi="Arial" w:eastAsia="黑体" w:cs="Times New Roman"/>
      <w:b/>
      <w:sz w:val="32"/>
      <w:szCs w:val="20"/>
    </w:rPr>
  </w:style>
  <w:style w:type="character" w:customStyle="1" w:styleId="74">
    <w:name w:val="标题 3 字符"/>
    <w:basedOn w:val="59"/>
    <w:link w:val="5"/>
    <w:qFormat/>
    <w:uiPriority w:val="0"/>
    <w:rPr>
      <w:rFonts w:ascii="Times New Roman" w:hAnsi="Times New Roman" w:eastAsia="宋体" w:cs="Times New Roman"/>
      <w:b/>
      <w:sz w:val="32"/>
      <w:szCs w:val="20"/>
    </w:rPr>
  </w:style>
  <w:style w:type="character" w:customStyle="1" w:styleId="75">
    <w:name w:val="标题 4 字符"/>
    <w:basedOn w:val="59"/>
    <w:link w:val="6"/>
    <w:qFormat/>
    <w:uiPriority w:val="0"/>
    <w:rPr>
      <w:rFonts w:ascii="Arial" w:hAnsi="Arial" w:eastAsia="黑体" w:cs="Times New Roman"/>
      <w:b/>
      <w:sz w:val="28"/>
      <w:szCs w:val="20"/>
    </w:rPr>
  </w:style>
  <w:style w:type="character" w:customStyle="1" w:styleId="76">
    <w:name w:val="标题 5 字符"/>
    <w:basedOn w:val="59"/>
    <w:link w:val="7"/>
    <w:qFormat/>
    <w:uiPriority w:val="0"/>
    <w:rPr>
      <w:rFonts w:ascii="Times New Roman" w:hAnsi="Times New Roman" w:eastAsia="宋体" w:cs="Times New Roman"/>
      <w:b/>
      <w:sz w:val="28"/>
      <w:szCs w:val="20"/>
    </w:rPr>
  </w:style>
  <w:style w:type="character" w:customStyle="1" w:styleId="77">
    <w:name w:val="标题 6 字符"/>
    <w:basedOn w:val="59"/>
    <w:link w:val="8"/>
    <w:qFormat/>
    <w:uiPriority w:val="0"/>
    <w:rPr>
      <w:rFonts w:ascii="Arial" w:hAnsi="Arial" w:eastAsia="黑体" w:cs="Times New Roman"/>
      <w:b/>
      <w:sz w:val="24"/>
      <w:szCs w:val="20"/>
    </w:rPr>
  </w:style>
  <w:style w:type="character" w:customStyle="1" w:styleId="78">
    <w:name w:val="标题 7 字符"/>
    <w:basedOn w:val="59"/>
    <w:link w:val="9"/>
    <w:qFormat/>
    <w:uiPriority w:val="0"/>
    <w:rPr>
      <w:rFonts w:ascii="Arial" w:hAnsi="Arial" w:eastAsia="黑体" w:cs="Times New Roman"/>
      <w:b/>
      <w:sz w:val="24"/>
      <w:szCs w:val="20"/>
    </w:rPr>
  </w:style>
  <w:style w:type="character" w:customStyle="1" w:styleId="79">
    <w:name w:val="标题 8 字符"/>
    <w:basedOn w:val="59"/>
    <w:link w:val="10"/>
    <w:qFormat/>
    <w:uiPriority w:val="0"/>
    <w:rPr>
      <w:rFonts w:ascii="Arial" w:hAnsi="Arial" w:eastAsia="黑体" w:cs="Times New Roman"/>
      <w:b/>
      <w:sz w:val="24"/>
      <w:szCs w:val="20"/>
    </w:rPr>
  </w:style>
  <w:style w:type="character" w:customStyle="1" w:styleId="80">
    <w:name w:val="标题 9 字符"/>
    <w:basedOn w:val="59"/>
    <w:link w:val="11"/>
    <w:qFormat/>
    <w:uiPriority w:val="0"/>
    <w:rPr>
      <w:rFonts w:ascii="Arial" w:hAnsi="Arial" w:eastAsia="黑体" w:cs="Times New Roman"/>
      <w:b/>
      <w:sz w:val="24"/>
      <w:szCs w:val="20"/>
    </w:rPr>
  </w:style>
  <w:style w:type="character" w:customStyle="1" w:styleId="81">
    <w:name w:val="正文文本缩进 Char"/>
    <w:qFormat/>
    <w:uiPriority w:val="0"/>
    <w:rPr>
      <w:kern w:val="2"/>
      <w:sz w:val="44"/>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样式 宋体"/>
    <w:qFormat/>
    <w:uiPriority w:val="0"/>
    <w:rPr>
      <w:rFonts w:ascii="宋体" w:hAnsi="宋体" w:eastAsia="宋体"/>
      <w:sz w:val="28"/>
    </w:rPr>
  </w:style>
  <w:style w:type="character" w:customStyle="1" w:styleId="84">
    <w:name w:val="Char Char4"/>
    <w:qFormat/>
    <w:uiPriority w:val="0"/>
    <w:rPr>
      <w:rFonts w:eastAsia="宋体"/>
      <w:b/>
      <w:kern w:val="2"/>
      <w:sz w:val="21"/>
      <w:lang w:val="en-US" w:eastAsia="zh-CN"/>
    </w:rPr>
  </w:style>
  <w:style w:type="character" w:customStyle="1" w:styleId="85">
    <w:name w:val="title_emph1"/>
    <w:qFormat/>
    <w:uiPriority w:val="0"/>
    <w:rPr>
      <w:rFonts w:hint="default" w:ascii="Arial" w:hAnsi="Arial"/>
      <w:b/>
      <w:sz w:val="20"/>
    </w:rPr>
  </w:style>
  <w:style w:type="character" w:customStyle="1" w:styleId="86">
    <w:name w:val="文字 Char"/>
    <w:link w:val="87"/>
    <w:qFormat/>
    <w:uiPriority w:val="0"/>
    <w:rPr>
      <w:rFonts w:ascii="宋体"/>
      <w:sz w:val="28"/>
    </w:rPr>
  </w:style>
  <w:style w:type="paragraph" w:customStyle="1" w:styleId="87">
    <w:name w:val="文字"/>
    <w:basedOn w:val="1"/>
    <w:link w:val="86"/>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8">
    <w:name w:val="正文文本缩进 2 Char"/>
    <w:qFormat/>
    <w:uiPriority w:val="0"/>
    <w:rPr>
      <w:sz w:val="28"/>
    </w:rPr>
  </w:style>
  <w:style w:type="character" w:customStyle="1" w:styleId="89">
    <w:name w:val="Char Char11"/>
    <w:qFormat/>
    <w:uiPriority w:val="0"/>
    <w:rPr>
      <w:rFonts w:ascii="宋体"/>
      <w:kern w:val="2"/>
      <w:sz w:val="28"/>
    </w:rPr>
  </w:style>
  <w:style w:type="character" w:customStyle="1" w:styleId="90">
    <w:name w:val="批注文字 Char"/>
    <w:qFormat/>
    <w:uiPriority w:val="0"/>
    <w:rPr>
      <w:sz w:val="24"/>
    </w:rPr>
  </w:style>
  <w:style w:type="character" w:customStyle="1" w:styleId="91">
    <w:name w:val="Char Char6"/>
    <w:qFormat/>
    <w:uiPriority w:val="0"/>
    <w:rPr>
      <w:rFonts w:ascii="仿宋_GB2312" w:eastAsia="仿宋_GB2312"/>
      <w:kern w:val="2"/>
      <w:sz w:val="32"/>
    </w:rPr>
  </w:style>
  <w:style w:type="character" w:customStyle="1" w:styleId="92">
    <w:name w:val="正文 + 三号 Char"/>
    <w:qFormat/>
    <w:uiPriority w:val="0"/>
    <w:rPr>
      <w:rFonts w:eastAsia="宋体"/>
      <w:kern w:val="2"/>
      <w:sz w:val="21"/>
      <w:lang w:val="en-US" w:eastAsia="zh-CN"/>
    </w:rPr>
  </w:style>
  <w:style w:type="character" w:customStyle="1" w:styleId="93">
    <w:name w:val="脚注文本 Char"/>
    <w:qFormat/>
    <w:uiPriority w:val="0"/>
    <w:rPr>
      <w:sz w:val="18"/>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v151"/>
    <w:qFormat/>
    <w:uiPriority w:val="0"/>
    <w:rPr>
      <w:sz w:val="18"/>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未命名11"/>
    <w:qFormat/>
    <w:uiPriority w:val="0"/>
    <w:rPr>
      <w:color w:val="77FFFF"/>
      <w:sz w:val="24"/>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标书正文:  0.74 厘米 Char1"/>
    <w:qFormat/>
    <w:uiPriority w:val="0"/>
    <w:rPr>
      <w:rFonts w:eastAsia="宋体"/>
      <w:kern w:val="2"/>
      <w:sz w:val="24"/>
      <w:lang w:val="en-US" w:eastAsia="zh-CN"/>
    </w:rPr>
  </w:style>
  <w:style w:type="character" w:customStyle="1" w:styleId="101">
    <w:name w:val="Char Char2"/>
    <w:qFormat/>
    <w:uiPriority w:val="0"/>
    <w:rPr>
      <w:rFonts w:eastAsia="宋体"/>
      <w:kern w:val="2"/>
      <w:sz w:val="18"/>
      <w:lang w:val="en-US" w:eastAsia="zh-CN"/>
    </w:rPr>
  </w:style>
  <w:style w:type="character" w:customStyle="1" w:styleId="102">
    <w:name w:val="top-det1"/>
    <w:qFormat/>
    <w:uiPriority w:val="0"/>
    <w:rPr>
      <w:b/>
      <w:color w:val="000000"/>
    </w:rPr>
  </w:style>
  <w:style w:type="character" w:customStyle="1" w:styleId="103">
    <w:name w:val="日期 Char"/>
    <w:qFormat/>
    <w:uiPriority w:val="0"/>
    <w:rPr>
      <w:sz w:val="28"/>
    </w:rPr>
  </w:style>
  <w:style w:type="character" w:customStyle="1" w:styleId="104">
    <w:name w:val="批注主题 Char"/>
    <w:basedOn w:val="90"/>
    <w:qFormat/>
    <w:uiPriority w:val="0"/>
    <w:rPr>
      <w:sz w:val="24"/>
    </w:rPr>
  </w:style>
  <w:style w:type="character" w:customStyle="1" w:styleId="105">
    <w:name w:val="Char Char3"/>
    <w:qFormat/>
    <w:uiPriority w:val="0"/>
    <w:rPr>
      <w:rFonts w:eastAsia="宋体"/>
      <w:kern w:val="2"/>
      <w:sz w:val="18"/>
      <w:lang w:val="en-US" w:eastAsia="zh-CN"/>
    </w:rPr>
  </w:style>
  <w:style w:type="character" w:customStyle="1" w:styleId="106">
    <w:name w:val="Table Text Char"/>
    <w:link w:val="107"/>
    <w:qFormat/>
    <w:uiPriority w:val="0"/>
    <w:rPr>
      <w:rFonts w:ascii="Arial" w:hAnsi="Arial"/>
      <w:sz w:val="18"/>
    </w:rPr>
  </w:style>
  <w:style w:type="paragraph" w:customStyle="1" w:styleId="107">
    <w:name w:val="Table Text"/>
    <w:link w:val="10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8">
    <w:name w:val="crowed11"/>
    <w:qFormat/>
    <w:uiPriority w:val="0"/>
    <w:rPr>
      <w:rFonts w:hint="default"/>
      <w:sz w:val="24"/>
    </w:rPr>
  </w:style>
  <w:style w:type="character" w:customStyle="1" w:styleId="109">
    <w:name w:val="font1"/>
    <w:qFormat/>
    <w:uiPriority w:val="0"/>
    <w:rPr>
      <w:color w:val="000000"/>
      <w:sz w:val="18"/>
    </w:rPr>
  </w:style>
  <w:style w:type="character" w:customStyle="1" w:styleId="110">
    <w:name w:val="Table Text Char Char Char Char"/>
    <w:link w:val="111"/>
    <w:qFormat/>
    <w:uiPriority w:val="0"/>
    <w:rPr>
      <w:rFonts w:ascii="Arial" w:hAnsi="Arial"/>
      <w:sz w:val="18"/>
    </w:rPr>
  </w:style>
  <w:style w:type="paragraph" w:customStyle="1" w:styleId="111">
    <w:name w:val="Table Text Char Char Char"/>
    <w:link w:val="11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2">
    <w:name w:val="H2 Char"/>
    <w:qFormat/>
    <w:uiPriority w:val="0"/>
    <w:rPr>
      <w:rFonts w:ascii="Arial" w:hAnsi="Arial" w:eastAsia="宋体"/>
      <w:kern w:val="2"/>
      <w:sz w:val="28"/>
      <w:lang w:val="en-US" w:eastAsia="zh-CN"/>
    </w:rPr>
  </w:style>
  <w:style w:type="character" w:customStyle="1" w:styleId="113">
    <w:name w:val="content-white1"/>
    <w:qFormat/>
    <w:uiPriority w:val="0"/>
    <w:rPr>
      <w:color w:val="auto"/>
      <w:sz w:val="18"/>
      <w:u w:val="none"/>
    </w:rPr>
  </w:style>
  <w:style w:type="character" w:customStyle="1" w:styleId="114">
    <w:name w:val="正文首行缩进 2 Char"/>
    <w:basedOn w:val="81"/>
    <w:qFormat/>
    <w:uiPriority w:val="0"/>
    <w:rPr>
      <w:kern w:val="2"/>
      <w:sz w:val="44"/>
    </w:rPr>
  </w:style>
  <w:style w:type="character" w:customStyle="1" w:styleId="115">
    <w:name w:val="Char Char7"/>
    <w:qFormat/>
    <w:uiPriority w:val="0"/>
    <w:rPr>
      <w:rFonts w:ascii="宋体" w:hAnsi="宋体" w:eastAsia="宋体"/>
      <w:kern w:val="2"/>
      <w:sz w:val="28"/>
    </w:rPr>
  </w:style>
  <w:style w:type="paragraph" w:customStyle="1" w:styleId="116">
    <w:name w:val="样式 首行缩进:  0.74 厘米"/>
    <w:basedOn w:val="1"/>
    <w:qFormat/>
    <w:uiPriority w:val="0"/>
    <w:pPr>
      <w:spacing w:line="360" w:lineRule="auto"/>
      <w:ind w:firstLine="420"/>
    </w:pPr>
    <w:rPr>
      <w:sz w:val="24"/>
    </w:rPr>
  </w:style>
  <w:style w:type="paragraph" w:customStyle="1" w:styleId="11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19">
    <w:name w:val="正文 + 三号"/>
    <w:basedOn w:val="1"/>
    <w:qFormat/>
    <w:uiPriority w:val="0"/>
    <w:rPr>
      <w:sz w:val="21"/>
    </w:rPr>
  </w:style>
  <w:style w:type="character" w:customStyle="1" w:styleId="120">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3">
    <w:name w:val="样式 正文缩进正文（首行缩进两字）表正文正文非缩进特点标题4段1 + 首行缩进:  2 字符"/>
    <w:basedOn w:val="16"/>
    <w:qFormat/>
    <w:uiPriority w:val="0"/>
    <w:pPr>
      <w:ind w:firstLine="480" w:firstLineChars="200"/>
    </w:pPr>
  </w:style>
  <w:style w:type="paragraph" w:customStyle="1" w:styleId="124">
    <w:name w:val="1.正文"/>
    <w:basedOn w:val="1"/>
    <w:qFormat/>
    <w:uiPriority w:val="0"/>
    <w:pPr>
      <w:spacing w:line="360" w:lineRule="auto"/>
      <w:ind w:left="540" w:leftChars="225" w:firstLine="540" w:firstLineChars="225"/>
    </w:pPr>
    <w:rPr>
      <w:sz w:val="24"/>
    </w:rPr>
  </w:style>
  <w:style w:type="paragraph" w:customStyle="1" w:styleId="125">
    <w:name w:val="正文4"/>
    <w:basedOn w:val="1"/>
    <w:qFormat/>
    <w:uiPriority w:val="0"/>
    <w:pPr>
      <w:tabs>
        <w:tab w:val="left" w:pos="1275"/>
      </w:tabs>
      <w:spacing w:before="60" w:after="60" w:line="360" w:lineRule="auto"/>
      <w:ind w:left="820" w:leftChars="400" w:hanging="705"/>
    </w:pPr>
    <w:rPr>
      <w:sz w:val="24"/>
    </w:rPr>
  </w:style>
  <w:style w:type="character" w:customStyle="1" w:styleId="126">
    <w:name w:val="纯文本 字符"/>
    <w:basedOn w:val="59"/>
    <w:link w:val="30"/>
    <w:qFormat/>
    <w:uiPriority w:val="0"/>
    <w:rPr>
      <w:rFonts w:ascii="宋体" w:hAnsi="Courier New" w:eastAsia="宋体" w:cs="Times New Roman"/>
      <w:szCs w:val="20"/>
    </w:rPr>
  </w:style>
  <w:style w:type="paragraph" w:customStyle="1" w:styleId="127">
    <w:name w:val="Char"/>
    <w:basedOn w:val="1"/>
    <w:qFormat/>
    <w:uiPriority w:val="0"/>
    <w:pPr>
      <w:spacing w:line="240" w:lineRule="atLeast"/>
      <w:ind w:left="420" w:firstLine="420"/>
    </w:pPr>
    <w:rPr>
      <w:kern w:val="0"/>
      <w:sz w:val="21"/>
    </w:rPr>
  </w:style>
  <w:style w:type="paragraph" w:customStyle="1" w:styleId="12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2">
    <w:name w:val="Char2"/>
    <w:basedOn w:val="1"/>
    <w:qFormat/>
    <w:uiPriority w:val="0"/>
    <w:pPr>
      <w:spacing w:line="240" w:lineRule="atLeast"/>
      <w:ind w:left="420" w:firstLine="420"/>
    </w:pPr>
    <w:rPr>
      <w:kern w:val="0"/>
      <w:sz w:val="21"/>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文章正文"/>
    <w:basedOn w:val="1"/>
    <w:qFormat/>
    <w:uiPriority w:val="0"/>
    <w:pPr>
      <w:ind w:firstLine="560" w:firstLineChars="200"/>
    </w:pPr>
    <w:rPr>
      <w:rFonts w:ascii="仿宋_GB2312" w:hAnsi="宋体" w:eastAsia="仿宋_GB2312"/>
      <w:color w:val="000000"/>
    </w:rPr>
  </w:style>
  <w:style w:type="paragraph" w:customStyle="1" w:styleId="136">
    <w:name w:val="表头文本"/>
    <w:qFormat/>
    <w:uiPriority w:val="0"/>
    <w:pPr>
      <w:jc w:val="center"/>
    </w:pPr>
    <w:rPr>
      <w:rFonts w:ascii="Arial" w:hAnsi="Arial" w:eastAsia="宋体" w:cs="Times New Roman"/>
      <w:b/>
      <w:sz w:val="21"/>
      <w:lang w:val="en-US" w:eastAsia="zh-CN" w:bidi="ar-SA"/>
    </w:rPr>
  </w:style>
  <w:style w:type="character" w:customStyle="1" w:styleId="137">
    <w:name w:val="正文文本缩进 字符"/>
    <w:basedOn w:val="59"/>
    <w:link w:val="23"/>
    <w:semiHidden/>
    <w:qFormat/>
    <w:uiPriority w:val="99"/>
    <w:rPr>
      <w:rFonts w:ascii="Times New Roman" w:hAnsi="Times New Roman" w:eastAsia="宋体" w:cs="Times New Roman"/>
      <w:sz w:val="28"/>
      <w:szCs w:val="20"/>
    </w:rPr>
  </w:style>
  <w:style w:type="character" w:customStyle="1" w:styleId="138">
    <w:name w:val="正文文本首行缩进 2 字符"/>
    <w:basedOn w:val="137"/>
    <w:link w:val="56"/>
    <w:semiHidden/>
    <w:qFormat/>
    <w:uiPriority w:val="99"/>
    <w:rPr>
      <w:rFonts w:ascii="Times New Roman" w:hAnsi="Times New Roman" w:eastAsia="宋体" w:cs="Times New Roman"/>
      <w:sz w:val="28"/>
      <w:szCs w:val="20"/>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2">
    <w:name w:val="正文文本 字符"/>
    <w:basedOn w:val="59"/>
    <w:link w:val="22"/>
    <w:semiHidden/>
    <w:qFormat/>
    <w:uiPriority w:val="99"/>
    <w:rPr>
      <w:rFonts w:ascii="Times New Roman" w:hAnsi="Times New Roman" w:eastAsia="宋体" w:cs="Times New Roman"/>
      <w:sz w:val="28"/>
      <w:szCs w:val="20"/>
    </w:rPr>
  </w:style>
  <w:style w:type="character" w:customStyle="1" w:styleId="143">
    <w:name w:val="正文文本首行缩进 字符"/>
    <w:basedOn w:val="142"/>
    <w:link w:val="55"/>
    <w:qFormat/>
    <w:uiPriority w:val="0"/>
    <w:rPr>
      <w:rFonts w:ascii="宋体" w:hAnsi="宋体" w:eastAsia="宋体" w:cs="Times New Roman"/>
      <w:sz w:val="24"/>
      <w:szCs w:val="20"/>
    </w:rPr>
  </w:style>
  <w:style w:type="character" w:customStyle="1" w:styleId="144">
    <w:name w:val="正文文本 2 字符"/>
    <w:basedOn w:val="59"/>
    <w:link w:val="47"/>
    <w:qFormat/>
    <w:uiPriority w:val="0"/>
    <w:rPr>
      <w:rFonts w:ascii="Times New Roman" w:hAnsi="Times New Roman" w:eastAsia="宋体" w:cs="Times New Roman"/>
      <w:sz w:val="24"/>
      <w:szCs w:val="20"/>
    </w:rPr>
  </w:style>
  <w:style w:type="paragraph" w:customStyle="1" w:styleId="145">
    <w:name w:val="Char Char14 Char Char"/>
    <w:basedOn w:val="1"/>
    <w:qFormat/>
    <w:uiPriority w:val="0"/>
    <w:rPr>
      <w:sz w:val="21"/>
      <w:szCs w:val="24"/>
    </w:rPr>
  </w:style>
  <w:style w:type="paragraph" w:customStyle="1" w:styleId="1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7">
    <w:name w:val="Char Char Char"/>
    <w:basedOn w:val="1"/>
    <w:qFormat/>
    <w:uiPriority w:val="0"/>
    <w:rPr>
      <w:rFonts w:ascii="Tahoma" w:hAnsi="Tahoma"/>
      <w:sz w:val="24"/>
    </w:rPr>
  </w:style>
  <w:style w:type="character" w:customStyle="1" w:styleId="148">
    <w:name w:val="批注文字 字符"/>
    <w:basedOn w:val="59"/>
    <w:link w:val="19"/>
    <w:semiHidden/>
    <w:qFormat/>
    <w:uiPriority w:val="99"/>
    <w:rPr>
      <w:rFonts w:ascii="Times New Roman" w:hAnsi="Times New Roman" w:eastAsia="宋体" w:cs="Times New Roman"/>
      <w:sz w:val="28"/>
      <w:szCs w:val="20"/>
    </w:rPr>
  </w:style>
  <w:style w:type="paragraph" w:customStyle="1" w:styleId="14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0">
    <w:name w:val="样式4"/>
    <w:basedOn w:val="6"/>
    <w:qFormat/>
    <w:uiPriority w:val="0"/>
    <w:pPr>
      <w:adjustRightInd w:val="0"/>
      <w:snapToGrid w:val="0"/>
    </w:pPr>
  </w:style>
  <w:style w:type="paragraph" w:customStyle="1" w:styleId="151">
    <w:name w:val="编号正文"/>
    <w:basedOn w:val="128"/>
    <w:qFormat/>
    <w:uiPriority w:val="0"/>
    <w:pPr>
      <w:snapToGrid/>
      <w:spacing w:line="360" w:lineRule="auto"/>
      <w:ind w:left="1407" w:hanging="1047"/>
      <w:jc w:val="left"/>
    </w:pPr>
    <w:rPr>
      <w:rFonts w:eastAsia="仿宋_GB2312"/>
    </w:rPr>
  </w:style>
  <w:style w:type="paragraph" w:customStyle="1" w:styleId="152">
    <w:name w:val="Char1 Char Char Char"/>
    <w:basedOn w:val="1"/>
    <w:qFormat/>
    <w:uiPriority w:val="0"/>
    <w:rPr>
      <w:rFonts w:ascii="Tahoma" w:hAnsi="Tahoma"/>
      <w:sz w:val="24"/>
    </w:rPr>
  </w:style>
  <w:style w:type="paragraph" w:customStyle="1" w:styleId="153">
    <w:name w:val="正文1"/>
    <w:basedOn w:val="1"/>
    <w:qFormat/>
    <w:uiPriority w:val="0"/>
    <w:pPr>
      <w:spacing w:line="300" w:lineRule="auto"/>
      <w:ind w:firstLine="200" w:firstLineChars="200"/>
    </w:pPr>
    <w:rPr>
      <w:sz w:val="24"/>
    </w:rPr>
  </w:style>
  <w:style w:type="character" w:customStyle="1" w:styleId="154">
    <w:name w:val="批注框文本 字符"/>
    <w:basedOn w:val="59"/>
    <w:link w:val="34"/>
    <w:qFormat/>
    <w:uiPriority w:val="0"/>
    <w:rPr>
      <w:rFonts w:ascii="Times New Roman" w:hAnsi="Times New Roman" w:eastAsia="宋体" w:cs="Times New Roman"/>
      <w:sz w:val="18"/>
      <w:szCs w:val="20"/>
    </w:rPr>
  </w:style>
  <w:style w:type="paragraph" w:customStyle="1" w:styleId="155">
    <w:name w:val="af"/>
    <w:basedOn w:val="1"/>
    <w:qFormat/>
    <w:uiPriority w:val="0"/>
    <w:pPr>
      <w:widowControl/>
      <w:spacing w:line="300" w:lineRule="atLeast"/>
      <w:jc w:val="left"/>
    </w:pPr>
    <w:rPr>
      <w:rFonts w:ascii="宋体" w:hAnsi="宋体"/>
      <w:kern w:val="0"/>
      <w:sz w:val="18"/>
    </w:rPr>
  </w:style>
  <w:style w:type="paragraph" w:customStyle="1" w:styleId="15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7">
    <w:name w:val="日期 字符"/>
    <w:basedOn w:val="59"/>
    <w:link w:val="32"/>
    <w:semiHidden/>
    <w:qFormat/>
    <w:uiPriority w:val="99"/>
    <w:rPr>
      <w:rFonts w:ascii="Times New Roman" w:hAnsi="Times New Roman" w:eastAsia="宋体" w:cs="Times New Roman"/>
      <w:sz w:val="28"/>
      <w:szCs w:val="20"/>
    </w:rPr>
  </w:style>
  <w:style w:type="paragraph" w:customStyle="1" w:styleId="158">
    <w:name w:val="样式1xz"/>
    <w:basedOn w:val="1"/>
    <w:qFormat/>
    <w:uiPriority w:val="0"/>
    <w:pPr>
      <w:tabs>
        <w:tab w:val="left" w:pos="1050"/>
        <w:tab w:val="right" w:leader="dot" w:pos="8296"/>
      </w:tabs>
    </w:pPr>
    <w:rPr>
      <w:caps/>
      <w:spacing w:val="20"/>
      <w:sz w:val="24"/>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1">
    <w:name w:val="正文文本 21"/>
    <w:basedOn w:val="1"/>
    <w:qFormat/>
    <w:uiPriority w:val="0"/>
    <w:pPr>
      <w:adjustRightInd w:val="0"/>
      <w:spacing w:before="120" w:line="360" w:lineRule="auto"/>
      <w:ind w:firstLine="480"/>
      <w:textAlignment w:val="baseline"/>
    </w:pPr>
    <w:rPr>
      <w:sz w:val="24"/>
    </w:rPr>
  </w:style>
  <w:style w:type="character" w:customStyle="1" w:styleId="162">
    <w:name w:val="批注主题 字符"/>
    <w:basedOn w:val="148"/>
    <w:link w:val="54"/>
    <w:semiHidden/>
    <w:qFormat/>
    <w:uiPriority w:val="99"/>
    <w:rPr>
      <w:rFonts w:ascii="Times New Roman" w:hAnsi="Times New Roman" w:eastAsia="宋体" w:cs="Times New Roman"/>
      <w:b/>
      <w:bCs/>
      <w:sz w:val="28"/>
      <w:szCs w:val="20"/>
    </w:rPr>
  </w:style>
  <w:style w:type="paragraph" w:customStyle="1" w:styleId="163">
    <w:name w:val="一级条标题"/>
    <w:basedOn w:val="164"/>
    <w:next w:val="133"/>
    <w:qFormat/>
    <w:uiPriority w:val="0"/>
    <w:pPr>
      <w:ind w:left="525"/>
      <w:outlineLvl w:val="2"/>
    </w:pPr>
    <w:rPr>
      <w:sz w:val="21"/>
    </w:rPr>
  </w:style>
  <w:style w:type="paragraph" w:customStyle="1" w:styleId="164">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5">
    <w:name w:val="正文文本缩进 3 字符"/>
    <w:basedOn w:val="59"/>
    <w:link w:val="43"/>
    <w:qFormat/>
    <w:uiPriority w:val="0"/>
    <w:rPr>
      <w:rFonts w:ascii="黑体" w:hAnsi="Times New Roman" w:eastAsia="黑体" w:cs="Times New Roman"/>
      <w:sz w:val="28"/>
      <w:szCs w:val="20"/>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8">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69">
    <w:name w:val="文档结构图 字符"/>
    <w:basedOn w:val="59"/>
    <w:link w:val="18"/>
    <w:qFormat/>
    <w:uiPriority w:val="0"/>
    <w:rPr>
      <w:rFonts w:ascii="Times New Roman" w:hAnsi="Times New Roman" w:eastAsia="宋体" w:cs="Times New Roman"/>
      <w:sz w:val="28"/>
      <w:szCs w:val="20"/>
      <w:shd w:val="clear" w:color="auto" w:fill="000080"/>
    </w:rPr>
  </w:style>
  <w:style w:type="character" w:customStyle="1" w:styleId="170">
    <w:name w:val="页眉 字符"/>
    <w:basedOn w:val="59"/>
    <w:link w:val="36"/>
    <w:qFormat/>
    <w:uiPriority w:val="0"/>
    <w:rPr>
      <w:rFonts w:ascii="Times New Roman" w:hAnsi="Times New Roman" w:eastAsia="宋体" w:cs="Times New Roman"/>
      <w:sz w:val="18"/>
      <w:szCs w:val="20"/>
    </w:rPr>
  </w:style>
  <w:style w:type="paragraph" w:customStyle="1" w:styleId="171">
    <w:name w:val="标题无"/>
    <w:basedOn w:val="1"/>
    <w:qFormat/>
    <w:uiPriority w:val="0"/>
    <w:pPr>
      <w:spacing w:line="360" w:lineRule="auto"/>
    </w:pPr>
    <w:rPr>
      <w:sz w:val="24"/>
    </w:rPr>
  </w:style>
  <w:style w:type="paragraph" w:customStyle="1" w:styleId="17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3">
    <w:name w:val="Char Char1 Char"/>
    <w:basedOn w:val="1"/>
    <w:qFormat/>
    <w:uiPriority w:val="0"/>
    <w:rPr>
      <w:rFonts w:ascii="Tahoma" w:hAnsi="Tahoma"/>
      <w:sz w:val="24"/>
      <w:szCs w:val="24"/>
    </w:rPr>
  </w:style>
  <w:style w:type="character" w:customStyle="1" w:styleId="174">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8">
    <w:name w:val="脚注文本 字符"/>
    <w:basedOn w:val="59"/>
    <w:link w:val="40"/>
    <w:semiHidden/>
    <w:qFormat/>
    <w:uiPriority w:val="99"/>
    <w:rPr>
      <w:rFonts w:ascii="Times New Roman" w:hAnsi="Times New Roman" w:eastAsia="宋体" w:cs="Times New Roman"/>
      <w:sz w:val="18"/>
      <w:szCs w:val="18"/>
    </w:rPr>
  </w:style>
  <w:style w:type="paragraph" w:customStyle="1" w:styleId="179">
    <w:name w:val="00"/>
    <w:basedOn w:val="1"/>
    <w:qFormat/>
    <w:uiPriority w:val="0"/>
    <w:pPr>
      <w:autoSpaceDE w:val="0"/>
      <w:autoSpaceDN w:val="0"/>
      <w:adjustRightInd w:val="0"/>
      <w:jc w:val="left"/>
    </w:pPr>
    <w:rPr>
      <w:rFonts w:ascii="黑体" w:eastAsia="黑体"/>
      <w:b/>
      <w:kern w:val="0"/>
      <w:sz w:val="20"/>
    </w:rPr>
  </w:style>
  <w:style w:type="paragraph" w:customStyle="1" w:styleId="18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1">
    <w:name w:val="页脚 字符"/>
    <w:basedOn w:val="59"/>
    <w:link w:val="35"/>
    <w:qFormat/>
    <w:uiPriority w:val="0"/>
    <w:rPr>
      <w:rFonts w:ascii="Times New Roman" w:hAnsi="Times New Roman" w:eastAsia="宋体" w:cs="Times New Roman"/>
      <w:sz w:val="18"/>
      <w:szCs w:val="20"/>
    </w:rPr>
  </w:style>
  <w:style w:type="paragraph" w:customStyle="1" w:styleId="182">
    <w:name w:val="正文（首行不缩进）"/>
    <w:basedOn w:val="1"/>
    <w:qFormat/>
    <w:uiPriority w:val="0"/>
    <w:pPr>
      <w:autoSpaceDE w:val="0"/>
      <w:autoSpaceDN w:val="0"/>
      <w:adjustRightInd w:val="0"/>
      <w:spacing w:line="360" w:lineRule="auto"/>
      <w:jc w:val="left"/>
    </w:pPr>
    <w:rPr>
      <w:kern w:val="0"/>
      <w:sz w:val="21"/>
    </w:rPr>
  </w:style>
  <w:style w:type="paragraph" w:customStyle="1" w:styleId="183">
    <w:name w:val="Title - Revision"/>
    <w:basedOn w:val="53"/>
    <w:qFormat/>
    <w:uiPriority w:val="0"/>
    <w:pPr>
      <w:spacing w:before="720"/>
    </w:pPr>
  </w:style>
  <w:style w:type="paragraph" w:customStyle="1" w:styleId="184">
    <w:name w:val="首行缩进 1"/>
    <w:basedOn w:val="1"/>
    <w:qFormat/>
    <w:uiPriority w:val="0"/>
    <w:pPr>
      <w:spacing w:after="120" w:line="360" w:lineRule="auto"/>
      <w:ind w:firstLine="200" w:firstLineChars="200"/>
    </w:pPr>
    <w:rPr>
      <w:sz w:val="24"/>
    </w:rPr>
  </w:style>
  <w:style w:type="character" w:customStyle="1" w:styleId="185">
    <w:name w:val="正文文本 3 字符"/>
    <w:basedOn w:val="59"/>
    <w:link w:val="20"/>
    <w:qFormat/>
    <w:uiPriority w:val="0"/>
    <w:rPr>
      <w:rFonts w:ascii="Times New Roman" w:hAnsi="Times New Roman" w:eastAsia="宋体" w:cs="Times New Roman"/>
      <w:sz w:val="16"/>
      <w:szCs w:val="20"/>
    </w:rPr>
  </w:style>
  <w:style w:type="paragraph" w:customStyle="1" w:styleId="186">
    <w:name w:val="Char Char Char Char Char Char Char Char Char Char Char Char Char Char Char Char"/>
    <w:basedOn w:val="1"/>
    <w:qFormat/>
    <w:uiPriority w:val="0"/>
    <w:pPr>
      <w:tabs>
        <w:tab w:val="left" w:pos="360"/>
      </w:tabs>
    </w:pPr>
    <w:rPr>
      <w:sz w:val="24"/>
    </w:rPr>
  </w:style>
  <w:style w:type="paragraph" w:customStyle="1" w:styleId="187">
    <w:name w:val="二级列表"/>
    <w:basedOn w:val="188"/>
    <w:next w:val="188"/>
    <w:qFormat/>
    <w:uiPriority w:val="0"/>
    <w:pPr>
      <w:tabs>
        <w:tab w:val="left" w:pos="2120"/>
      </w:tabs>
      <w:ind w:firstLine="0" w:firstLineChars="0"/>
    </w:pPr>
    <w:rPr>
      <w:b/>
    </w:rPr>
  </w:style>
  <w:style w:type="paragraph" w:customStyle="1" w:styleId="188">
    <w:name w:val="段落正文"/>
    <w:basedOn w:val="1"/>
    <w:qFormat/>
    <w:uiPriority w:val="0"/>
    <w:pPr>
      <w:spacing w:beforeLines="50" w:line="360" w:lineRule="auto"/>
      <w:ind w:firstLine="200" w:firstLineChars="200"/>
    </w:pPr>
    <w:rPr>
      <w:spacing w:val="2"/>
      <w:sz w:val="24"/>
    </w:rPr>
  </w:style>
  <w:style w:type="paragraph" w:customStyle="1" w:styleId="18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2">
    <w:name w:val="标书正文:  0.74 厘米"/>
    <w:basedOn w:val="1"/>
    <w:qFormat/>
    <w:uiPriority w:val="0"/>
    <w:pPr>
      <w:snapToGrid w:val="0"/>
      <w:spacing w:line="360" w:lineRule="auto"/>
      <w:ind w:firstLine="420"/>
    </w:pPr>
    <w:rPr>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正文文本缩进 21"/>
    <w:basedOn w:val="1"/>
    <w:qFormat/>
    <w:uiPriority w:val="0"/>
    <w:pPr>
      <w:adjustRightInd w:val="0"/>
      <w:spacing w:before="120"/>
      <w:ind w:firstLine="420"/>
      <w:textAlignment w:val="baseline"/>
    </w:pPr>
    <w:rPr>
      <w:sz w:val="24"/>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_Style 1"/>
    <w:basedOn w:val="1"/>
    <w:qFormat/>
    <w:uiPriority w:val="0"/>
    <w:pPr>
      <w:ind w:firstLine="420" w:firstLineChars="200"/>
    </w:pPr>
    <w:rPr>
      <w:rFonts w:ascii="Calibri" w:hAnsi="Calibri"/>
      <w:sz w:val="21"/>
      <w:szCs w:val="24"/>
    </w:rPr>
  </w:style>
  <w:style w:type="paragraph" w:customStyle="1" w:styleId="197">
    <w:name w:val="表格内文字"/>
    <w:basedOn w:val="30"/>
    <w:qFormat/>
    <w:uiPriority w:val="0"/>
    <w:pPr>
      <w:adjustRightInd w:val="0"/>
    </w:pPr>
    <w:rPr>
      <w:color w:val="000000"/>
      <w:lang w:val="en-GB"/>
    </w:rPr>
  </w:style>
  <w:style w:type="paragraph" w:customStyle="1" w:styleId="198">
    <w:name w:val="Title - Date"/>
    <w:basedOn w:val="53"/>
    <w:next w:val="1"/>
    <w:qFormat/>
    <w:uiPriority w:val="0"/>
    <w:pPr>
      <w:spacing w:before="240" w:after="720"/>
    </w:pPr>
    <w:rPr>
      <w:sz w:val="28"/>
    </w:rPr>
  </w:style>
  <w:style w:type="paragraph" w:customStyle="1" w:styleId="199">
    <w:name w:val="默认段落字体 Para Char Char Char Char Char Char Char"/>
    <w:basedOn w:val="1"/>
    <w:qFormat/>
    <w:uiPriority w:val="0"/>
    <w:rPr>
      <w:rFonts w:ascii="Tahoma" w:hAnsi="Tahoma"/>
      <w:sz w:val="24"/>
    </w:rPr>
  </w:style>
  <w:style w:type="paragraph" w:customStyle="1" w:styleId="200">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1">
    <w:name w:val="Table Contents"/>
    <w:basedOn w:val="22"/>
    <w:qFormat/>
    <w:uiPriority w:val="0"/>
    <w:pPr>
      <w:suppressAutoHyphens/>
      <w:spacing w:after="0"/>
      <w:jc w:val="left"/>
    </w:pPr>
    <w:rPr>
      <w:rFonts w:eastAsia="Times New Roman"/>
      <w:kern w:val="0"/>
      <w:sz w:val="24"/>
    </w:rPr>
  </w:style>
  <w:style w:type="paragraph" w:customStyle="1" w:styleId="20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3">
    <w:name w:val="Char Char Char Char Char Char"/>
    <w:basedOn w:val="1"/>
    <w:qFormat/>
    <w:uiPriority w:val="0"/>
    <w:pPr>
      <w:widowControl/>
      <w:spacing w:after="160" w:line="240" w:lineRule="exact"/>
      <w:jc w:val="left"/>
    </w:pPr>
  </w:style>
  <w:style w:type="paragraph" w:customStyle="1" w:styleId="204">
    <w:name w:val="标准正文"/>
    <w:basedOn w:val="23"/>
    <w:qFormat/>
    <w:uiPriority w:val="0"/>
    <w:pPr>
      <w:spacing w:before="60" w:after="60" w:line="360" w:lineRule="auto"/>
      <w:ind w:left="0" w:leftChars="0" w:firstLine="482"/>
    </w:pPr>
    <w:rPr>
      <w:rFonts w:ascii="Arial" w:hAnsi="Arial"/>
      <w:sz w:val="24"/>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09">
    <w:name w:val="1"/>
    <w:basedOn w:val="1"/>
    <w:next w:val="30"/>
    <w:qFormat/>
    <w:uiPriority w:val="0"/>
    <w:rPr>
      <w:rFonts w:ascii="宋体" w:hAnsi="Courier New"/>
      <w:sz w:val="21"/>
    </w:rPr>
  </w:style>
  <w:style w:type="paragraph" w:customStyle="1" w:styleId="210">
    <w:name w:val="图片文字"/>
    <w:basedOn w:val="1"/>
    <w:qFormat/>
    <w:uiPriority w:val="0"/>
    <w:pPr>
      <w:spacing w:line="240" w:lineRule="atLeast"/>
      <w:jc w:val="center"/>
    </w:pPr>
    <w:rPr>
      <w:sz w:val="21"/>
    </w:rPr>
  </w:style>
  <w:style w:type="paragraph" w:customStyle="1" w:styleId="21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Char Char 字元 字元 字元 Char Char Char Char"/>
    <w:basedOn w:val="1"/>
    <w:qFormat/>
    <w:uiPriority w:val="0"/>
    <w:pPr>
      <w:adjustRightInd w:val="0"/>
      <w:spacing w:line="360" w:lineRule="auto"/>
    </w:pPr>
    <w:rPr>
      <w:kern w:val="0"/>
      <w:sz w:val="24"/>
    </w:rPr>
  </w:style>
  <w:style w:type="paragraph" w:customStyle="1" w:styleId="21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8">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1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表文字"/>
    <w:qFormat/>
    <w:uiPriority w:val="0"/>
    <w:rPr>
      <w:rFonts w:ascii="宋体" w:hAnsi="Times New Roman" w:eastAsia="宋体" w:cs="Times New Roman"/>
      <w:kern w:val="2"/>
      <w:lang w:val="en-US" w:eastAsia="zh-CN" w:bidi="ar-SA"/>
    </w:rPr>
  </w:style>
  <w:style w:type="paragraph" w:customStyle="1" w:styleId="221">
    <w:name w:val="样式 行距: 1.5 倍行距1"/>
    <w:basedOn w:val="1"/>
    <w:qFormat/>
    <w:uiPriority w:val="0"/>
    <w:pPr>
      <w:snapToGrid w:val="0"/>
    </w:pPr>
    <w:rPr>
      <w:sz w:val="21"/>
    </w:rPr>
  </w:style>
  <w:style w:type="paragraph" w:customStyle="1" w:styleId="222">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2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4">
    <w:name w:val="默认段落字体 Para Char Char Char Char Char Char Char Char Char1 Char Char Char Char"/>
    <w:basedOn w:val="1"/>
    <w:qFormat/>
    <w:uiPriority w:val="0"/>
    <w:rPr>
      <w:rFonts w:ascii="Tahoma" w:hAnsi="Tahoma"/>
      <w:sz w:val="24"/>
    </w:rPr>
  </w:style>
  <w:style w:type="paragraph" w:customStyle="1" w:styleId="22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IN Feature"/>
    <w:next w:val="22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0">
    <w:name w:val="列表项目"/>
    <w:basedOn w:val="1"/>
    <w:qFormat/>
    <w:uiPriority w:val="0"/>
    <w:pPr>
      <w:tabs>
        <w:tab w:val="left" w:pos="420"/>
      </w:tabs>
      <w:spacing w:line="288" w:lineRule="auto"/>
      <w:ind w:left="840" w:leftChars="200" w:hanging="420" w:hangingChars="200"/>
    </w:pPr>
    <w:rPr>
      <w:sz w:val="21"/>
    </w:rPr>
  </w:style>
  <w:style w:type="paragraph" w:customStyle="1" w:styleId="23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2">
    <w:name w:val="简单回函地址"/>
    <w:basedOn w:val="1"/>
    <w:qFormat/>
    <w:uiPriority w:val="0"/>
    <w:pPr>
      <w:adjustRightInd w:val="0"/>
      <w:snapToGrid w:val="0"/>
      <w:spacing w:line="360" w:lineRule="auto"/>
    </w:pPr>
    <w:rPr>
      <w:sz w:val="24"/>
    </w:rPr>
  </w:style>
  <w:style w:type="paragraph" w:customStyle="1" w:styleId="2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4">
    <w:name w:val="摘要"/>
    <w:basedOn w:val="1"/>
    <w:next w:val="4"/>
    <w:qFormat/>
    <w:uiPriority w:val="0"/>
    <w:pPr>
      <w:spacing w:line="360" w:lineRule="auto"/>
    </w:pPr>
    <w:rPr>
      <w:rFonts w:eastAsia="黑体"/>
      <w:sz w:val="20"/>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Char2 Char Char Char Char Char Char"/>
    <w:basedOn w:val="1"/>
    <w:qFormat/>
    <w:uiPriority w:val="0"/>
    <w:rPr>
      <w:rFonts w:ascii="仿宋_GB2312"/>
      <w:b/>
      <w:sz w:val="30"/>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没有缩进（为图形使用）"/>
    <w:basedOn w:val="1"/>
    <w:qFormat/>
    <w:uiPriority w:val="0"/>
    <w:pPr>
      <w:spacing w:before="120" w:after="120" w:line="360" w:lineRule="auto"/>
    </w:pPr>
    <w:rPr>
      <w:sz w:val="24"/>
    </w:rPr>
  </w:style>
  <w:style w:type="paragraph" w:customStyle="1" w:styleId="23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24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2">
    <w:name w:val="内容标题"/>
    <w:basedOn w:val="18"/>
    <w:qFormat/>
    <w:uiPriority w:val="0"/>
    <w:rPr>
      <w:rFonts w:ascii="Tahoma" w:hAnsi="Tahoma"/>
      <w:sz w:val="24"/>
    </w:rPr>
  </w:style>
  <w:style w:type="paragraph" w:customStyle="1" w:styleId="243">
    <w:name w:val="二级条标题"/>
    <w:basedOn w:val="163"/>
    <w:next w:val="133"/>
    <w:qFormat/>
    <w:uiPriority w:val="0"/>
    <w:pPr>
      <w:ind w:left="840"/>
      <w:outlineLvl w:val="3"/>
    </w:pPr>
  </w:style>
  <w:style w:type="paragraph" w:customStyle="1" w:styleId="2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5">
    <w:name w:val="文本1"/>
    <w:basedOn w:val="1"/>
    <w:qFormat/>
    <w:uiPriority w:val="0"/>
    <w:pPr>
      <w:adjustRightInd w:val="0"/>
      <w:spacing w:line="312" w:lineRule="atLeast"/>
      <w:jc w:val="center"/>
      <w:textAlignment w:val="baseline"/>
    </w:pPr>
    <w:rPr>
      <w:kern w:val="0"/>
      <w:sz w:val="18"/>
    </w:rPr>
  </w:style>
  <w:style w:type="paragraph" w:customStyle="1" w:styleId="24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7">
    <w:name w:val="Char Char Char Char Char"/>
    <w:basedOn w:val="1"/>
    <w:qFormat/>
    <w:uiPriority w:val="0"/>
    <w:pPr>
      <w:tabs>
        <w:tab w:val="left" w:pos="425"/>
      </w:tabs>
      <w:ind w:left="1620" w:hanging="360"/>
    </w:pPr>
    <w:rPr>
      <w:rFonts w:ascii="Tahoma" w:hAnsi="Tahoma"/>
      <w:sz w:val="24"/>
    </w:rPr>
  </w:style>
  <w:style w:type="paragraph" w:customStyle="1" w:styleId="248">
    <w:name w:val="样式 样式 首行缩进:  2 字符 + 首行缩进:  2 字符"/>
    <w:basedOn w:val="1"/>
    <w:qFormat/>
    <w:uiPriority w:val="0"/>
    <w:pPr>
      <w:spacing w:line="360" w:lineRule="auto"/>
      <w:ind w:firstLine="480" w:firstLineChars="200"/>
    </w:pPr>
    <w:rPr>
      <w:sz w:val="24"/>
    </w:rPr>
  </w:style>
  <w:style w:type="paragraph" w:customStyle="1" w:styleId="249">
    <w:name w:val="关键词"/>
    <w:basedOn w:val="1"/>
    <w:next w:val="1"/>
    <w:qFormat/>
    <w:uiPriority w:val="0"/>
    <w:pPr>
      <w:spacing w:line="360" w:lineRule="auto"/>
    </w:pPr>
    <w:rPr>
      <w:rFonts w:eastAsia="黑体"/>
      <w:sz w:val="20"/>
    </w:rPr>
  </w:style>
  <w:style w:type="paragraph" w:customStyle="1" w:styleId="250">
    <w:name w:val="正文字缩2字"/>
    <w:basedOn w:val="1"/>
    <w:qFormat/>
    <w:uiPriority w:val="0"/>
    <w:pPr>
      <w:spacing w:before="60" w:after="60" w:line="360" w:lineRule="auto"/>
      <w:ind w:left="200" w:leftChars="200" w:firstLine="200" w:firstLineChars="200"/>
    </w:pPr>
    <w:rPr>
      <w:sz w:val="24"/>
    </w:rPr>
  </w:style>
  <w:style w:type="paragraph" w:customStyle="1" w:styleId="251">
    <w:name w:val="正文表格"/>
    <w:basedOn w:val="1"/>
    <w:qFormat/>
    <w:uiPriority w:val="0"/>
    <w:pPr>
      <w:adjustRightInd w:val="0"/>
      <w:spacing w:before="40" w:after="40"/>
    </w:pPr>
    <w:rPr>
      <w:sz w:val="24"/>
    </w:rPr>
  </w:style>
  <w:style w:type="paragraph" w:customStyle="1" w:styleId="252">
    <w:name w:val="Char Char Char Char Char Char Char"/>
    <w:basedOn w:val="18"/>
    <w:qFormat/>
    <w:uiPriority w:val="0"/>
    <w:rPr>
      <w:rFonts w:ascii="宋体" w:hAnsi="Tahoma"/>
    </w:rPr>
  </w:style>
  <w:style w:type="paragraph" w:customStyle="1" w:styleId="253">
    <w:name w:val="CSS1级正文 Char"/>
    <w:basedOn w:val="22"/>
    <w:qFormat/>
    <w:uiPriority w:val="0"/>
    <w:pPr>
      <w:adjustRightInd w:val="0"/>
      <w:snapToGrid w:val="0"/>
      <w:spacing w:after="0" w:line="360" w:lineRule="auto"/>
      <w:ind w:firstLine="480"/>
    </w:pPr>
    <w:rPr>
      <w:sz w:val="24"/>
    </w:rPr>
  </w:style>
  <w:style w:type="paragraph" w:customStyle="1" w:styleId="254">
    <w:name w:val="样式 宋体 五号 行距: 单倍行距"/>
    <w:basedOn w:val="1"/>
    <w:qFormat/>
    <w:uiPriority w:val="0"/>
    <w:pPr>
      <w:adjustRightInd w:val="0"/>
      <w:jc w:val="left"/>
    </w:pPr>
    <w:rPr>
      <w:rFonts w:ascii="宋体" w:hAnsi="宋体"/>
      <w:kern w:val="0"/>
      <w:sz w:val="21"/>
    </w:rPr>
  </w:style>
  <w:style w:type="paragraph" w:customStyle="1" w:styleId="2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6">
    <w:name w:val="图例"/>
    <w:basedOn w:val="1"/>
    <w:qFormat/>
    <w:uiPriority w:val="0"/>
    <w:pPr>
      <w:spacing w:before="120" w:after="120" w:line="360" w:lineRule="auto"/>
      <w:jc w:val="center"/>
    </w:pPr>
    <w:rPr>
      <w:rFonts w:eastAsia="仿宋_GB2312"/>
      <w:b/>
      <w:sz w:val="24"/>
    </w:rPr>
  </w:style>
  <w:style w:type="paragraph" w:customStyle="1" w:styleId="257">
    <w:name w:val="附录3"/>
    <w:basedOn w:val="1"/>
    <w:next w:val="1"/>
    <w:qFormat/>
    <w:uiPriority w:val="0"/>
    <w:pPr>
      <w:tabs>
        <w:tab w:val="left" w:pos="851"/>
      </w:tabs>
      <w:ind w:left="425" w:hanging="425"/>
      <w:outlineLvl w:val="2"/>
    </w:pPr>
    <w:rPr>
      <w:rFonts w:eastAsia="黑体"/>
      <w:b/>
      <w:sz w:val="32"/>
    </w:rPr>
  </w:style>
  <w:style w:type="paragraph" w:customStyle="1" w:styleId="258">
    <w:name w:val="Style Heading 3h3Heading 3 - oldLevel 3 HeadH3level_3PIM 3se..."/>
    <w:basedOn w:val="5"/>
    <w:qFormat/>
    <w:uiPriority w:val="0"/>
    <w:pPr>
      <w:tabs>
        <w:tab w:val="left" w:pos="709"/>
        <w:tab w:val="left" w:pos="1620"/>
      </w:tabs>
      <w:ind w:left="1620" w:hanging="360"/>
    </w:pPr>
  </w:style>
  <w:style w:type="paragraph" w:customStyle="1" w:styleId="259">
    <w:name w:val="首行缩进"/>
    <w:basedOn w:val="1"/>
    <w:qFormat/>
    <w:uiPriority w:val="0"/>
    <w:pPr>
      <w:tabs>
        <w:tab w:val="left" w:pos="540"/>
      </w:tabs>
      <w:spacing w:line="360" w:lineRule="auto"/>
      <w:ind w:left="540"/>
    </w:pPr>
    <w:rPr>
      <w:rFonts w:eastAsia="仿宋_GB2312"/>
    </w:rPr>
  </w:style>
  <w:style w:type="paragraph" w:customStyle="1" w:styleId="2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1">
    <w:name w:val="Char1 Char Char Char1"/>
    <w:basedOn w:val="1"/>
    <w:qFormat/>
    <w:uiPriority w:val="0"/>
    <w:rPr>
      <w:rFonts w:ascii="Tahoma" w:hAnsi="Tahoma"/>
      <w:sz w:val="30"/>
    </w:rPr>
  </w:style>
  <w:style w:type="paragraph" w:customStyle="1" w:styleId="262">
    <w:name w:val="Char Char Char Char Char Char Char1"/>
    <w:basedOn w:val="1"/>
    <w:qFormat/>
    <w:uiPriority w:val="0"/>
    <w:rPr>
      <w:rFonts w:ascii="Tahoma" w:hAnsi="Tahoma"/>
      <w:sz w:val="24"/>
    </w:rPr>
  </w:style>
  <w:style w:type="paragraph" w:customStyle="1" w:styleId="263">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修订1"/>
    <w:qFormat/>
    <w:uiPriority w:val="0"/>
    <w:rPr>
      <w:rFonts w:ascii="Times New Roman" w:hAnsi="Times New Roman" w:eastAsia="宋体" w:cs="Times New Roman"/>
      <w:kern w:val="2"/>
      <w:sz w:val="21"/>
      <w:lang w:val="en-US" w:eastAsia="zh-CN" w:bidi="ar-SA"/>
    </w:rPr>
  </w:style>
  <w:style w:type="paragraph" w:customStyle="1" w:styleId="265">
    <w:name w:val="Char1"/>
    <w:basedOn w:val="1"/>
    <w:qFormat/>
    <w:uiPriority w:val="0"/>
    <w:rPr>
      <w:sz w:val="21"/>
    </w:rPr>
  </w:style>
  <w:style w:type="paragraph" w:customStyle="1" w:styleId="266">
    <w:name w:val="样式1"/>
    <w:basedOn w:val="6"/>
    <w:qFormat/>
    <w:uiPriority w:val="0"/>
    <w:pPr>
      <w:tabs>
        <w:tab w:val="left" w:pos="720"/>
      </w:tabs>
      <w:spacing w:before="500" w:after="260" w:line="560" w:lineRule="atLeast"/>
      <w:ind w:left="420" w:hanging="420"/>
    </w:pPr>
  </w:style>
  <w:style w:type="paragraph" w:customStyle="1" w:styleId="267">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8">
    <w:name w:val="ant-tree-switcher"/>
    <w:basedOn w:val="59"/>
    <w:qFormat/>
    <w:uiPriority w:val="0"/>
  </w:style>
  <w:style w:type="character" w:customStyle="1" w:styleId="269">
    <w:name w:val="ant-tree-iconele"/>
    <w:basedOn w:val="59"/>
    <w:qFormat/>
    <w:uiPriority w:val="0"/>
  </w:style>
  <w:style w:type="character" w:customStyle="1" w:styleId="270">
    <w:name w:val="hover16"/>
    <w:basedOn w:val="59"/>
    <w:qFormat/>
    <w:uiPriority w:val="0"/>
    <w:rPr>
      <w:color w:val="23527C"/>
    </w:rPr>
  </w:style>
  <w:style w:type="character" w:customStyle="1" w:styleId="271">
    <w:name w:val="ant-tree-checkbox"/>
    <w:basedOn w:val="59"/>
    <w:qFormat/>
    <w:uiPriority w:val="0"/>
  </w:style>
  <w:style w:type="character" w:customStyle="1" w:styleId="272">
    <w:name w:val="ant-select-tree-switcher"/>
    <w:basedOn w:val="59"/>
    <w:qFormat/>
    <w:uiPriority w:val="0"/>
  </w:style>
  <w:style w:type="character" w:customStyle="1" w:styleId="273">
    <w:name w:val="isover"/>
    <w:basedOn w:val="59"/>
    <w:qFormat/>
    <w:uiPriority w:val="0"/>
  </w:style>
  <w:style w:type="character" w:customStyle="1" w:styleId="274">
    <w:name w:val="ant-transfer-list-search-action"/>
    <w:basedOn w:val="59"/>
    <w:qFormat/>
    <w:uiPriority w:val="0"/>
  </w:style>
  <w:style w:type="character" w:customStyle="1" w:styleId="275">
    <w:name w:val="ant-select-tree-checkbox2"/>
    <w:basedOn w:val="59"/>
    <w:qFormat/>
    <w:uiPriority w:val="0"/>
  </w:style>
  <w:style w:type="character" w:customStyle="1" w:styleId="276">
    <w:name w:val="ant-select-tree-iconele"/>
    <w:basedOn w:val="59"/>
    <w:qFormat/>
    <w:uiPriority w:val="0"/>
  </w:style>
  <w:style w:type="character" w:customStyle="1" w:styleId="277">
    <w:name w:val="running"/>
    <w:basedOn w:val="59"/>
    <w:qFormat/>
    <w:uiPriority w:val="0"/>
  </w:style>
  <w:style w:type="character" w:customStyle="1" w:styleId="278">
    <w:name w:val="button"/>
    <w:basedOn w:val="59"/>
    <w:qFormat/>
    <w:uiPriority w:val="0"/>
  </w:style>
  <w:style w:type="character" w:customStyle="1" w:styleId="279">
    <w:name w:val="tmpztreemove_arrow"/>
    <w:basedOn w:val="59"/>
    <w:qFormat/>
    <w:uiPriority w:val="0"/>
  </w:style>
  <w:style w:type="paragraph" w:customStyle="1" w:styleId="280">
    <w:name w:val="list-group-item-text"/>
    <w:basedOn w:val="1"/>
    <w:qFormat/>
    <w:uiPriority w:val="0"/>
    <w:pPr>
      <w:pBdr>
        <w:top w:val="dotted" w:color="E0E0E0" w:sz="6" w:space="11"/>
      </w:pBdr>
      <w:jc w:val="left"/>
    </w:pPr>
    <w:rPr>
      <w:kern w:val="0"/>
    </w:rPr>
  </w:style>
  <w:style w:type="paragraph" w:customStyle="1" w:styleId="281">
    <w:name w:val="Table Paragraph"/>
    <w:basedOn w:val="1"/>
    <w:unhideWhenUsed/>
    <w:qFormat/>
    <w:uiPriority w:val="1"/>
    <w:rPr>
      <w:sz w:val="24"/>
    </w:rPr>
  </w:style>
  <w:style w:type="paragraph" w:customStyle="1" w:styleId="282">
    <w:name w:val="FDY表格内"/>
    <w:basedOn w:val="1"/>
    <w:next w:val="283"/>
    <w:unhideWhenUsed/>
    <w:qFormat/>
    <w:uiPriority w:val="0"/>
    <w:pPr>
      <w:snapToGrid w:val="0"/>
      <w:spacing w:line="240" w:lineRule="atLeast"/>
      <w:jc w:val="center"/>
    </w:pPr>
    <w:rPr>
      <w:sz w:val="24"/>
    </w:rPr>
  </w:style>
  <w:style w:type="paragraph" w:customStyle="1" w:styleId="283">
    <w:name w:val="D正文"/>
    <w:basedOn w:val="1"/>
    <w:unhideWhenUsed/>
    <w:qFormat/>
    <w:uiPriority w:val="0"/>
    <w:pPr>
      <w:spacing w:line="384" w:lineRule="auto"/>
      <w:ind w:firstLine="200" w:firstLineChars="200"/>
    </w:pPr>
    <w:rPr>
      <w:sz w:val="24"/>
    </w:rPr>
  </w:style>
  <w:style w:type="character" w:customStyle="1" w:styleId="284">
    <w:name w:val="无"/>
    <w:qFormat/>
    <w:uiPriority w:val="0"/>
  </w:style>
  <w:style w:type="character" w:customStyle="1" w:styleId="285">
    <w:name w:val="font21"/>
    <w:basedOn w:val="59"/>
    <w:qFormat/>
    <w:uiPriority w:val="0"/>
    <w:rPr>
      <w:rFonts w:hint="eastAsia" w:ascii="宋体" w:hAnsi="宋体" w:eastAsia="宋体" w:cs="宋体"/>
      <w:color w:val="000000"/>
      <w:sz w:val="20"/>
      <w:szCs w:val="20"/>
      <w:u w:val="none"/>
    </w:rPr>
  </w:style>
  <w:style w:type="character" w:customStyle="1" w:styleId="286">
    <w:name w:val="font01"/>
    <w:basedOn w:val="59"/>
    <w:qFormat/>
    <w:uiPriority w:val="0"/>
    <w:rPr>
      <w:rFonts w:hint="eastAsia" w:ascii="宋体" w:hAnsi="宋体" w:eastAsia="宋体" w:cs="宋体"/>
      <w:color w:val="000000"/>
      <w:sz w:val="21"/>
      <w:szCs w:val="21"/>
      <w:u w:val="none"/>
    </w:rPr>
  </w:style>
  <w:style w:type="character" w:customStyle="1" w:styleId="287">
    <w:name w:val="font41"/>
    <w:basedOn w:val="59"/>
    <w:qFormat/>
    <w:uiPriority w:val="0"/>
    <w:rPr>
      <w:rFonts w:hint="eastAsia" w:ascii="宋体" w:hAnsi="宋体" w:eastAsia="宋体" w:cs="宋体"/>
      <w:color w:val="000000"/>
      <w:sz w:val="20"/>
      <w:szCs w:val="20"/>
      <w:u w:val="none"/>
    </w:rPr>
  </w:style>
  <w:style w:type="character" w:customStyle="1" w:styleId="288">
    <w:name w:val="font11"/>
    <w:basedOn w:val="59"/>
    <w:qFormat/>
    <w:uiPriority w:val="0"/>
    <w:rPr>
      <w:rFonts w:hint="eastAsia" w:ascii="宋体" w:hAnsi="宋体" w:eastAsia="宋体" w:cs="宋体"/>
      <w:color w:val="000000"/>
      <w:sz w:val="18"/>
      <w:szCs w:val="18"/>
      <w:u w:val="none"/>
    </w:rPr>
  </w:style>
  <w:style w:type="character" w:customStyle="1" w:styleId="289">
    <w:name w:val="font71"/>
    <w:basedOn w:val="59"/>
    <w:qFormat/>
    <w:uiPriority w:val="0"/>
    <w:rPr>
      <w:rFonts w:hint="eastAsia" w:ascii="宋体" w:hAnsi="宋体" w:eastAsia="宋体" w:cs="宋体"/>
      <w:color w:val="000000"/>
      <w:sz w:val="18"/>
      <w:szCs w:val="18"/>
      <w:u w:val="none"/>
    </w:rPr>
  </w:style>
  <w:style w:type="character" w:customStyle="1" w:styleId="290">
    <w:name w:val="font81"/>
    <w:basedOn w:val="59"/>
    <w:qFormat/>
    <w:uiPriority w:val="0"/>
    <w:rPr>
      <w:rFonts w:hint="eastAsia" w:ascii="宋体" w:hAnsi="宋体" w:eastAsia="宋体" w:cs="宋体"/>
      <w:color w:val="000000"/>
      <w:sz w:val="18"/>
      <w:szCs w:val="18"/>
      <w:u w:val="none"/>
      <w:vertAlign w:val="superscript"/>
    </w:rPr>
  </w:style>
  <w:style w:type="character" w:customStyle="1" w:styleId="291">
    <w:name w:val="font31"/>
    <w:basedOn w:val="5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43</Pages>
  <Words>3986</Words>
  <Characters>22722</Characters>
  <Lines>189</Lines>
  <Paragraphs>53</Paragraphs>
  <TotalTime>110</TotalTime>
  <ScaleCrop>false</ScaleCrop>
  <LinksUpToDate>false</LinksUpToDate>
  <CharactersWithSpaces>26655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2018-09-28T02:05:00Z</dcterms:created>
  <dc:creator>acer</dc:creator>
  <cp:lastModifiedBy>ECHO</cp:lastModifiedBy>
  <cp:lastPrinted>2021-03-23T08:30:00Z</cp:lastPrinted>
  <dcterms:modified xsi:type="dcterms:W3CDTF">2021-05-14T08:26:09Z</dcterms:modified>
  <dc:title>竞争性磋商文件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34011EAD066D4908A6E9402725F79A10</vt:lpwstr>
  </property>
</Properties>
</file>