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margin">
                  <wp:posOffset>374015</wp:posOffset>
                </wp:positionV>
                <wp:extent cx="5615940" cy="0"/>
                <wp:effectExtent l="0" t="38100" r="3810" b="38100"/>
                <wp:wrapNone/>
                <wp:docPr id="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-3.45pt;margin-top:29.45pt;height:0pt;width:442.2pt;mso-position-vertical-relative:margin;z-index:251673600;mso-width-relative:page;mso-height-relative:page;" filled="f" stroked="t" coordsize="21600,21600" o:gfxdata="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U/JiHYAAAACAEAAA8AAAAAAAAAAQAgAAAAIgAAAGRy&#10;cy9kb3ducmV2LnhtbFBLAQIUABQAAAAIAIdO4kBevrmTzAEAAIkDAAAOAAAAAAAAAAEAIAAAACcB&#10;AABkcnMvZTJvRG9jLnhtbFBLBQYAAAAABgAGAFkBAABl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</w:rPr>
        <w:pict>
          <v:shape id="_x0000_s1026" o:spid="_x0000_s1026" o:spt="136" type="#_x0000_t136" style="position:absolute;left:0pt;margin-left:92.15pt;margin-top:-38.65pt;height:53.85pt;width:411pt;mso-position-horizontal-relative:page;mso-position-vertical-relative:margin;z-index:25166438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市级市场监管领域部门联合“双随机、一公开”监管联席会议办公室" style="font-family:方正小标宋_GBK;font-size:36pt;font-weight:bold;v-text-align:center;"/>
          </v:shape>
        </w:pict>
      </w:r>
    </w:p>
    <w:p>
      <w:pPr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topLinePunct/>
        <w:autoSpaceDE w:val="0"/>
        <w:autoSpaceDN w:val="0"/>
        <w:spacing w:after="289" w:afterLines="50"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关于印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发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重庆市市场监管领域部门联合抽查事项清单（第二版）</w:t>
      </w:r>
      <w:r>
        <w:rPr>
          <w:rFonts w:ascii="Times New Roman" w:hAnsi="Times New Roman" w:eastAsia="方正小标宋_GBK" w:cs="Times New Roman"/>
          <w:sz w:val="44"/>
          <w:szCs w:val="44"/>
        </w:rPr>
        <w:t>的通知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spacing w:line="560" w:lineRule="exac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各有关单位：</w:t>
      </w:r>
    </w:p>
    <w:p>
      <w:pPr>
        <w:topLinePunct/>
        <w:autoSpaceDE w:val="0"/>
        <w:autoSpaceDN w:val="0"/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《</w:t>
      </w:r>
      <w:r>
        <w:rPr>
          <w:rFonts w:hint="eastAsia" w:ascii="方正仿宋_GBK" w:hAnsi="Calibri" w:eastAsia="方正仿宋_GBK" w:cs="Times New Roman"/>
          <w:sz w:val="32"/>
          <w:szCs w:val="32"/>
        </w:rPr>
        <w:t>重庆市市场监管领域部门联合抽查事项清单（第二版）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》已经重庆市市级市场监管领域部门联合“双随机、一公开”监管联席会议2023年第二次会议审议通过，现印发给你们，请各相关</w:t>
      </w:r>
      <w:r>
        <w:rPr>
          <w:rFonts w:ascii="方正仿宋_GBK" w:hAnsi="Times New Roman" w:eastAsia="方正仿宋_GBK" w:cs="Times New Roman"/>
          <w:sz w:val="32"/>
          <w:szCs w:val="32"/>
        </w:rPr>
        <w:t>部门依照清单内容，制定联合抽查计划，开展部门联合“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双随机</w:t>
      </w:r>
      <w:r>
        <w:rPr>
          <w:rFonts w:ascii="方正仿宋_GBK" w:hAnsi="Times New Roman" w:eastAsia="方正仿宋_GBK" w:cs="Times New Roman"/>
          <w:sz w:val="32"/>
          <w:szCs w:val="32"/>
        </w:rPr>
        <w:t>、一公开”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监管</w:t>
      </w:r>
      <w:r>
        <w:rPr>
          <w:rFonts w:ascii="方正仿宋_GBK" w:hAnsi="Times New Roman" w:eastAsia="方正仿宋_GBK" w:cs="Times New Roman"/>
          <w:sz w:val="32"/>
          <w:szCs w:val="32"/>
        </w:rPr>
        <w:t>工作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附件：</w:t>
      </w:r>
      <w:r>
        <w:rPr>
          <w:rFonts w:hint="eastAsia" w:ascii="方正仿宋_GBK" w:hAnsi="Calibri" w:eastAsia="方正仿宋_GBK" w:cs="Times New Roman"/>
          <w:sz w:val="32"/>
          <w:szCs w:val="32"/>
        </w:rPr>
        <w:t>重庆市市场监管领域部门联合抽查事项清单（第二版）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b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重庆市市级市场监管领域部门联合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</w:rPr>
        <w:t>双随机、一公开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</w:rPr>
        <w:t>监管联席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margin">
                  <wp:posOffset>8480425</wp:posOffset>
                </wp:positionV>
                <wp:extent cx="5615940" cy="0"/>
                <wp:effectExtent l="0" t="38100" r="3810" b="38100"/>
                <wp:wrapSquare wrapText="bothSides"/>
                <wp:docPr id="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-0.15pt;margin-top:667.75pt;height:0pt;width:442.2pt;mso-position-horizontal-relative:margin;mso-position-vertical-relative:margin;mso-wrap-distance-bottom:0pt;mso-wrap-distance-left:9pt;mso-wrap-distance-right:9pt;mso-wrap-distance-top:0pt;z-index:251685888;mso-width-relative:page;mso-height-relative:page;" filled="f" stroked="t" coordsize="21600,21600" o:gfxdata="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YAQB+1QAAAAsBAAAPAAAAAAAAAAEAIAAAACIAAABkcnMv&#10;ZG93bnJldi54bWxQSwECFAAUAAAACACHTuJANlSh8s0BAACJAwAADgAAAAAAAAABACAAAAAkAQAA&#10;ZHJzL2Uyb0RvYy54bWxQSwUGAAAAAAYABgBZAQAAYwUAAAAA&#10;">
                <v:fill on="f" focussize="0,0"/>
                <v:stroke weight="6pt" color="#FF0000" linestyle="thinThick" joinstyle="round"/>
                <v:imagedata o:title=""/>
                <o:lock v:ext="edit" aspectratio="f"/>
                <w10:wrap type="square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32"/>
          <w:szCs w:val="32"/>
        </w:rPr>
        <w:t>会议办公室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2023年3月31日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32"/>
        </w:rPr>
        <w:sectPr>
          <w:headerReference r:id="rId3" w:type="default"/>
          <w:pgSz w:w="11906" w:h="16838"/>
          <w:pgMar w:top="2098" w:right="1531" w:bottom="1417" w:left="1531" w:header="851" w:footer="992" w:gutter="0"/>
          <w:cols w:space="0" w:num="1"/>
          <w:docGrid w:type="linesAndChars" w:linePitch="579" w:charSpace="0"/>
        </w:sectPr>
      </w:pPr>
    </w:p>
    <w:p>
      <w:pPr>
        <w:rPr>
          <w:rFonts w:ascii="Times New Roman" w:hAnsi="Times New Roman" w:eastAsia="方正黑体_GBK" w:cs="Times New Roman"/>
          <w:color w:val="000000"/>
          <w:spacing w:val="-9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pacing w:val="-9"/>
          <w:kern w:val="0"/>
          <w:sz w:val="32"/>
          <w:szCs w:val="32"/>
        </w:rPr>
        <w:t>附件</w:t>
      </w:r>
    </w:p>
    <w:p>
      <w:pPr>
        <w:topLinePunct/>
        <w:autoSpaceDE w:val="0"/>
        <w:autoSpaceDN w:val="0"/>
        <w:spacing w:after="217" w:afterLines="50" w:line="56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重庆市市场监管领域部门联合抽查事项清单（第二版）</w:t>
      </w:r>
    </w:p>
    <w:tbl>
      <w:tblPr>
        <w:tblStyle w:val="10"/>
        <w:tblW w:w="140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2771"/>
        <w:gridCol w:w="2010"/>
        <w:gridCol w:w="2010"/>
        <w:gridCol w:w="1855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抽查领域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抽查事项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检查对象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发起部门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配合部门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黑体_GBK" w:hAnsi="Calibri" w:eastAsia="方正黑体_GBK" w:cs="Times New Roman"/>
                <w:szCs w:val="21"/>
              </w:rPr>
            </w:pPr>
            <w:r>
              <w:rPr>
                <w:rFonts w:hint="eastAsia" w:ascii="方正黑体_GBK" w:hAnsi="Calibri" w:eastAsia="方正黑体_GBK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工程咨询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工程咨询单位备案信息一致性及其他情况抽查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工程咨询单位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市发展改革委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工程造价咨询企业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对造价咨询企业经营行为和执业质量的行政检查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本地注册的工程造价咨询企业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市住房城乡建委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因部分外地入渝造价企业未在渝注册分公司，无法对其查询主体公示信息，所以入渝造价企业不纳入联合检查计划。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b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对市场主体公示信息的检查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招标代理机构抽查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招标代理机构业务开展合规性情况抽查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招标代理机构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市公共资源交易监管局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校外教育培训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对校外培训机构办学行为、收费、广告等行为的检查；对校外培训机构利用合同格式条款侵害消费者权益行为检查。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面向中小学生的校外教育培训机构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市教委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出口食品生产企业的检查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对出口食品生产企业的检查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出口食品生产企业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重庆海关、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市市场监管局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重庆市税务局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汽车市场监管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新车销售市场监管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新车销售市场经营主体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市市场监管局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市商务委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机动车排放检验机构检测情况抽查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机动车排放检验情况和设备使用情况检查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w w:val="90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w w:val="90"/>
                <w:szCs w:val="21"/>
              </w:rPr>
              <w:t>机动车排放检验单位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市市场监管局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  <w:t>市生态环境局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爆破作业单位抽查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爆破作业单位作业情况检查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爆破作业单位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市公安局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</w:rPr>
              <w:t>市交通局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579" w:lineRule="atLeas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Cs w:val="21"/>
              </w:rPr>
              <w:t>养老服务</w:t>
            </w:r>
          </w:p>
        </w:tc>
        <w:tc>
          <w:tcPr>
            <w:tcW w:w="2771" w:type="dxa"/>
            <w:vAlign w:val="center"/>
          </w:tcPr>
          <w:p>
            <w:pPr>
              <w:snapToGrid w:val="0"/>
              <w:spacing w:line="260" w:lineRule="atLeast"/>
              <w:jc w:val="left"/>
              <w:rPr>
                <w:rFonts w:ascii="方正仿宋_GBK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Cs w:val="21"/>
              </w:rPr>
              <w:t>养老机构建筑安全，建筑消防设计审查和验收情况，电梯、锅炉、压力容器（含气瓶）等特种设备，服务质量安全，资金安全，突发事件应对，从业人员情况。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Cs w:val="21"/>
              </w:rPr>
              <w:t>主城中心城区社会办养老机构</w:t>
            </w:r>
          </w:p>
        </w:tc>
        <w:tc>
          <w:tcPr>
            <w:tcW w:w="2010" w:type="dxa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Cs w:val="21"/>
              </w:rPr>
              <w:t>市民政局</w:t>
            </w:r>
          </w:p>
        </w:tc>
        <w:tc>
          <w:tcPr>
            <w:tcW w:w="1855" w:type="dxa"/>
            <w:vAlign w:val="center"/>
          </w:tcPr>
          <w:p>
            <w:pPr>
              <w:snapToGrid w:val="0"/>
              <w:spacing w:line="260" w:lineRule="atLeast"/>
              <w:jc w:val="center"/>
              <w:rPr>
                <w:rFonts w:ascii="方正仿宋_GBK" w:hAnsi="Calibri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kern w:val="0"/>
                <w:szCs w:val="21"/>
              </w:rPr>
              <w:t>市住房城乡建委、市市场监管局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生态环境监测机构监督检查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生态环境监测机构开展监测情况的检查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生态环境监测机构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  <w:t>市生态环境局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开展涉低挥发性原辅材料（油墨、涂料，胶粘剂、清洗剂）等达标情况联合检查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</w:t>
            </w:r>
            <w:r>
              <w:rPr>
                <w:rFonts w:ascii="方正仿宋_GBK" w:hAnsi="Calibri" w:eastAsia="方正仿宋_GBK" w:cs="Times New Roman"/>
                <w:szCs w:val="21"/>
              </w:rPr>
              <w:t>涂料、油墨、胶粘剂、清洗剂等相关产品生产、销售、使用环节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VOC</w:t>
            </w:r>
            <w:r>
              <w:rPr>
                <w:rFonts w:ascii="方正仿宋_GBK" w:hAnsi="Calibri" w:eastAsia="方正仿宋_GBK" w:cs="Times New Roman"/>
                <w:szCs w:val="21"/>
              </w:rPr>
              <w:t>s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含量限</w:t>
            </w:r>
            <w:r>
              <w:rPr>
                <w:rFonts w:ascii="方正仿宋_GBK" w:hAnsi="Calibri" w:eastAsia="方正仿宋_GBK" w:cs="Times New Roman"/>
                <w:szCs w:val="21"/>
              </w:rPr>
              <w:t>值执行情况的监督检查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涉低挥发性原辅材料（涂料、油墨、胶粘剂、清洗剂）等生产、销售、使用的企业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</w:t>
            </w:r>
            <w:r>
              <w:rPr>
                <w:rFonts w:ascii="方正仿宋_GBK" w:hAnsi="Calibri" w:eastAsia="方正仿宋_GBK" w:cs="Times New Roman"/>
                <w:szCs w:val="21"/>
              </w:rPr>
              <w:t>市场监管局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  <w:t>市生态环境局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机动车销售企业监管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机动车环保信息公开检查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机动车销售企业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  <w:t>市生态环境局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市政工程监督检查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城镇污水处理设施污染防治情况的检查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城镇污水处理厂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  <w:t>市生态环境局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市住房城乡建委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房地产市场监督执法检查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房地产市场监督执法检查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房地产从业单位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市住房城乡建委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交通运输行业监管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道路危险货物运</w:t>
            </w:r>
          </w:p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输企业检查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道路危险货物运输企业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市交通局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道路运输新业态企业检查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网约车平台公司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市交通局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市市场监管局、市公安局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交通运输产品质量监督检查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工程建设单位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市交通局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市市场监管局、市公安局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机动车维修企业检查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机动车维修企业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市交通局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</w:pPr>
            <w:r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  <w:t>市生态环境局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Times New Roman"/>
                <w:szCs w:val="21"/>
                <w:u w:val="single" w:color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旅行社行业监管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对旅行社取得许可证情况、经营情况的检查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旅行社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市文化旅游委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对旅行社广告宣传的检查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7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经营性互联网文化单位抽查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经营性互联网文化单位经营情况的检查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经营性互联网文化单位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市文化旅游委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市公安局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对网络安全进行检查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营业性演出经营活动从业单位抽查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营业性演出经营活动从业单位取得许可证情况的检查，经营情况的检查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营业性演出经营活动从业单位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市文化旅游委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对登记事项的检查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1</w:t>
            </w:r>
            <w:r>
              <w:rPr>
                <w:rFonts w:ascii="方正仿宋_GBK" w:hAnsi="Calibri" w:eastAsia="方正仿宋_GBK" w:cs="Times New Roman"/>
                <w:szCs w:val="21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艺术品经营单位抽查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艺术品经营单位从事艺术品经营活动的检查，艺术品经营单位备案情况的检查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艺术品经营单位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市文化旅游委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对登记事项的检查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ascii="方正仿宋_GBK" w:hAnsi="Calibri" w:eastAsia="方正仿宋_GBK" w:cs="Times New Roman"/>
                <w:szCs w:val="21"/>
              </w:rPr>
              <w:t>20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影剧院、歌舞娱乐和电子游戏场所经营情况抽查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影剧院、歌舞娱乐和电子游戏场所取得、公示相关许可证及其他情况的检查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影剧院、歌舞娱乐和电子游戏场所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市文化旅游委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市市场监管局、市卫生健康委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食品安全情况检查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对卫生状况及卫生制度等情况的检查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宾馆、旅店监督抽查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宾馆、旅店取得许可证情况的检查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各类宾馆、旅店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市公安局、市卫生健康委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市文化旅游委</w:t>
            </w:r>
          </w:p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宾馆、旅店卫生情况的检查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市卫生健康委</w:t>
            </w: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宾馆、旅店消防情况的检查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市消防救援总队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市市场监管局、市公安局、市文化旅游委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由各区县消防救援机构发起实施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工业企业安全生产情况的检查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工业企业建立健全安全生产制度并有效实施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各类共工业企业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市应急局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工业企业建立健全安全生产管理机构或配齐安全生产管理人员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涉嫌税收违法当事人的抽查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涉嫌税收违法的纳税人、扣缴义务人和其他涉税当事人的检查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w w:val="9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w w:val="90"/>
                <w:szCs w:val="21"/>
              </w:rPr>
              <w:t>涉嫌税收违法当事人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市税务局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市公安局、市市场监管局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对</w:t>
            </w:r>
            <w:r>
              <w:rPr>
                <w:rFonts w:ascii="方正仿宋_GBK" w:hAnsi="Calibri" w:eastAsia="方正仿宋_GBK" w:cs="Times New Roman"/>
                <w:szCs w:val="21"/>
              </w:rPr>
              <w:t>一套表联网直报“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四</w:t>
            </w:r>
            <w:r>
              <w:rPr>
                <w:rFonts w:ascii="方正仿宋_GBK" w:hAnsi="Calibri" w:eastAsia="方正仿宋_GBK" w:cs="Times New Roman"/>
                <w:szCs w:val="21"/>
              </w:rPr>
              <w:t>上”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企业</w:t>
            </w:r>
            <w:r>
              <w:rPr>
                <w:rFonts w:ascii="方正仿宋_GBK" w:hAnsi="Calibri" w:eastAsia="方正仿宋_GBK" w:cs="Times New Roman"/>
                <w:szCs w:val="21"/>
              </w:rPr>
              <w:t>名录库抽查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调查</w:t>
            </w:r>
            <w:r>
              <w:rPr>
                <w:rFonts w:ascii="方正仿宋_GBK" w:hAnsi="Calibri" w:eastAsia="方正仿宋_GBK" w:cs="Times New Roman"/>
                <w:szCs w:val="21"/>
              </w:rPr>
              <w:t>对象依法设置原始记录、统计台账情况检查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二</w:t>
            </w:r>
            <w:r>
              <w:rPr>
                <w:rFonts w:ascii="方正仿宋_GBK" w:hAnsi="Calibri" w:eastAsia="方正仿宋_GBK" w:cs="Times New Roman"/>
                <w:szCs w:val="21"/>
              </w:rPr>
              <w:t>、三产业法人单位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统计局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</w:t>
            </w:r>
            <w:r>
              <w:rPr>
                <w:rFonts w:ascii="方正仿宋_GBK" w:hAnsi="Calibri" w:eastAsia="方正仿宋_GBK" w:cs="Times New Roman"/>
                <w:szCs w:val="21"/>
              </w:rPr>
              <w:t>场监管领域相关</w:t>
            </w:r>
            <w:r>
              <w:rPr>
                <w:rFonts w:hint="eastAsia" w:ascii="方正仿宋_GBK" w:hAnsi="Calibri" w:eastAsia="方正仿宋_GBK" w:cs="Times New Roman"/>
                <w:szCs w:val="21"/>
              </w:rPr>
              <w:t>部门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单用途预付卡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单用途商业预付卡发（售）卡企业是否存在不按规定进行发行、服务和资金存管，不按规定建立管理系统等情况。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零售业、餐住业、居民服务业领域已备案的单用途商业预付卡发售卡企业法人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市商务委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b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对经营者以格式合同作出对消费者不公平不合理规定行为的检查。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外商投资企业履行信息报告义务情况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外商投资企业是否按规定履行信息报告义务的情况。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外商投资企业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市商务委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b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对市场主体公示信息的检查。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7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农业生产资料监管</w:t>
            </w:r>
          </w:p>
        </w:tc>
        <w:tc>
          <w:tcPr>
            <w:tcW w:w="277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农药监督检查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农药生产者、经营者，农药登记试验单位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市农业农村委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通过农业机械推广鉴定的产品及证书监督检查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农业机械生产经营企业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市农业农村委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种子监督检查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种子生产经营者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市农业农村委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农业转基因生物安全检查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农业转基因生物安全监督检查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在我市境内从事农业转基因生物研究、试验、生产、加工、经营和进口、出口活动的单位和个人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市农业农村委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2</w:t>
            </w:r>
            <w:r>
              <w:rPr>
                <w:rFonts w:ascii="方正仿宋_GBK" w:hAnsi="Calibri" w:eastAsia="方正仿宋_GBK" w:cs="Times New Roman"/>
                <w:szCs w:val="21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人力资源市场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人力资源服务机构依法开展人力资源服务业务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人力资源服务机构</w:t>
            </w:r>
          </w:p>
        </w:tc>
        <w:tc>
          <w:tcPr>
            <w:tcW w:w="201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市人力社保局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市市场监管局</w:t>
            </w:r>
          </w:p>
        </w:tc>
        <w:tc>
          <w:tcPr>
            <w:tcW w:w="21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  <w:tc>
          <w:tcPr>
            <w:tcW w:w="2552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用人单位发布招聘信息，组织招聘活动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用人单位</w:t>
            </w:r>
          </w:p>
        </w:tc>
        <w:tc>
          <w:tcPr>
            <w:tcW w:w="201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18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ascii="方正仿宋_GBK" w:hAnsi="Calibri" w:eastAsia="方正仿宋_GBK" w:cs="Times New Roman"/>
                <w:szCs w:val="21"/>
              </w:rPr>
              <w:t>30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ind w:right="-53" w:rightChars="-25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燃气经营行业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ind w:right="-53" w:rightChars="-25"/>
              <w:jc w:val="left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燃气经营许可证取得情况,燃气经营监督执法检查。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ind w:right="-53" w:rightChars="-25"/>
              <w:jc w:val="center"/>
              <w:rPr>
                <w:rFonts w:ascii="方正仿宋_GBK" w:hAnsi="Calibri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color w:val="000000"/>
                <w:szCs w:val="21"/>
              </w:rPr>
              <w:t>燃气经营者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ind w:right="-53" w:rightChars="-25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宋体"/>
                <w:kern w:val="0"/>
                <w:szCs w:val="21"/>
              </w:rPr>
              <w:t>市经济信息委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ind w:right="-53" w:rightChars="-25"/>
              <w:jc w:val="center"/>
              <w:rPr>
                <w:rFonts w:ascii="方正仿宋_GBK" w:hAnsi="Calibri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Calibri" w:eastAsia="方正仿宋_GBK" w:cs="宋体"/>
                <w:kern w:val="0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3</w:t>
            </w:r>
            <w:r>
              <w:rPr>
                <w:rFonts w:ascii="方正仿宋_GBK" w:hAnsi="Calibri" w:eastAsia="方正仿宋_GBK" w:cs="Times New Roman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消防安全检查</w:t>
            </w:r>
          </w:p>
        </w:tc>
        <w:tc>
          <w:tcPr>
            <w:tcW w:w="2771" w:type="dxa"/>
            <w:vAlign w:val="center"/>
          </w:tcPr>
          <w:p>
            <w:pPr>
              <w:spacing w:line="280" w:lineRule="exact"/>
              <w:jc w:val="left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使用领域消防产品质量监督稽查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使用领域消防产品</w:t>
            </w:r>
          </w:p>
        </w:tc>
        <w:tc>
          <w:tcPr>
            <w:tcW w:w="2010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市消防救援总队</w:t>
            </w:r>
          </w:p>
        </w:tc>
        <w:tc>
          <w:tcPr>
            <w:tcW w:w="185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市市场监管局</w:t>
            </w:r>
          </w:p>
        </w:tc>
        <w:tc>
          <w:tcPr>
            <w:tcW w:w="2165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Calibri" w:eastAsia="方正仿宋_GBK" w:cs="Times New Roman"/>
                <w:szCs w:val="21"/>
              </w:rPr>
            </w:pPr>
            <w:r>
              <w:rPr>
                <w:rFonts w:hint="eastAsia" w:ascii="方正仿宋_GBK" w:hAnsi="Calibri" w:eastAsia="方正仿宋_GBK" w:cs="Times New Roman"/>
                <w:szCs w:val="21"/>
              </w:rPr>
              <w:t>由各区县消防救援机构发起实施</w:t>
            </w:r>
          </w:p>
        </w:tc>
      </w:tr>
    </w:tbl>
    <w:p>
      <w:pPr>
        <w:rPr>
          <w:rFonts w:ascii="Times New Roman" w:hAnsi="Times New Roman" w:eastAsia="方正黑体_GBK" w:cs="方正黑体_GBK"/>
          <w:sz w:val="32"/>
          <w:szCs w:val="32"/>
        </w:rPr>
      </w:pPr>
    </w:p>
    <w:p>
      <w:pPr>
        <w:snapToGrid w:val="0"/>
        <w:rPr>
          <w:rFonts w:ascii="Times New Roman" w:hAnsi="Times New Roman" w:eastAsia="方正黑体_GBK" w:cs="Times New Roman"/>
          <w:color w:val="000000"/>
          <w:spacing w:val="-9"/>
          <w:kern w:val="0"/>
          <w:sz w:val="32"/>
          <w:szCs w:val="32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10"/>
  <w:drawingGridVerticalSpacing w:val="29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03"/>
    <w:rsid w:val="00012389"/>
    <w:rsid w:val="00036A97"/>
    <w:rsid w:val="00093ECD"/>
    <w:rsid w:val="00127676"/>
    <w:rsid w:val="001349E9"/>
    <w:rsid w:val="001370BC"/>
    <w:rsid w:val="00137215"/>
    <w:rsid w:val="002149CC"/>
    <w:rsid w:val="002E4779"/>
    <w:rsid w:val="0042631B"/>
    <w:rsid w:val="0049563D"/>
    <w:rsid w:val="004C03C3"/>
    <w:rsid w:val="004C2689"/>
    <w:rsid w:val="004D6944"/>
    <w:rsid w:val="006113A5"/>
    <w:rsid w:val="00651BA7"/>
    <w:rsid w:val="006C6530"/>
    <w:rsid w:val="0074007E"/>
    <w:rsid w:val="00774193"/>
    <w:rsid w:val="00817E1E"/>
    <w:rsid w:val="00820032"/>
    <w:rsid w:val="00866446"/>
    <w:rsid w:val="00875AFC"/>
    <w:rsid w:val="008F4AB3"/>
    <w:rsid w:val="00937C02"/>
    <w:rsid w:val="00A14870"/>
    <w:rsid w:val="00A662FB"/>
    <w:rsid w:val="00B02C97"/>
    <w:rsid w:val="00B76D61"/>
    <w:rsid w:val="00C34DE1"/>
    <w:rsid w:val="00C758A8"/>
    <w:rsid w:val="00CB73A7"/>
    <w:rsid w:val="00CC7BC2"/>
    <w:rsid w:val="00D05A14"/>
    <w:rsid w:val="00D81F5C"/>
    <w:rsid w:val="00D91203"/>
    <w:rsid w:val="00EB1897"/>
    <w:rsid w:val="00EC1E9A"/>
    <w:rsid w:val="00F007B2"/>
    <w:rsid w:val="00F8409F"/>
    <w:rsid w:val="06FA5190"/>
    <w:rsid w:val="07EF00E9"/>
    <w:rsid w:val="28827BE6"/>
    <w:rsid w:val="3984744E"/>
    <w:rsid w:val="57A7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table" w:customStyle="1" w:styleId="10">
    <w:name w:val="网格型21"/>
    <w:basedOn w:val="6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7</Pages>
  <Words>456</Words>
  <Characters>2605</Characters>
  <Lines>21</Lines>
  <Paragraphs>6</Paragraphs>
  <TotalTime>37</TotalTime>
  <ScaleCrop>false</ScaleCrop>
  <LinksUpToDate>false</LinksUpToDate>
  <CharactersWithSpaces>3055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2022-03-11T02:12:00Z</dcterms:created>
  <dc:creator>黄腾飞</dc:creator>
  <cp:lastModifiedBy>执法总队_执法总队法制处_陈进</cp:lastModifiedBy>
  <cp:lastPrinted>2023-03-31T01:19:00Z</cp:lastPrinted>
  <dcterms:modified xsi:type="dcterms:W3CDTF">2025-03-11T04:06:39Z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