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963342482"/>
      </w:sdtPr>
      <w:sdtEndPr>
        <w:rPr>
          <w:b/>
          <w:sz w:val="36"/>
          <w:szCs w:val="36"/>
        </w:rPr>
      </w:sdtEndPr>
      <w:sdtContent>
        <w:p>
          <w:pPr>
            <w:jc w:val="left"/>
            <w:rPr>
              <w:rFonts w:hint="eastAsia" w:ascii="方正仿宋_GBK" w:hAnsi="方正仿宋_GBK" w:eastAsia="方正仿宋_GBK" w:cs="方正仿宋_GBK"/>
              <w:lang w:eastAsia="zh-CN"/>
            </w:rPr>
          </w:pPr>
          <w:bookmarkStart w:id="0" w:name="_Toc424740086"/>
          <w:bookmarkStart w:id="1" w:name="_Toc362874885"/>
          <w: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>
                    <wp:simplePos x="0" y="0"/>
                    <wp:positionH relativeFrom="page">
                      <wp:posOffset>-19050</wp:posOffset>
                    </wp:positionH>
                    <wp:positionV relativeFrom="page">
                      <wp:posOffset>1619250</wp:posOffset>
                    </wp:positionV>
                    <wp:extent cx="7095490" cy="1914525"/>
                    <wp:effectExtent l="0" t="0" r="0" b="0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true"/>
                          <wps:spPr>
                            <a:xfrm>
                              <a:off x="0" y="0"/>
                              <a:ext cx="7095490" cy="1914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ind w:right="640"/>
                                  <w:jc w:val="center"/>
                                  <w:rPr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202</w:t>
                                </w:r>
                                <w:r>
                                  <w:rPr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年重庆市生态环境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br w:type="textWrapping"/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统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:lang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计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4F81BD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年报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false" anchor="b" anchorCtr="false" forceAA="false" compatLnSpc="tru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1.5pt;margin-top:127.5pt;height:150.75pt;width:558.7pt;mso-position-horizontal-relative:page;mso-position-vertical-relative:page;mso-wrap-distance-bottom:0pt;mso-wrap-distance-left:9pt;mso-wrap-distance-right:9pt;mso-wrap-distance-top:0pt;z-index:251643904;v-text-anchor:bottom;mso-width-relative:page;mso-height-relative:page;" filled="f" stroked="f" coordsize="21600,21600" o:gfxdata="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q7WwatkAAAALAQAADwAAAAAAAAABACAA&#10;AAA4AAAAZHJzL2Rvd25yZXYueG1sUEsBAhQAFAAAAAgAh07iQGY2+54vAgAAOAQAAA4AAAAAAAAA&#10;AQAgAAAAPgEAAGRycy9lMm9Eb2MueG1sUEsFBgAAAAAGAAYAWQEAAN8FAAAAAA==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ind w:right="640"/>
                            <w:jc w:val="center"/>
                            <w:rPr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202</w:t>
                          </w:r>
                          <w:r>
                            <w:rPr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年重庆市生态环境</w:t>
                          </w: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br w:type="textWrapping"/>
                          </w: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统</w:t>
                          </w: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:lang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计</w:t>
                          </w:r>
                          <w:r>
                            <w:rPr>
                              <w:rFonts w:hint="eastAsia"/>
                              <w:caps/>
                              <w:color w:val="4F81BD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年报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245745</wp:posOffset>
                    </wp:positionV>
                    <wp:extent cx="7103745" cy="1287780"/>
                    <wp:effectExtent l="1905" t="3810" r="0" b="0"/>
                    <wp:wrapNone/>
                    <wp:docPr id="2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03745" cy="1287780"/>
                              <a:chOff x="0" y="0"/>
                              <a:chExt cx="73152" cy="12161532"/>
                            </a:xfrm>
                          </wpg:grpSpPr>
                          <wps:wsp>
                            <wps:cNvPr id="5" name="矩形 51"/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73152" cy="1130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false" upright="true">
                              <a:noAutofit/>
                            </wps:bodyPr>
                          </wps:wsp>
                          <wps:wsp>
                            <wps:cNvPr id="8" name="Rectangle 5" descr="image1"/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73152" cy="12161"/>
                              </a:xfrm>
                              <a:prstGeom prst="rect">
                                <a:avLst/>
                              </a:prstGeom>
                              <a:blipFill dpi="0" rotWithShape="true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false" upright="true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101.4pt;width:559.35pt;mso-position-horizontal-relative:page;mso-position-vertical-relative:page;z-index:251660288;mso-width-relative:page;mso-height-relative:page;mso-width-percent:941;mso-height-percent:121;" coordsize="73152,12161532" o:gfxdata="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">
                    <o:lock v:ext="edit" aspectratio="f"/>
                    <v:shape id="矩形 51" o:spid="_x0000_s1026" o:spt="100" style="position:absolute;left:0;top:0;height:11303;width:73152;v-text-anchor:middle;" fillcolor="#4F81BD [3220]" filled="t" stroked="f" coordsize="7312660,1129665" o:gfxdata="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ZV0464AAAA2gAAAA8AAAAAAAAAAQAgAAAAOAAAAGRycy9kb3ducmV2LnhtbFBL&#10;AQIUABQAAAAIAIdO4kAzLwWeOwAAADkAAAAQAAAAAAAAAAEAIAAAAB0BAABkcnMvc2hhcGV4bWwu&#10;eG1sUEsFBgAAAAAGAAYAWwEAAMcDAAAAAA==&#10;" path="m0,0l7312660,0,7312660,1129665,3619500,733425,0,1091565,0,0xe">
                      <v:path o:connectlocs="0,0;73177,0;73177,11310;36220,7342;0,10928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5" o:spid="_x0000_s1026" o:spt="1" alt="image1" style="position:absolute;left:0;top:0;height:12161;width:73152;v-text-anchor:middle;" filled="t" stroked="f" coordsize="21600,21600" o:gfxdata="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N15E7oAAADaAAAADwAAAAAAAAABACAAAAA4AAAAZHJzL2Rvd25yZXYueG1s&#10;UEsBAhQAFAAAAAgAh07iQDMvBZ47AAAAOQAAABAAAAAAAAAAAQAgAAAAHwEAAGRycy9zaGFwZXht&#10;bC54bWxQSwUGAAAAAAYABgBbAQAAyQMAAAAA&#10;">
                      <v:fill type="frame" on="t" o:title="image1" focussize="0,0" recolor="t" rotate="t" r:id="rId5"/>
                      <v:stroke on="f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after="0"/>
            <w:jc w:val="left"/>
            <w:rPr>
              <w:b/>
              <w:sz w:val="36"/>
              <w:szCs w:val="36"/>
            </w:rPr>
          </w:pPr>
          <w: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>
                    <wp:simplePos x="0" y="0"/>
                    <wp:positionH relativeFrom="page">
                      <wp:posOffset>193675</wp:posOffset>
                    </wp:positionH>
                    <wp:positionV relativeFrom="page">
                      <wp:posOffset>7541260</wp:posOffset>
                    </wp:positionV>
                    <wp:extent cx="6857365" cy="967740"/>
                    <wp:effectExtent l="0" t="0" r="0" b="0"/>
                    <wp:wrapSquare wrapText="bothSides"/>
                    <wp:docPr id="153" name="文本框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true"/>
                          <wps:spPr>
                            <a:xfrm>
                              <a:off x="0" y="0"/>
                              <a:ext cx="6857365" cy="967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261"/>
                                  <w:ind w:right="140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重庆市</w:t>
                                </w: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生态环境局</w:t>
                                </w:r>
                              </w:p>
                              <w:p>
                                <w:pPr>
                                  <w:pStyle w:val="261"/>
                                  <w:ind w:right="140"/>
                                  <w:jc w:val="center"/>
                                  <w:rPr>
                                    <w:color w:val="595959" w:themeColor="text1" w:themeTint="A6"/>
                                    <w:sz w:val="44"/>
                                    <w:szCs w:val="4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202</w:t>
                                </w: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11</w:t>
                                </w: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false" anchor="t" anchorCtr="false" forceAA="false" compatLnSpc="true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5.25pt;margin-top:593.8pt;height:76.2pt;width:539.95pt;mso-position-horizontal-relative:page;mso-position-vertical-relative:page;mso-wrap-distance-bottom:0pt;mso-wrap-distance-left:9pt;mso-wrap-distance-right:9pt;mso-wrap-distance-top:0pt;z-index:251652096;mso-width-relative:page;mso-height-relative:page;mso-height-percent:100;" filled="f" stroked="f" coordsize="21600,21600" o:gfxdata="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HtYisrbAAAADQEAAA8AAAAAAAAAAQAg&#10;AAAAOAAAAGRycy9kb3ducmV2LnhtbFBLAQIUABQAAAAIAIdO4kDUk5haLgIAADcEAAAOAAAAAAAA&#10;AAEAIAAAAEABAABkcnMvZTJvRG9jLnhtbFBLBQYAAAAABgAGAFkBAADgBQAAAAA=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 style="mso-fit-shape-to-text:t;">
                      <w:txbxContent>
                        <w:p>
                          <w:pPr>
                            <w:pStyle w:val="261"/>
                            <w:ind w:right="140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重庆市</w:t>
                          </w:r>
                          <w:r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生态环境局</w:t>
                          </w:r>
                        </w:p>
                        <w:p>
                          <w:pPr>
                            <w:pStyle w:val="261"/>
                            <w:ind w:right="140"/>
                            <w:jc w:val="center"/>
                            <w:rPr>
                              <w:color w:val="595959" w:themeColor="text1" w:themeTint="A6"/>
                              <w:sz w:val="44"/>
                              <w:szCs w:val="4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202</w:t>
                          </w:r>
                          <w:r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11</w:t>
                          </w: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b/>
              <w:sz w:val="36"/>
              <w:szCs w:val="36"/>
            </w:rPr>
            <w:br w:type="page"/>
          </w:r>
        </w:p>
      </w:sdtContent>
    </w:sdt>
    <w:sdt>
      <w:sdtPr>
        <w:rPr>
          <w:rFonts w:ascii="Calibri" w:hAnsi="Calibri" w:eastAsia="黑体" w:cs="Times New Roman"/>
          <w:color w:val="auto"/>
          <w:kern w:val="2"/>
          <w:sz w:val="28"/>
          <w:szCs w:val="22"/>
          <w:lang w:val="zh-CN"/>
        </w:rPr>
        <w:id w:val="1582567613"/>
      </w:sdtPr>
      <w:sdtEndPr>
        <w:rPr>
          <w:rFonts w:cs="Times New Roman" w:asciiTheme="majorEastAsia" w:hAnsiTheme="majorEastAsia" w:eastAsiaTheme="majorEastAsia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62"/>
            <w:ind w:firstLine="480"/>
            <w:jc w:val="center"/>
            <w:rPr>
              <w:sz w:val="36"/>
              <w:szCs w:val="36"/>
              <w:lang w:val="zh-CN"/>
            </w:rPr>
          </w:pPr>
          <w:bookmarkStart w:id="2" w:name="_Toc531962670"/>
          <w:r>
            <w:rPr>
              <w:sz w:val="36"/>
              <w:szCs w:val="36"/>
              <w:lang w:val="zh-CN"/>
            </w:rPr>
            <w:t>目</w:t>
          </w:r>
          <w:r>
            <w:rPr>
              <w:rFonts w:hint="eastAsia"/>
              <w:sz w:val="36"/>
              <w:szCs w:val="36"/>
              <w:lang w:val="zh-CN"/>
            </w:rPr>
            <w:t xml:space="preserve">  </w:t>
          </w:r>
          <w:r>
            <w:rPr>
              <w:sz w:val="36"/>
              <w:szCs w:val="36"/>
              <w:lang w:val="zh-CN"/>
            </w:rPr>
            <w:t>录</w:t>
          </w:r>
        </w:p>
        <w:p>
          <w:pPr>
            <w:spacing w:after="0" w:line="360" w:lineRule="auto"/>
            <w:rPr>
              <w:sz w:val="24"/>
              <w:szCs w:val="24"/>
              <w:lang w:val="zh-CN"/>
            </w:rPr>
          </w:pP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rPr>
              <w:rFonts w:ascii="Times New Roman" w:hAnsi="Times New Roman" w:eastAsiaTheme="majorEastAsia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 w:eastAsiaTheme="majorEastAsia"/>
              <w:i w:val="0"/>
              <w:sz w:val="30"/>
              <w:szCs w:val="30"/>
            </w:rPr>
            <w:instrText xml:space="preserve"> TOC \o "1-3" \h \z \u </w:instrText>
          </w:r>
          <w:r>
            <w:rPr>
              <w:rFonts w:ascii="Times New Roman" w:hAnsi="Times New Roman" w:eastAsiaTheme="majorEastAsia"/>
              <w:i w:val="0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"_Toc92810242"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1基本情况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_Toc92810242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"_Toc92810243"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1.1调查对象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_Toc92810243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"_Toc92810244"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1.2主要污染物排放情况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_Toc92810244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"_Toc92810245"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2 废水主要污染物排放情况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_Toc92810245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"_Toc92810246"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2.1废水中主要污染物排放情况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_Toc92810246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"_Toc92810247"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2.2各地区工业废水中主要污染物排放情况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_Toc92810247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6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"_Toc92810248"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2.3各行业废水中主要污染物排放情况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_Toc92810248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9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"_Toc92810249"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3废气主要污染物排放情况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_Toc92810249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"_Toc92810250"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3.1废气中主要污染物排放情况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_Toc92810250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"_Toc92810251"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3.2各地区工业废气中主要污染物排放情况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_Toc92810251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15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"_Toc92810252"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3.3各行业废气中主要污染物排放情况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_Toc92810252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19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"_Toc92810253"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4工业固体废物产生及处理情况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_Toc92810253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"_Toc92810254"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4.1一般工业固体废物和危险废物产生及利用处置情况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_Toc92810254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"_Toc92810255"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4.2一般工业固体废物和危险废物区域分布情况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_Toc92810255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22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pStyle w:val="36"/>
            <w:rPr>
              <w:rFonts w:ascii="Times New Roman" w:hAnsi="Times New Roman" w:eastAsiaTheme="minorEastAsia"/>
              <w:i w:val="0"/>
              <w:iCs w:val="0"/>
              <w:sz w:val="30"/>
              <w:szCs w:val="30"/>
            </w:rPr>
          </w:pPr>
          <w:r>
            <w:fldChar w:fldCharType="begin"/>
          </w:r>
          <w:r>
            <w:instrText xml:space="preserve"> HYPERLINK \l "_Toc92810256" </w:instrText>
          </w:r>
          <w:r>
            <w:fldChar w:fldCharType="separate"/>
          </w:r>
          <w:r>
            <w:rPr>
              <w:rStyle w:val="83"/>
              <w:rFonts w:ascii="Times New Roman" w:hAnsi="Times New Roman"/>
              <w:i w:val="0"/>
              <w:sz w:val="30"/>
              <w:szCs w:val="30"/>
            </w:rPr>
            <w:t>4.3一般工业固体废物和危险废物行业分布情况</w:t>
          </w:r>
          <w:r>
            <w:rPr>
              <w:rFonts w:ascii="Times New Roman" w:hAnsi="Times New Roman"/>
              <w:i w:val="0"/>
              <w:sz w:val="30"/>
              <w:szCs w:val="30"/>
            </w:rPr>
            <w:tab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begin"/>
          </w:r>
          <w:r>
            <w:rPr>
              <w:rFonts w:ascii="Times New Roman" w:hAnsi="Times New Roman"/>
              <w:i w:val="0"/>
              <w:sz w:val="30"/>
              <w:szCs w:val="30"/>
            </w:rPr>
            <w:instrText xml:space="preserve"> PAGEREF _Toc92810256 \h </w:instrTex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separate"/>
          </w:r>
          <w:r>
            <w:rPr>
              <w:rFonts w:ascii="Times New Roman" w:hAnsi="Times New Roman"/>
              <w:i w:val="0"/>
              <w:sz w:val="30"/>
              <w:szCs w:val="30"/>
            </w:rPr>
            <w:t>26</w:t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  <w:r>
            <w:rPr>
              <w:rFonts w:ascii="Times New Roman" w:hAnsi="Times New Roman"/>
              <w:i w:val="0"/>
              <w:sz w:val="30"/>
              <w:szCs w:val="30"/>
            </w:rPr>
            <w:fldChar w:fldCharType="end"/>
          </w:r>
        </w:p>
        <w:p>
          <w:pPr>
            <w:spacing w:after="0" w:line="360" w:lineRule="auto"/>
            <w:rPr>
              <w:rFonts w:asciiTheme="majorEastAsia" w:hAnsiTheme="majorEastAsia" w:eastAsiaTheme="majorEastAsia"/>
              <w:szCs w:val="28"/>
            </w:rPr>
          </w:pPr>
          <w:r>
            <w:rPr>
              <w:rFonts w:ascii="Times New Roman" w:hAnsi="Times New Roman" w:eastAsiaTheme="majorEastAsia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bookmarkEnd w:id="0"/>
    <w:bookmarkEnd w:id="1"/>
    <w:bookmarkEnd w:id="2"/>
    <w:p>
      <w:pPr>
        <w:widowControl/>
        <w:spacing w:after="0"/>
        <w:jc w:val="left"/>
        <w:rPr>
          <w:rFonts w:ascii="Times New Roman" w:hAnsi="Times New Roman"/>
        </w:rPr>
        <w:sectPr>
          <w:footerReference r:id="rId3" w:type="default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>
      <w:pPr>
        <w:pStyle w:val="5"/>
        <w:rPr>
          <w:rFonts w:ascii="Times New Roman" w:hAnsi="Times New Roman"/>
        </w:rPr>
      </w:pPr>
      <w:bookmarkStart w:id="3" w:name="_Toc92810242"/>
      <w:r>
        <w:rPr>
          <w:rFonts w:ascii="Times New Roman" w:hAnsi="Times New Roman"/>
        </w:rPr>
        <w:t>1基本情况</w:t>
      </w:r>
      <w:bookmarkEnd w:id="3"/>
    </w:p>
    <w:p>
      <w:pPr>
        <w:pStyle w:val="5"/>
        <w:spacing w:before="120" w:after="120" w:line="360" w:lineRule="auto"/>
        <w:rPr>
          <w:rFonts w:ascii="Times New Roman" w:hAnsi="Times New Roman" w:eastAsia="仿宋_GB2312"/>
          <w:szCs w:val="28"/>
        </w:rPr>
      </w:pPr>
      <w:bookmarkStart w:id="4" w:name="_Toc92810243"/>
      <w:r>
        <w:rPr>
          <w:rFonts w:ascii="Times New Roman" w:hAnsi="Times New Roman"/>
        </w:rPr>
        <w:t>1.1调查对象</w:t>
      </w:r>
      <w:bookmarkEnd w:id="4"/>
    </w:p>
    <w:p>
      <w:pPr>
        <w:snapToGrid w:val="0"/>
        <w:spacing w:line="360" w:lineRule="auto"/>
        <w:ind w:firstLine="600" w:firstLineChars="200"/>
      </w:pPr>
      <w:r>
        <w:rPr>
          <w:rFonts w:hint="eastAsia" w:ascii="Times New Roman" w:hAnsi="Times New Roman" w:eastAsia="仿宋_GB2312"/>
          <w:sz w:val="30"/>
          <w:szCs w:val="30"/>
        </w:rPr>
        <w:t>根据生态环境部《排放源统计调查制度（国统制〔2021〕18号）》，环境统计调查对象为20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年有污染物产生或排放的工业源、农业源、生活源、移动源以及集中式污染治理设施。工业源调查范围为《国民经济行业分类》（</w:t>
      </w:r>
      <w:r>
        <w:rPr>
          <w:rFonts w:ascii="Times New Roman" w:hAnsi="Times New Roman" w:eastAsia="仿宋_GB2312"/>
          <w:sz w:val="30"/>
          <w:szCs w:val="30"/>
        </w:rPr>
        <w:t>GB/T4754-2017</w:t>
      </w:r>
      <w:r>
        <w:rPr>
          <w:rFonts w:hint="eastAsia" w:ascii="Times New Roman" w:hAnsi="Times New Roman" w:eastAsia="仿宋_GB2312"/>
          <w:sz w:val="30"/>
          <w:szCs w:val="30"/>
        </w:rPr>
        <w:t>）中采矿业，制造业，电力、热力、燃气及水的生产和供应业</w:t>
      </w:r>
      <w:r>
        <w:rPr>
          <w:rFonts w:ascii="Times New Roman" w:hAnsi="Times New Roman" w:eastAsia="仿宋_GB2312"/>
          <w:sz w:val="30"/>
          <w:szCs w:val="30"/>
        </w:rPr>
        <w:t>3个门类</w:t>
      </w:r>
      <w:r>
        <w:rPr>
          <w:rFonts w:hint="eastAsia" w:ascii="Times New Roman" w:hAnsi="Times New Roman" w:eastAsia="仿宋_GB2312"/>
          <w:sz w:val="30"/>
          <w:szCs w:val="30"/>
        </w:rPr>
        <w:t>中的全部</w:t>
      </w:r>
      <w:r>
        <w:rPr>
          <w:rFonts w:ascii="Times New Roman" w:hAnsi="Times New Roman" w:eastAsia="仿宋_GB2312"/>
          <w:sz w:val="30"/>
          <w:szCs w:val="30"/>
        </w:rPr>
        <w:t>工业企业（不含军队企</w:t>
      </w:r>
      <w:r>
        <w:rPr>
          <w:rFonts w:hint="eastAsia" w:ascii="Times New Roman" w:hAnsi="Times New Roman" w:eastAsia="仿宋_GB2312"/>
          <w:sz w:val="30"/>
          <w:szCs w:val="30"/>
        </w:rPr>
        <w:t>业）。农业源调查范围为种植业、畜禽养殖业和水产养殖业，其中畜禽养殖业主要包括生猪、奶牛、肉牛、蛋鸡、肉鸡五类畜种的规模养殖场及规模以下养殖户。生活源废水污染统计范围涵盖居民生活和《国民经济行业分类》（GB/T 4754—2017）中的第三产业；废气污染统计范围涵盖居民生活和《国民经济行业分类》（GB/T 4754—2017）中的第三产业、第一产业中的05大类行业和工业源废气非重点调查单位。移动源调查范围为载客汽车、载货汽车、三轮汽车及低速货车、摩托车。集中式污染治理设施调查范围为污水处理厂、生活垃圾处理厂、危险废物（医疗废物）集中处理厂，其中，污水处理厂包括城镇污水处理厂、工业废水集中处理厂（不包括企业内部自建自用废水处理厂）、其他污水处理设施和农村集中式污水处理设施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以第二次全国污染源普查名录库为总体样本，按照重点调查单位筛选原则，20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年重庆市共筛选3</w:t>
      </w:r>
      <w:r>
        <w:rPr>
          <w:rFonts w:ascii="Times New Roman" w:hAnsi="Times New Roman" w:eastAsia="仿宋_GB2312"/>
          <w:sz w:val="30"/>
          <w:szCs w:val="30"/>
        </w:rPr>
        <w:t>655</w:t>
      </w:r>
      <w:r>
        <w:rPr>
          <w:rFonts w:hint="eastAsia" w:ascii="Times New Roman" w:hAnsi="Times New Roman" w:eastAsia="仿宋_GB2312"/>
          <w:sz w:val="30"/>
          <w:szCs w:val="30"/>
        </w:rPr>
        <w:t>家重点调查单位。其中工业源</w:t>
      </w:r>
      <w:r>
        <w:rPr>
          <w:rFonts w:ascii="Times New Roman" w:hAnsi="Times New Roman" w:eastAsia="仿宋_GB2312"/>
          <w:sz w:val="30"/>
          <w:szCs w:val="30"/>
        </w:rPr>
        <w:t>2711</w:t>
      </w:r>
      <w:r>
        <w:rPr>
          <w:rFonts w:hint="eastAsia" w:ascii="Times New Roman" w:hAnsi="Times New Roman" w:eastAsia="仿宋_GB2312"/>
          <w:sz w:val="30"/>
          <w:szCs w:val="30"/>
        </w:rPr>
        <w:t>家；集中式污染治理设施</w:t>
      </w:r>
      <w:r>
        <w:rPr>
          <w:rFonts w:ascii="Times New Roman" w:hAnsi="Times New Roman" w:eastAsia="仿宋_GB2312"/>
          <w:sz w:val="30"/>
          <w:szCs w:val="30"/>
        </w:rPr>
        <w:t>944</w:t>
      </w:r>
      <w:r>
        <w:rPr>
          <w:rFonts w:hint="eastAsia" w:ascii="Times New Roman" w:hAnsi="Times New Roman" w:eastAsia="仿宋_GB2312"/>
          <w:sz w:val="30"/>
          <w:szCs w:val="30"/>
        </w:rPr>
        <w:t>家，包括</w:t>
      </w:r>
      <w:r>
        <w:rPr>
          <w:rFonts w:ascii="Times New Roman" w:hAnsi="Times New Roman" w:eastAsia="仿宋_GB2312"/>
          <w:sz w:val="30"/>
          <w:szCs w:val="30"/>
        </w:rPr>
        <w:t>842</w:t>
      </w:r>
      <w:r>
        <w:rPr>
          <w:rFonts w:hint="eastAsia" w:ascii="Times New Roman" w:hAnsi="Times New Roman" w:eastAsia="仿宋_GB2312"/>
          <w:sz w:val="30"/>
          <w:szCs w:val="30"/>
        </w:rPr>
        <w:t>家污水处理厂、</w:t>
      </w:r>
      <w:r>
        <w:rPr>
          <w:rFonts w:ascii="Times New Roman" w:hAnsi="Times New Roman" w:eastAsia="仿宋_GB2312"/>
          <w:sz w:val="30"/>
          <w:szCs w:val="30"/>
        </w:rPr>
        <w:t>48</w:t>
      </w:r>
      <w:r>
        <w:rPr>
          <w:rFonts w:hint="eastAsia" w:ascii="Times New Roman" w:hAnsi="Times New Roman" w:eastAsia="仿宋_GB2312"/>
          <w:sz w:val="30"/>
          <w:szCs w:val="30"/>
        </w:rPr>
        <w:t>家生活垃圾处理厂、</w:t>
      </w:r>
      <w:r>
        <w:rPr>
          <w:rFonts w:ascii="Times New Roman" w:hAnsi="Times New Roman" w:eastAsia="仿宋_GB2312"/>
          <w:sz w:val="30"/>
          <w:szCs w:val="30"/>
        </w:rPr>
        <w:t>54</w:t>
      </w:r>
      <w:r>
        <w:rPr>
          <w:rFonts w:hint="eastAsia" w:ascii="Times New Roman" w:hAnsi="Times New Roman" w:eastAsia="仿宋_GB2312"/>
          <w:sz w:val="30"/>
          <w:szCs w:val="30"/>
        </w:rPr>
        <w:t>家危险废物（医疗废物）集中处理厂。</w:t>
      </w:r>
    </w:p>
    <w:p>
      <w:pPr>
        <w:snapToGrid w:val="0"/>
        <w:spacing w:line="360" w:lineRule="auto"/>
        <w:ind w:firstLine="560" w:firstLineChars="200"/>
        <w:rPr>
          <w:rFonts w:ascii="Times New Roman" w:hAnsi="Times New Roman" w:eastAsia="仿宋_GB2312"/>
          <w:i/>
          <w:szCs w:val="28"/>
        </w:rPr>
      </w:pPr>
      <w:r>
        <w:rPr>
          <w:rFonts w:hint="eastAsia" w:ascii="Times New Roman" w:hAnsi="Times New Roman" w:eastAsia="仿宋_GB2312"/>
          <w:i/>
          <w:szCs w:val="28"/>
        </w:rPr>
        <w:t>注：农业源、生活源以及移动源均以全市作为单位进行综合调查，不对具体单位逐一详查，故未纳入调查单位数统计。</w:t>
      </w:r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5" w:name="_Toc92810244"/>
      <w:r>
        <w:rPr>
          <w:rFonts w:ascii="Times New Roman" w:hAnsi="Times New Roman"/>
        </w:rPr>
        <w:t>1.2主要污染物排放情况</w:t>
      </w:r>
      <w:bookmarkEnd w:id="5"/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全市共排放废水1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98</w:t>
      </w:r>
      <w:r>
        <w:rPr>
          <w:rFonts w:hint="eastAsia" w:ascii="Times New Roman" w:hAnsi="Times New Roman" w:eastAsia="仿宋_GB2312"/>
          <w:sz w:val="30"/>
          <w:szCs w:val="30"/>
        </w:rPr>
        <w:t>亿吨，其中工业源排放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57</w:t>
      </w:r>
      <w:r>
        <w:rPr>
          <w:rFonts w:hint="eastAsia" w:ascii="Times New Roman" w:hAnsi="Times New Roman" w:eastAsia="仿宋_GB2312"/>
          <w:sz w:val="30"/>
          <w:szCs w:val="30"/>
        </w:rPr>
        <w:t>亿吨，生活源排放</w:t>
      </w:r>
      <w:r>
        <w:rPr>
          <w:rFonts w:ascii="Times New Roman" w:hAnsi="Times New Roman" w:eastAsia="仿宋_GB2312"/>
          <w:sz w:val="30"/>
          <w:szCs w:val="30"/>
        </w:rPr>
        <w:t>13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39</w:t>
      </w:r>
      <w:r>
        <w:rPr>
          <w:rFonts w:hint="eastAsia" w:ascii="Times New Roman" w:hAnsi="Times New Roman" w:eastAsia="仿宋_GB2312"/>
          <w:sz w:val="30"/>
          <w:szCs w:val="30"/>
        </w:rPr>
        <w:t>亿吨，集中式污染治理设施（注：集中式污染治理设施统计排放量时不包括污水处理厂，下同）排放</w:t>
      </w:r>
      <w:r>
        <w:rPr>
          <w:rFonts w:ascii="Times New Roman" w:hAnsi="Times New Roman" w:eastAsia="仿宋_GB2312"/>
          <w:sz w:val="30"/>
          <w:szCs w:val="30"/>
        </w:rPr>
        <w:t>256.11</w:t>
      </w:r>
      <w:r>
        <w:rPr>
          <w:rFonts w:hint="eastAsia" w:ascii="Times New Roman" w:hAnsi="Times New Roman" w:eastAsia="仿宋_GB2312"/>
          <w:sz w:val="30"/>
          <w:szCs w:val="30"/>
        </w:rPr>
        <w:t>万吨。废水主要污染物化学需氧量排放</w:t>
      </w:r>
      <w:r>
        <w:rPr>
          <w:rFonts w:ascii="Times New Roman" w:hAnsi="Times New Roman" w:eastAsia="仿宋_GB2312"/>
          <w:sz w:val="30"/>
          <w:szCs w:val="30"/>
        </w:rPr>
        <w:t>32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57</w:t>
      </w:r>
      <w:r>
        <w:rPr>
          <w:rFonts w:hint="eastAsia" w:ascii="Times New Roman" w:hAnsi="Times New Roman" w:eastAsia="仿宋_GB2312"/>
          <w:sz w:val="30"/>
          <w:szCs w:val="30"/>
        </w:rPr>
        <w:t>万吨，氨氮排放</w:t>
      </w:r>
      <w:r>
        <w:rPr>
          <w:rFonts w:ascii="Times New Roman" w:hAnsi="Times New Roman" w:eastAsia="仿宋_GB2312"/>
          <w:sz w:val="30"/>
          <w:szCs w:val="30"/>
        </w:rPr>
        <w:t>1.75</w:t>
      </w:r>
      <w:r>
        <w:rPr>
          <w:rFonts w:hint="eastAsia" w:ascii="Times New Roman" w:hAnsi="Times New Roman" w:eastAsia="仿宋_GB2312"/>
          <w:sz w:val="30"/>
          <w:szCs w:val="30"/>
        </w:rPr>
        <w:t>万吨，总氮排放5</w:t>
      </w:r>
      <w:r>
        <w:rPr>
          <w:rFonts w:ascii="Times New Roman" w:hAnsi="Times New Roman" w:eastAsia="仿宋_GB2312"/>
          <w:sz w:val="30"/>
          <w:szCs w:val="30"/>
        </w:rPr>
        <w:t>.70</w:t>
      </w:r>
      <w:r>
        <w:rPr>
          <w:rFonts w:hint="eastAsia" w:ascii="Times New Roman" w:hAnsi="Times New Roman" w:eastAsia="仿宋_GB2312"/>
          <w:sz w:val="30"/>
          <w:szCs w:val="30"/>
        </w:rPr>
        <w:t>万吨，总磷排放4</w:t>
      </w:r>
      <w:r>
        <w:rPr>
          <w:rFonts w:ascii="Times New Roman" w:hAnsi="Times New Roman" w:eastAsia="仿宋_GB2312"/>
          <w:sz w:val="30"/>
          <w:szCs w:val="30"/>
        </w:rPr>
        <w:t>832.49</w:t>
      </w:r>
      <w:r>
        <w:rPr>
          <w:rFonts w:hint="eastAsia" w:ascii="Times New Roman" w:hAnsi="Times New Roman" w:eastAsia="仿宋_GB2312"/>
          <w:sz w:val="30"/>
          <w:szCs w:val="30"/>
        </w:rPr>
        <w:t>吨（注：2</w:t>
      </w:r>
      <w:r>
        <w:rPr>
          <w:rFonts w:ascii="Times New Roman" w:hAnsi="Times New Roman" w:eastAsia="仿宋_GB2312"/>
          <w:sz w:val="30"/>
          <w:szCs w:val="30"/>
        </w:rPr>
        <w:t>022</w:t>
      </w:r>
      <w:r>
        <w:rPr>
          <w:rFonts w:hint="eastAsia" w:ascii="Times New Roman" w:hAnsi="Times New Roman" w:eastAsia="仿宋_GB2312"/>
          <w:sz w:val="30"/>
          <w:szCs w:val="30"/>
        </w:rPr>
        <w:t>年废水污染物排放统计包含农村生活源）。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废气主要污染物二氧化硫排放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59</w:t>
      </w:r>
      <w:r>
        <w:rPr>
          <w:rFonts w:hint="eastAsia" w:ascii="Times New Roman" w:hAnsi="Times New Roman" w:eastAsia="仿宋_GB2312"/>
          <w:sz w:val="30"/>
          <w:szCs w:val="30"/>
        </w:rPr>
        <w:t>万吨，氮氧化物排放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15.30</w:t>
      </w:r>
      <w:r>
        <w:rPr>
          <w:rFonts w:hint="eastAsia" w:ascii="Times New Roman" w:hAnsi="Times New Roman" w:eastAsia="仿宋_GB2312"/>
          <w:sz w:val="30"/>
          <w:szCs w:val="30"/>
        </w:rPr>
        <w:t>万吨，颗粒物排放</w:t>
      </w:r>
      <w:r>
        <w:rPr>
          <w:rFonts w:ascii="Times New Roman" w:hAnsi="Times New Roman" w:eastAsia="仿宋_GB2312"/>
          <w:sz w:val="30"/>
          <w:szCs w:val="30"/>
        </w:rPr>
        <w:t>4.9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万吨，挥发性有机物排放1</w:t>
      </w:r>
      <w:r>
        <w:rPr>
          <w:rFonts w:ascii="Times New Roman" w:hAnsi="Times New Roman" w:eastAsia="仿宋_GB2312"/>
          <w:sz w:val="30"/>
          <w:szCs w:val="30"/>
        </w:rPr>
        <w:t>1.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12</w:t>
      </w:r>
      <w:r>
        <w:rPr>
          <w:rFonts w:hint="eastAsia" w:ascii="Times New Roman" w:hAnsi="Times New Roman" w:eastAsia="仿宋_GB2312"/>
          <w:sz w:val="30"/>
          <w:szCs w:val="30"/>
        </w:rPr>
        <w:t>万吨。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全市一般工业固体废物产生量2</w:t>
      </w:r>
      <w:r>
        <w:rPr>
          <w:rFonts w:ascii="Times New Roman" w:hAnsi="Times New Roman" w:eastAsia="仿宋_GB2312"/>
          <w:sz w:val="30"/>
          <w:szCs w:val="30"/>
        </w:rPr>
        <w:t>472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24</w:t>
      </w:r>
      <w:r>
        <w:rPr>
          <w:rFonts w:hint="eastAsia" w:ascii="Times New Roman" w:hAnsi="Times New Roman" w:eastAsia="仿宋_GB2312"/>
          <w:sz w:val="30"/>
          <w:szCs w:val="30"/>
        </w:rPr>
        <w:t>万吨，综合利用量19</w:t>
      </w:r>
      <w:r>
        <w:rPr>
          <w:rFonts w:ascii="Times New Roman" w:hAnsi="Times New Roman" w:eastAsia="仿宋_GB2312"/>
          <w:sz w:val="30"/>
          <w:szCs w:val="30"/>
        </w:rPr>
        <w:t>70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78</w:t>
      </w:r>
      <w:r>
        <w:rPr>
          <w:rFonts w:hint="eastAsia" w:ascii="Times New Roman" w:hAnsi="Times New Roman" w:eastAsia="仿宋_GB2312"/>
          <w:sz w:val="30"/>
          <w:szCs w:val="30"/>
        </w:rPr>
        <w:t>万吨，综合利用率</w:t>
      </w:r>
      <w:r>
        <w:rPr>
          <w:rFonts w:ascii="Times New Roman" w:hAnsi="Times New Roman" w:eastAsia="仿宋_GB2312"/>
          <w:sz w:val="30"/>
          <w:szCs w:val="30"/>
        </w:rPr>
        <w:t>79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%；危险废物产生量</w:t>
      </w:r>
      <w:r>
        <w:rPr>
          <w:rFonts w:ascii="Times New Roman" w:hAnsi="Times New Roman" w:eastAsia="仿宋_GB2312"/>
          <w:sz w:val="30"/>
          <w:szCs w:val="30"/>
        </w:rPr>
        <w:t>109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56</w:t>
      </w:r>
      <w:r>
        <w:rPr>
          <w:rFonts w:hint="eastAsia" w:ascii="Times New Roman" w:hAnsi="Times New Roman" w:eastAsia="仿宋_GB2312"/>
          <w:sz w:val="30"/>
          <w:szCs w:val="30"/>
        </w:rPr>
        <w:t>万吨，利用处置量</w:t>
      </w:r>
      <w:r>
        <w:rPr>
          <w:rFonts w:ascii="Times New Roman" w:hAnsi="Times New Roman" w:eastAsia="仿宋_GB2312"/>
          <w:sz w:val="30"/>
          <w:szCs w:val="30"/>
        </w:rPr>
        <w:t>111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万吨（含利用处置往年贮存量），无倾倒丢弃量。</w:t>
      </w:r>
    </w:p>
    <w:p>
      <w:pPr>
        <w:pStyle w:val="5"/>
        <w:rPr>
          <w:rFonts w:ascii="Times New Roman" w:hAnsi="Times New Roman"/>
        </w:rPr>
      </w:pPr>
      <w:bookmarkStart w:id="6" w:name="_Toc92810245"/>
      <w:r>
        <w:rPr>
          <w:rFonts w:ascii="Times New Roman" w:hAnsi="Times New Roman"/>
        </w:rPr>
        <w:t>2 废水</w:t>
      </w:r>
      <w:r>
        <w:rPr>
          <w:rFonts w:hint="eastAsia" w:ascii="Times New Roman" w:hAnsi="Times New Roman"/>
        </w:rPr>
        <w:t>主要污染物排放情况</w:t>
      </w:r>
      <w:bookmarkEnd w:id="6"/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7" w:name="_Toc92810246"/>
      <w:r>
        <w:rPr>
          <w:rFonts w:ascii="Times New Roman" w:hAnsi="Times New Roman"/>
        </w:rPr>
        <w:t>2.1废水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主要污染物排放情况</w:t>
      </w:r>
      <w:bookmarkEnd w:id="7"/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2.1.1 废水排放情况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</w:t>
      </w:r>
      <w:r>
        <w:rPr>
          <w:rFonts w:ascii="Times New Roman" w:hAnsi="Times New Roman" w:eastAsia="仿宋_GB2312"/>
          <w:sz w:val="30"/>
          <w:szCs w:val="30"/>
        </w:rPr>
        <w:t>废水排放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量为</w:t>
      </w:r>
      <w:r>
        <w:rPr>
          <w:rFonts w:hint="eastAsia" w:ascii="Times New Roman" w:hAnsi="Times New Roman" w:eastAsia="仿宋_GB2312"/>
          <w:sz w:val="30"/>
          <w:szCs w:val="30"/>
        </w:rPr>
        <w:t>1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98亿吨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ascii="Times New Roman" w:hAnsi="Times New Roman" w:eastAsia="仿宋_GB2312"/>
          <w:sz w:val="30"/>
          <w:szCs w:val="30"/>
        </w:rPr>
        <w:t>其中工业</w:t>
      </w:r>
      <w:r>
        <w:rPr>
          <w:rFonts w:hint="eastAsia" w:ascii="Times New Roman" w:hAnsi="Times New Roman" w:eastAsia="仿宋_GB2312"/>
          <w:sz w:val="30"/>
          <w:szCs w:val="30"/>
        </w:rPr>
        <w:t>源排放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57亿吨</w:t>
      </w:r>
      <w:r>
        <w:rPr>
          <w:rFonts w:hint="eastAsia" w:ascii="Times New Roman" w:hAnsi="Times New Roman" w:eastAsia="仿宋_GB2312"/>
          <w:sz w:val="30"/>
          <w:szCs w:val="30"/>
        </w:rPr>
        <w:t>，占全市废水排放总量的</w:t>
      </w:r>
      <w:r>
        <w:rPr>
          <w:rFonts w:ascii="Times New Roman" w:hAnsi="Times New Roman" w:eastAsia="仿宋_GB2312"/>
          <w:sz w:val="30"/>
          <w:szCs w:val="30"/>
        </w:rPr>
        <w:t>10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%；生活源</w:t>
      </w:r>
      <w:r>
        <w:rPr>
          <w:rFonts w:ascii="Times New Roman" w:hAnsi="Times New Roman" w:eastAsia="仿宋_GB2312"/>
          <w:sz w:val="30"/>
          <w:szCs w:val="30"/>
        </w:rPr>
        <w:t>排放13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39亿吨，占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废水排放总量的89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3%</w:t>
      </w:r>
      <w:r>
        <w:rPr>
          <w:rFonts w:hint="eastAsia" w:ascii="Times New Roman" w:hAnsi="Times New Roman" w:eastAsia="仿宋_GB2312"/>
          <w:sz w:val="30"/>
          <w:szCs w:val="30"/>
        </w:rPr>
        <w:t>，集中式污染治理设施排放</w:t>
      </w:r>
      <w:r>
        <w:rPr>
          <w:rFonts w:ascii="Times New Roman" w:hAnsi="Times New Roman" w:eastAsia="仿宋_GB2312"/>
          <w:sz w:val="30"/>
          <w:szCs w:val="30"/>
        </w:rPr>
        <w:t>256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11</w:t>
      </w:r>
      <w:r>
        <w:rPr>
          <w:rFonts w:hint="eastAsia" w:ascii="Times New Roman" w:hAnsi="Times New Roman" w:eastAsia="仿宋_GB2312"/>
          <w:sz w:val="30"/>
          <w:szCs w:val="30"/>
        </w:rPr>
        <w:t>万吨，占全市废水排放总量的</w:t>
      </w:r>
      <w:r>
        <w:rPr>
          <w:rFonts w:ascii="Times New Roman" w:hAnsi="Times New Roman" w:eastAsia="仿宋_GB2312"/>
          <w:sz w:val="30"/>
          <w:szCs w:val="30"/>
        </w:rPr>
        <w:t>0.2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2022年全市各类源废水排放量分布情况见图2-1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pStyle w:val="2"/>
        <w:jc w:val="center"/>
        <w:rPr>
          <w:rFonts w:ascii="Times New Roman" w:hAnsi="Times New Roman" w:eastAsia="仿宋_GB2312" w:cs="Times New Roman"/>
          <w:b w:val="0"/>
          <w:bCs w:val="0"/>
        </w:rPr>
      </w:pPr>
      <w:r>
        <w:drawing>
          <wp:inline distT="0" distB="0" distL="0" distR="0">
            <wp:extent cx="4387850" cy="2216150"/>
            <wp:effectExtent l="0" t="0" r="12700" b="12700"/>
            <wp:docPr id="35" name="图表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图2-1</w:t>
      </w:r>
      <w:r>
        <w:rPr>
          <w:rFonts w:hint="eastAsia" w:ascii="Times New Roman" w:hAnsi="Times New Roman"/>
          <w:szCs w:val="28"/>
        </w:rPr>
        <w:t xml:space="preserve">  </w:t>
      </w:r>
      <w:r>
        <w:rPr>
          <w:rFonts w:ascii="Times New Roman" w:hAnsi="Times New Roman"/>
          <w:szCs w:val="28"/>
        </w:rPr>
        <w:t>2022年全市各类源废水排放量分布情况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2.1.2化学需氧量排放情况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</w:t>
      </w:r>
      <w:r>
        <w:rPr>
          <w:rFonts w:ascii="Times New Roman" w:hAnsi="Times New Roman" w:eastAsia="仿宋_GB2312"/>
          <w:sz w:val="30"/>
          <w:szCs w:val="30"/>
        </w:rPr>
        <w:t>化学需氧量排放量</w:t>
      </w:r>
      <w:r>
        <w:rPr>
          <w:rFonts w:hint="eastAsia" w:ascii="Times New Roman" w:hAnsi="Times New Roman" w:eastAsia="仿宋_GB2312"/>
          <w:sz w:val="30"/>
          <w:szCs w:val="30"/>
        </w:rPr>
        <w:t>为</w:t>
      </w:r>
      <w:r>
        <w:rPr>
          <w:rFonts w:ascii="Times New Roman" w:hAnsi="Times New Roman" w:eastAsia="仿宋_GB2312"/>
          <w:sz w:val="30"/>
          <w:szCs w:val="30"/>
        </w:rPr>
        <w:t>32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57万吨。其中工业</w:t>
      </w:r>
      <w:r>
        <w:rPr>
          <w:rFonts w:hint="eastAsia" w:ascii="Times New Roman" w:hAnsi="Times New Roman" w:eastAsia="仿宋_GB2312"/>
          <w:sz w:val="30"/>
          <w:szCs w:val="30"/>
        </w:rPr>
        <w:t>源</w:t>
      </w:r>
      <w:r>
        <w:rPr>
          <w:rFonts w:ascii="Times New Roman" w:hAnsi="Times New Roman" w:eastAsia="仿宋_GB2312"/>
          <w:sz w:val="30"/>
          <w:szCs w:val="30"/>
        </w:rPr>
        <w:t>排放7750.64吨，占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排放总量</w:t>
      </w:r>
      <w:r>
        <w:rPr>
          <w:rFonts w:hint="eastAsia" w:ascii="Times New Roman" w:hAnsi="Times New Roman" w:eastAsia="仿宋_GB2312"/>
          <w:sz w:val="30"/>
          <w:szCs w:val="30"/>
        </w:rPr>
        <w:t>的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4%；生活源排放12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10万吨，占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排放总量的37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1%；农业源排放19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69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吨，</w:t>
      </w:r>
      <w:r>
        <w:rPr>
          <w:rFonts w:hint="eastAsia" w:ascii="Times New Roman" w:hAnsi="Times New Roman" w:eastAsia="仿宋_GB2312"/>
          <w:sz w:val="30"/>
          <w:szCs w:val="30"/>
        </w:rPr>
        <w:t>占全市排放总量的</w:t>
      </w:r>
      <w:r>
        <w:rPr>
          <w:rFonts w:ascii="Times New Roman" w:hAnsi="Times New Roman" w:eastAsia="仿宋_GB2312"/>
          <w:sz w:val="30"/>
          <w:szCs w:val="30"/>
        </w:rPr>
        <w:t>60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%，</w:t>
      </w:r>
      <w:r>
        <w:rPr>
          <w:rFonts w:ascii="Times New Roman" w:hAnsi="Times New Roman" w:eastAsia="仿宋_GB2312"/>
          <w:sz w:val="30"/>
          <w:szCs w:val="30"/>
        </w:rPr>
        <w:t>集中式污染治理设施排放114.51吨。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2022年全市各类源化学需氧量排放量分布情况见图2-2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pStyle w:val="2"/>
        <w:jc w:val="center"/>
      </w:pPr>
      <w:r>
        <w:drawing>
          <wp:inline distT="0" distB="0" distL="0" distR="0">
            <wp:extent cx="5278120" cy="2438400"/>
            <wp:effectExtent l="0" t="0" r="17780" b="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图2-2  2022年全市各类源化学需氧量排放量分布</w:t>
      </w:r>
      <w:r>
        <w:rPr>
          <w:rFonts w:hint="eastAsia" w:ascii="Times New Roman" w:hAnsi="Times New Roman"/>
          <w:szCs w:val="28"/>
        </w:rPr>
        <w:t>情况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2.1.3氨氮排放情况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2022年全市氨氮排放量</w:t>
      </w:r>
      <w:r>
        <w:rPr>
          <w:rFonts w:hint="eastAsia" w:ascii="Times New Roman" w:hAnsi="Times New Roman" w:eastAsia="仿宋_GB2312"/>
          <w:sz w:val="30"/>
          <w:szCs w:val="30"/>
        </w:rPr>
        <w:t>为</w:t>
      </w:r>
      <w:r>
        <w:rPr>
          <w:rFonts w:ascii="Times New Roman" w:hAnsi="Times New Roman" w:eastAsia="仿宋_GB2312"/>
          <w:sz w:val="30"/>
          <w:szCs w:val="30"/>
        </w:rPr>
        <w:t>1.75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吨。其中工业</w:t>
      </w:r>
      <w:r>
        <w:rPr>
          <w:rFonts w:hint="eastAsia" w:ascii="Times New Roman" w:hAnsi="Times New Roman" w:eastAsia="仿宋_GB2312"/>
          <w:sz w:val="30"/>
          <w:szCs w:val="30"/>
        </w:rPr>
        <w:t>源</w:t>
      </w:r>
      <w:r>
        <w:rPr>
          <w:rFonts w:ascii="Times New Roman" w:hAnsi="Times New Roman" w:eastAsia="仿宋_GB2312"/>
          <w:sz w:val="30"/>
          <w:szCs w:val="30"/>
        </w:rPr>
        <w:t>排放288.24吨，占</w:t>
      </w:r>
      <w:r>
        <w:rPr>
          <w:rFonts w:hint="eastAsia" w:ascii="Times New Roman" w:hAnsi="Times New Roman" w:eastAsia="仿宋_GB2312"/>
          <w:sz w:val="30"/>
          <w:szCs w:val="30"/>
        </w:rPr>
        <w:t>全市排放</w:t>
      </w:r>
      <w:r>
        <w:rPr>
          <w:rFonts w:ascii="Times New Roman" w:hAnsi="Times New Roman" w:eastAsia="仿宋_GB2312"/>
          <w:sz w:val="30"/>
          <w:szCs w:val="30"/>
        </w:rPr>
        <w:t>总量的</w:t>
      </w: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ascii="Times New Roman" w:hAnsi="Times New Roman" w:eastAsia="仿宋_GB2312"/>
          <w:sz w:val="30"/>
          <w:szCs w:val="30"/>
        </w:rPr>
        <w:t>6%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生活源排放1.36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排放总量的77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农业源排放3632.56吨</w:t>
      </w:r>
      <w:r>
        <w:rPr>
          <w:rFonts w:hint="eastAsia" w:ascii="Times New Roman" w:hAnsi="Times New Roman" w:eastAsia="仿宋_GB2312"/>
          <w:sz w:val="30"/>
          <w:szCs w:val="30"/>
        </w:rPr>
        <w:t>，占全市排放总量的</w:t>
      </w:r>
      <w:r>
        <w:rPr>
          <w:rFonts w:ascii="Times New Roman" w:hAnsi="Times New Roman" w:eastAsia="仿宋_GB2312"/>
          <w:sz w:val="30"/>
          <w:szCs w:val="30"/>
        </w:rPr>
        <w:t>20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%；</w:t>
      </w:r>
      <w:r>
        <w:rPr>
          <w:rFonts w:ascii="Times New Roman" w:hAnsi="Times New Roman" w:eastAsia="仿宋_GB2312"/>
          <w:sz w:val="30"/>
          <w:szCs w:val="30"/>
        </w:rPr>
        <w:t>集中式污染治理设施排放6.96吨。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2022年全市各类源氨氮排放量分布情况见图2-3。</w:t>
      </w:r>
    </w:p>
    <w:p>
      <w:pPr>
        <w:pStyle w:val="2"/>
        <w:jc w:val="center"/>
      </w:pPr>
      <w:r>
        <w:drawing>
          <wp:inline distT="0" distB="0" distL="0" distR="0">
            <wp:extent cx="5278120" cy="2311400"/>
            <wp:effectExtent l="0" t="0" r="17780" b="1270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hint="eastAsia"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图2-3  2022年全市各类源氨氮排放量分布情况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2.1.4</w:t>
      </w:r>
      <w:r>
        <w:rPr>
          <w:rFonts w:hint="eastAsia" w:ascii="Times New Roman" w:hAnsi="Times New Roman" w:eastAsia="仿宋_GB2312"/>
          <w:b/>
          <w:sz w:val="30"/>
          <w:szCs w:val="30"/>
        </w:rPr>
        <w:t>总</w:t>
      </w:r>
      <w:r>
        <w:rPr>
          <w:rFonts w:ascii="Times New Roman" w:hAnsi="Times New Roman" w:eastAsia="仿宋_GB2312"/>
          <w:b/>
          <w:sz w:val="30"/>
          <w:szCs w:val="30"/>
        </w:rPr>
        <w:t>氮排放情况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氮排放量</w:t>
      </w:r>
      <w:r>
        <w:rPr>
          <w:rFonts w:hint="eastAsia" w:ascii="Times New Roman" w:hAnsi="Times New Roman" w:eastAsia="仿宋_GB2312"/>
          <w:sz w:val="30"/>
          <w:szCs w:val="30"/>
        </w:rPr>
        <w:t>为</w:t>
      </w:r>
      <w:r>
        <w:rPr>
          <w:rFonts w:ascii="Times New Roman" w:hAnsi="Times New Roman" w:eastAsia="仿宋_GB2312"/>
          <w:sz w:val="30"/>
          <w:szCs w:val="30"/>
        </w:rPr>
        <w:t>5.70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吨。其中工业</w:t>
      </w:r>
      <w:r>
        <w:rPr>
          <w:rFonts w:hint="eastAsia" w:ascii="Times New Roman" w:hAnsi="Times New Roman" w:eastAsia="仿宋_GB2312"/>
          <w:sz w:val="30"/>
          <w:szCs w:val="30"/>
        </w:rPr>
        <w:t>源</w:t>
      </w:r>
      <w:r>
        <w:rPr>
          <w:rFonts w:ascii="Times New Roman" w:hAnsi="Times New Roman" w:eastAsia="仿宋_GB2312"/>
          <w:sz w:val="30"/>
          <w:szCs w:val="30"/>
        </w:rPr>
        <w:t>排放2296.17吨，占</w:t>
      </w:r>
      <w:r>
        <w:rPr>
          <w:rFonts w:hint="eastAsia" w:ascii="Times New Roman" w:hAnsi="Times New Roman" w:eastAsia="仿宋_GB2312"/>
          <w:sz w:val="30"/>
          <w:szCs w:val="30"/>
        </w:rPr>
        <w:t>全市排放</w:t>
      </w:r>
      <w:r>
        <w:rPr>
          <w:rFonts w:ascii="Times New Roman" w:hAnsi="Times New Roman" w:eastAsia="仿宋_GB2312"/>
          <w:sz w:val="30"/>
          <w:szCs w:val="30"/>
        </w:rPr>
        <w:t>总量的4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生活源排放2.79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排放总量的49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农业源排放2.67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</w:t>
      </w:r>
      <w:r>
        <w:rPr>
          <w:rFonts w:hint="eastAsia" w:ascii="Times New Roman" w:hAnsi="Times New Roman" w:eastAsia="仿宋_GB2312"/>
          <w:sz w:val="30"/>
          <w:szCs w:val="30"/>
        </w:rPr>
        <w:t>，占全市排放总量的</w:t>
      </w:r>
      <w:r>
        <w:rPr>
          <w:rFonts w:ascii="Times New Roman" w:hAnsi="Times New Roman" w:eastAsia="仿宋_GB2312"/>
          <w:sz w:val="30"/>
          <w:szCs w:val="30"/>
        </w:rPr>
        <w:t>46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eastAsia" w:ascii="Times New Roman" w:hAnsi="Times New Roman" w:eastAsia="仿宋_GB2312"/>
          <w:sz w:val="30"/>
          <w:szCs w:val="30"/>
        </w:rPr>
        <w:t>%；</w:t>
      </w:r>
      <w:r>
        <w:rPr>
          <w:rFonts w:ascii="Times New Roman" w:hAnsi="Times New Roman" w:eastAsia="仿宋_GB2312"/>
          <w:sz w:val="30"/>
          <w:szCs w:val="30"/>
        </w:rPr>
        <w:t>集中式污染治理设施排放35. 51吨。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氮排放量分布情况见图2-4。</w:t>
      </w:r>
    </w:p>
    <w:p>
      <w:pPr>
        <w:pStyle w:val="2"/>
        <w:jc w:val="center"/>
      </w:pPr>
      <w:r>
        <w:drawing>
          <wp:inline distT="0" distB="0" distL="0" distR="0">
            <wp:extent cx="5278120" cy="2690495"/>
            <wp:effectExtent l="0" t="0" r="17780" b="14605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hint="eastAsia"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图2-4  2022年全市各类源</w:t>
      </w:r>
      <w:r>
        <w:rPr>
          <w:rFonts w:hint="eastAsia" w:ascii="Times New Roman" w:hAnsi="Times New Roman"/>
          <w:szCs w:val="28"/>
        </w:rPr>
        <w:t>总氮</w:t>
      </w:r>
      <w:r>
        <w:rPr>
          <w:rFonts w:ascii="Times New Roman" w:hAnsi="Times New Roman"/>
          <w:szCs w:val="28"/>
        </w:rPr>
        <w:t>排放量分布情况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2.1.5</w:t>
      </w:r>
      <w:r>
        <w:rPr>
          <w:rFonts w:hint="eastAsia" w:ascii="Times New Roman" w:hAnsi="Times New Roman" w:eastAsia="仿宋_GB2312"/>
          <w:b/>
          <w:sz w:val="30"/>
          <w:szCs w:val="30"/>
        </w:rPr>
        <w:t>总磷</w:t>
      </w:r>
      <w:r>
        <w:rPr>
          <w:rFonts w:ascii="Times New Roman" w:hAnsi="Times New Roman" w:eastAsia="仿宋_GB2312"/>
          <w:b/>
          <w:sz w:val="30"/>
          <w:szCs w:val="30"/>
        </w:rPr>
        <w:t>排放情况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</w:t>
      </w:r>
      <w:r>
        <w:rPr>
          <w:rFonts w:hint="eastAsia" w:ascii="Times New Roman" w:hAnsi="Times New Roman" w:eastAsia="仿宋_GB2312"/>
          <w:sz w:val="30"/>
          <w:szCs w:val="30"/>
        </w:rPr>
        <w:t>总磷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</w:rPr>
        <w:t>为</w:t>
      </w:r>
      <w:r>
        <w:rPr>
          <w:rFonts w:ascii="Times New Roman" w:hAnsi="Times New Roman" w:eastAsia="仿宋_GB2312"/>
          <w:sz w:val="30"/>
          <w:szCs w:val="30"/>
        </w:rPr>
        <w:t>4832.49吨。其中工业</w:t>
      </w:r>
      <w:r>
        <w:rPr>
          <w:rFonts w:hint="eastAsia" w:ascii="Times New Roman" w:hAnsi="Times New Roman" w:eastAsia="仿宋_GB2312"/>
          <w:sz w:val="30"/>
          <w:szCs w:val="30"/>
        </w:rPr>
        <w:t>源</w:t>
      </w:r>
      <w:r>
        <w:rPr>
          <w:rFonts w:ascii="Times New Roman" w:hAnsi="Times New Roman" w:eastAsia="仿宋_GB2312"/>
          <w:sz w:val="30"/>
          <w:szCs w:val="30"/>
        </w:rPr>
        <w:t>排放65.50吨，占</w:t>
      </w:r>
      <w:r>
        <w:rPr>
          <w:rFonts w:hint="eastAsia" w:ascii="Times New Roman" w:hAnsi="Times New Roman" w:eastAsia="仿宋_GB2312"/>
          <w:sz w:val="30"/>
          <w:szCs w:val="30"/>
        </w:rPr>
        <w:t>全市排放</w:t>
      </w:r>
      <w:r>
        <w:rPr>
          <w:rFonts w:ascii="Times New Roman" w:hAnsi="Times New Roman" w:eastAsia="仿宋_GB2312"/>
          <w:sz w:val="30"/>
          <w:szCs w:val="30"/>
        </w:rPr>
        <w:t>总量的1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生活源排放967.35吨，占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排放总量的20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0%</w:t>
      </w:r>
      <w:r>
        <w:rPr>
          <w:rFonts w:hint="eastAsia" w:ascii="Times New Roman" w:hAnsi="Times New Roman" w:eastAsia="仿宋_GB2312"/>
          <w:sz w:val="30"/>
          <w:szCs w:val="30"/>
        </w:rPr>
        <w:t>；</w:t>
      </w:r>
      <w:r>
        <w:rPr>
          <w:rFonts w:ascii="Times New Roman" w:hAnsi="Times New Roman" w:eastAsia="仿宋_GB2312"/>
          <w:sz w:val="30"/>
          <w:szCs w:val="30"/>
        </w:rPr>
        <w:t>农业源排放3797.69吨</w:t>
      </w:r>
      <w:r>
        <w:rPr>
          <w:rFonts w:hint="eastAsia" w:ascii="Times New Roman" w:hAnsi="Times New Roman" w:eastAsia="仿宋_GB2312"/>
          <w:sz w:val="30"/>
          <w:szCs w:val="30"/>
        </w:rPr>
        <w:t>，占全市排放总量的</w:t>
      </w:r>
      <w:r>
        <w:rPr>
          <w:rFonts w:ascii="Times New Roman" w:hAnsi="Times New Roman" w:eastAsia="仿宋_GB2312"/>
          <w:sz w:val="30"/>
          <w:szCs w:val="30"/>
        </w:rPr>
        <w:t>78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%；</w:t>
      </w:r>
      <w:r>
        <w:rPr>
          <w:rFonts w:ascii="Times New Roman" w:hAnsi="Times New Roman" w:eastAsia="仿宋_GB2312"/>
          <w:sz w:val="30"/>
          <w:szCs w:val="30"/>
        </w:rPr>
        <w:t>集中式污染治理设施排放1.95吨。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</w:t>
      </w:r>
      <w:r>
        <w:rPr>
          <w:rFonts w:hint="eastAsia" w:ascii="Times New Roman" w:hAnsi="Times New Roman" w:eastAsia="仿宋_GB2312"/>
          <w:sz w:val="30"/>
          <w:szCs w:val="30"/>
        </w:rPr>
        <w:t>总磷</w:t>
      </w:r>
      <w:r>
        <w:rPr>
          <w:rFonts w:ascii="Times New Roman" w:hAnsi="Times New Roman" w:eastAsia="仿宋_GB2312"/>
          <w:sz w:val="30"/>
          <w:szCs w:val="30"/>
        </w:rPr>
        <w:t>排放量分布情况见图2-5。</w:t>
      </w:r>
    </w:p>
    <w:p>
      <w:pPr>
        <w:jc w:val="center"/>
        <w:rPr>
          <w:rFonts w:ascii="Times New Roman" w:hAnsi="Times New Roman"/>
          <w:szCs w:val="28"/>
        </w:rPr>
      </w:pPr>
    </w:p>
    <w:p>
      <w:pPr>
        <w:jc w:val="center"/>
        <w:rPr>
          <w:rFonts w:ascii="Times New Roman" w:hAnsi="Times New Roman"/>
          <w:szCs w:val="28"/>
        </w:rPr>
      </w:pPr>
      <w:r>
        <w:drawing>
          <wp:inline distT="0" distB="0" distL="0" distR="0">
            <wp:extent cx="5278120" cy="2557780"/>
            <wp:effectExtent l="4445" t="4445" r="13335" b="9525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图2-5  2022年全市各类源</w:t>
      </w:r>
      <w:r>
        <w:rPr>
          <w:rFonts w:hint="eastAsia" w:ascii="Times New Roman" w:hAnsi="Times New Roman"/>
          <w:szCs w:val="28"/>
        </w:rPr>
        <w:t>总磷</w:t>
      </w:r>
      <w:r>
        <w:rPr>
          <w:rFonts w:ascii="Times New Roman" w:hAnsi="Times New Roman"/>
          <w:szCs w:val="28"/>
        </w:rPr>
        <w:t>排放量分布情况</w:t>
      </w:r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8" w:name="_Toc92810247"/>
      <w:bookmarkStart w:id="9" w:name="_Toc357521524"/>
      <w:bookmarkStart w:id="10" w:name="_Toc388964305"/>
      <w:bookmarkStart w:id="11" w:name="_Toc362874890"/>
      <w:bookmarkStart w:id="12" w:name="_Toc388968366"/>
      <w:bookmarkStart w:id="13" w:name="_Toc357691560"/>
      <w:bookmarkStart w:id="14" w:name="_Toc388538324"/>
      <w:bookmarkStart w:id="15" w:name="_Toc388967993"/>
      <w:bookmarkStart w:id="16" w:name="_Toc391563632"/>
      <w:bookmarkStart w:id="17" w:name="_Toc357588931"/>
      <w:bookmarkStart w:id="18" w:name="_Toc392150689"/>
      <w:bookmarkStart w:id="19" w:name="_Toc424740090"/>
      <w:bookmarkStart w:id="20" w:name="_Toc388538323"/>
      <w:bookmarkStart w:id="21" w:name="_Toc392150688"/>
      <w:bookmarkStart w:id="22" w:name="_Toc388964304"/>
      <w:bookmarkStart w:id="23" w:name="_Toc357588932"/>
      <w:bookmarkStart w:id="24" w:name="_Toc357691561"/>
      <w:bookmarkStart w:id="25" w:name="_Toc391563631"/>
      <w:bookmarkStart w:id="26" w:name="_Toc362874889"/>
      <w:bookmarkStart w:id="27" w:name="_Toc424740089"/>
      <w:bookmarkStart w:id="28" w:name="_Toc388968365"/>
      <w:bookmarkStart w:id="29" w:name="_Toc357521525"/>
      <w:bookmarkStart w:id="30" w:name="_Toc388967992"/>
      <w:r>
        <w:rPr>
          <w:rFonts w:ascii="Times New Roman" w:hAnsi="Times New Roman"/>
        </w:rPr>
        <w:t>2.2各地区</w:t>
      </w:r>
      <w:r>
        <w:rPr>
          <w:rFonts w:hint="eastAsia" w:ascii="Times New Roman" w:hAnsi="Times New Roman"/>
        </w:rPr>
        <w:t>工业</w:t>
      </w:r>
      <w:r>
        <w:rPr>
          <w:rFonts w:ascii="Times New Roman" w:hAnsi="Times New Roman"/>
        </w:rPr>
        <w:t>废水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主要污染物排放情况</w:t>
      </w:r>
      <w:bookmarkEnd w:id="8"/>
    </w:p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根据《排放源统计技术规定（国统制〔2021〕18号）》，</w:t>
      </w:r>
      <w:r>
        <w:rPr>
          <w:rFonts w:ascii="Times New Roman" w:hAnsi="Times New Roman" w:eastAsia="仿宋_GB2312"/>
          <w:sz w:val="30"/>
          <w:szCs w:val="30"/>
        </w:rPr>
        <w:t>2022年环境统计直辖市的生活源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ascii="Times New Roman" w:hAnsi="Times New Roman" w:eastAsia="仿宋_GB2312"/>
          <w:sz w:val="30"/>
          <w:szCs w:val="30"/>
        </w:rPr>
        <w:t>农业源</w:t>
      </w:r>
      <w:r>
        <w:rPr>
          <w:rFonts w:hint="eastAsia" w:ascii="Times New Roman" w:hAnsi="Times New Roman" w:eastAsia="仿宋_GB2312"/>
          <w:sz w:val="30"/>
          <w:szCs w:val="30"/>
        </w:rPr>
        <w:t>废水污染物均以</w:t>
      </w:r>
      <w:r>
        <w:rPr>
          <w:rFonts w:ascii="Times New Roman" w:hAnsi="Times New Roman" w:eastAsia="仿宋_GB2312"/>
          <w:sz w:val="30"/>
          <w:szCs w:val="30"/>
        </w:rPr>
        <w:t>全市</w:t>
      </w:r>
      <w:r>
        <w:rPr>
          <w:rFonts w:hint="eastAsia" w:ascii="Times New Roman" w:hAnsi="Times New Roman" w:eastAsia="仿宋_GB2312"/>
          <w:sz w:val="30"/>
          <w:szCs w:val="30"/>
        </w:rPr>
        <w:t>为单位进行调查与</w:t>
      </w:r>
      <w:r>
        <w:rPr>
          <w:rFonts w:ascii="Times New Roman" w:hAnsi="Times New Roman" w:eastAsia="仿宋_GB2312"/>
          <w:sz w:val="30"/>
          <w:szCs w:val="30"/>
        </w:rPr>
        <w:t>核算，</w:t>
      </w:r>
      <w:r>
        <w:rPr>
          <w:rFonts w:hint="eastAsia" w:ascii="Times New Roman" w:hAnsi="Times New Roman" w:eastAsia="仿宋_GB2312"/>
          <w:sz w:val="30"/>
          <w:szCs w:val="30"/>
        </w:rPr>
        <w:t>因此本报告</w:t>
      </w:r>
      <w:r>
        <w:rPr>
          <w:rFonts w:ascii="Times New Roman" w:hAnsi="Times New Roman" w:eastAsia="仿宋_GB2312"/>
          <w:sz w:val="30"/>
          <w:szCs w:val="30"/>
        </w:rPr>
        <w:t>仅给出全市各区县重点</w:t>
      </w:r>
      <w:r>
        <w:rPr>
          <w:rFonts w:hint="eastAsia" w:ascii="Times New Roman" w:hAnsi="Times New Roman" w:eastAsia="仿宋_GB2312"/>
          <w:sz w:val="30"/>
          <w:szCs w:val="30"/>
        </w:rPr>
        <w:t>调查企业</w:t>
      </w:r>
      <w:r>
        <w:rPr>
          <w:rFonts w:ascii="Times New Roman" w:hAnsi="Times New Roman" w:eastAsia="仿宋_GB2312"/>
          <w:sz w:val="30"/>
          <w:szCs w:val="30"/>
        </w:rPr>
        <w:t>废水及主要污染物排放情况</w:t>
      </w:r>
      <w:r>
        <w:rPr>
          <w:rFonts w:hint="eastAsia" w:ascii="Times New Roman" w:hAnsi="Times New Roman" w:eastAsia="仿宋_GB2312"/>
          <w:sz w:val="30"/>
          <w:szCs w:val="30"/>
        </w:rPr>
        <w:t>（</w:t>
      </w:r>
      <w:r>
        <w:rPr>
          <w:rFonts w:ascii="Times New Roman" w:hAnsi="Times New Roman" w:eastAsia="仿宋_GB2312"/>
          <w:sz w:val="30"/>
          <w:szCs w:val="30"/>
        </w:rPr>
        <w:t>见</w:t>
      </w:r>
      <w:r>
        <w:rPr>
          <w:rFonts w:hint="eastAsia" w:ascii="Times New Roman" w:hAnsi="Times New Roman" w:eastAsia="仿宋_GB2312"/>
          <w:sz w:val="30"/>
          <w:szCs w:val="30"/>
        </w:rPr>
        <w:t>表</w:t>
      </w:r>
      <w:r>
        <w:rPr>
          <w:rFonts w:ascii="Times New Roman" w:hAnsi="Times New Roman" w:eastAsia="仿宋_GB2312"/>
          <w:sz w:val="30"/>
          <w:szCs w:val="30"/>
        </w:rPr>
        <w:t>2-1</w:t>
      </w:r>
      <w:r>
        <w:rPr>
          <w:rFonts w:hint="eastAsia" w:ascii="Times New Roman" w:hAnsi="Times New Roman" w:eastAsia="仿宋_GB2312"/>
          <w:sz w:val="30"/>
          <w:szCs w:val="30"/>
        </w:rPr>
        <w:t>）</w:t>
      </w:r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2022年全市重点调查统计2711家工业企业，</w:t>
      </w:r>
      <w:r>
        <w:rPr>
          <w:rFonts w:hint="eastAsia" w:ascii="Times New Roman" w:hAnsi="Times New Roman" w:eastAsia="仿宋_GB2312"/>
          <w:sz w:val="30"/>
          <w:szCs w:val="30"/>
        </w:rPr>
        <w:t>排放废水</w:t>
      </w:r>
      <w:r>
        <w:rPr>
          <w:rFonts w:ascii="Times New Roman" w:hAnsi="Times New Roman" w:eastAsia="仿宋_GB2312"/>
          <w:sz w:val="30"/>
          <w:szCs w:val="30"/>
        </w:rPr>
        <w:t>1.57亿吨。</w:t>
      </w:r>
      <w:r>
        <w:rPr>
          <w:rFonts w:hint="eastAsia" w:ascii="Times New Roman" w:hAnsi="Times New Roman" w:eastAsia="仿宋_GB2312"/>
          <w:sz w:val="30"/>
          <w:szCs w:val="30"/>
        </w:rPr>
        <w:t>其中，主城都市区工业废水排放</w:t>
      </w:r>
      <w:r>
        <w:rPr>
          <w:rFonts w:ascii="Times New Roman" w:hAnsi="Times New Roman" w:eastAsia="仿宋_GB2312"/>
          <w:sz w:val="30"/>
          <w:szCs w:val="30"/>
        </w:rPr>
        <w:t>1.47</w:t>
      </w:r>
      <w:r>
        <w:rPr>
          <w:rFonts w:hint="eastAsia" w:ascii="Times New Roman" w:hAnsi="Times New Roman" w:eastAsia="仿宋_GB2312"/>
          <w:sz w:val="30"/>
          <w:szCs w:val="30"/>
        </w:rPr>
        <w:t>亿吨，占9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%；渝东北三峡库区城镇群工业废水排放</w:t>
      </w:r>
      <w:r>
        <w:rPr>
          <w:rFonts w:ascii="Times New Roman" w:hAnsi="Times New Roman" w:eastAsia="仿宋_GB2312"/>
          <w:sz w:val="30"/>
          <w:szCs w:val="30"/>
        </w:rPr>
        <w:t>828.46</w:t>
      </w:r>
      <w:r>
        <w:rPr>
          <w:rFonts w:hint="eastAsia" w:ascii="Times New Roman" w:hAnsi="Times New Roman" w:eastAsia="仿宋_GB2312"/>
          <w:sz w:val="30"/>
          <w:szCs w:val="30"/>
        </w:rPr>
        <w:t>万吨，占5</w:t>
      </w:r>
      <w:r>
        <w:rPr>
          <w:rFonts w:ascii="Times New Roman" w:hAnsi="Times New Roman" w:eastAsia="仿宋_GB2312"/>
          <w:sz w:val="30"/>
          <w:szCs w:val="30"/>
        </w:rPr>
        <w:t>.3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%；渝东南武陵山区城镇群工业废水排放</w:t>
      </w:r>
      <w:r>
        <w:rPr>
          <w:rFonts w:ascii="Times New Roman" w:hAnsi="Times New Roman" w:eastAsia="仿宋_GB2312"/>
          <w:sz w:val="30"/>
          <w:szCs w:val="30"/>
        </w:rPr>
        <w:t>147.60</w:t>
      </w:r>
      <w:r>
        <w:rPr>
          <w:rFonts w:hint="eastAsia" w:ascii="Times New Roman" w:hAnsi="Times New Roman" w:eastAsia="仿宋_GB2312"/>
          <w:sz w:val="30"/>
          <w:szCs w:val="30"/>
        </w:rPr>
        <w:t>万吨，占0</w:t>
      </w:r>
      <w:r>
        <w:rPr>
          <w:rFonts w:ascii="Times New Roman" w:hAnsi="Times New Roman" w:eastAsia="仿宋_GB2312"/>
          <w:sz w:val="30"/>
          <w:szCs w:val="30"/>
        </w:rPr>
        <w:t>.9</w:t>
      </w:r>
      <w:r>
        <w:rPr>
          <w:rFonts w:hint="eastAsia" w:ascii="Times New Roman" w:hAnsi="Times New Roman" w:eastAsia="仿宋_GB2312"/>
          <w:sz w:val="30"/>
          <w:szCs w:val="30"/>
        </w:rPr>
        <w:t>%。工业</w:t>
      </w:r>
      <w:r>
        <w:rPr>
          <w:rFonts w:ascii="Times New Roman" w:hAnsi="Times New Roman" w:eastAsia="仿宋_GB2312"/>
          <w:sz w:val="30"/>
          <w:szCs w:val="30"/>
        </w:rPr>
        <w:t>废水排放量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前5的区县依次为</w:t>
      </w:r>
      <w:r>
        <w:rPr>
          <w:rFonts w:hint="eastAsia" w:ascii="Times New Roman" w:hAnsi="Times New Roman" w:eastAsia="仿宋_GB2312"/>
          <w:sz w:val="30"/>
          <w:szCs w:val="30"/>
        </w:rPr>
        <w:t>长寿</w:t>
      </w:r>
      <w:r>
        <w:rPr>
          <w:rFonts w:ascii="Times New Roman" w:hAnsi="Times New Roman" w:eastAsia="仿宋_GB2312"/>
          <w:sz w:val="30"/>
          <w:szCs w:val="30"/>
        </w:rPr>
        <w:t>区、永川区、</w:t>
      </w:r>
      <w:r>
        <w:rPr>
          <w:rFonts w:hint="eastAsia" w:ascii="Times New Roman" w:hAnsi="Times New Roman" w:eastAsia="仿宋_GB2312"/>
          <w:sz w:val="30"/>
          <w:szCs w:val="30"/>
        </w:rPr>
        <w:t>两江新</w:t>
      </w:r>
      <w:r>
        <w:rPr>
          <w:rFonts w:ascii="Times New Roman" w:hAnsi="Times New Roman" w:eastAsia="仿宋_GB2312"/>
          <w:sz w:val="30"/>
          <w:szCs w:val="30"/>
        </w:rPr>
        <w:t>区、江津区和</w:t>
      </w:r>
      <w:r>
        <w:rPr>
          <w:rFonts w:hint="eastAsia" w:ascii="Times New Roman" w:hAnsi="Times New Roman" w:eastAsia="仿宋_GB2312"/>
          <w:sz w:val="30"/>
          <w:szCs w:val="30"/>
        </w:rPr>
        <w:t>涪陵</w:t>
      </w:r>
      <w:r>
        <w:rPr>
          <w:rFonts w:ascii="Times New Roman" w:hAnsi="Times New Roman" w:eastAsia="仿宋_GB2312"/>
          <w:sz w:val="30"/>
          <w:szCs w:val="30"/>
        </w:rPr>
        <w:t>区，共排放9694.71</w:t>
      </w:r>
      <w:r>
        <w:rPr>
          <w:rFonts w:hint="eastAsia" w:ascii="Times New Roman" w:hAnsi="Times New Roman" w:eastAsia="仿宋_GB2312"/>
          <w:sz w:val="30"/>
          <w:szCs w:val="30"/>
        </w:rPr>
        <w:t>万</w:t>
      </w:r>
      <w:r>
        <w:rPr>
          <w:rFonts w:ascii="Times New Roman" w:hAnsi="Times New Roman" w:eastAsia="仿宋_GB2312"/>
          <w:sz w:val="30"/>
          <w:szCs w:val="30"/>
        </w:rPr>
        <w:t>吨，占全市</w:t>
      </w:r>
      <w:r>
        <w:rPr>
          <w:rFonts w:hint="eastAsia" w:ascii="Times New Roman" w:hAnsi="Times New Roman" w:eastAsia="仿宋_GB2312"/>
          <w:sz w:val="30"/>
          <w:szCs w:val="30"/>
        </w:rPr>
        <w:t>工业源</w:t>
      </w:r>
      <w:r>
        <w:rPr>
          <w:rFonts w:ascii="Times New Roman" w:hAnsi="Times New Roman" w:eastAsia="仿宋_GB2312"/>
          <w:sz w:val="30"/>
          <w:szCs w:val="30"/>
        </w:rPr>
        <w:t>重点</w:t>
      </w:r>
      <w:r>
        <w:rPr>
          <w:rFonts w:hint="eastAsia" w:ascii="Times New Roman" w:hAnsi="Times New Roman" w:eastAsia="仿宋_GB2312"/>
          <w:sz w:val="30"/>
          <w:szCs w:val="30"/>
        </w:rPr>
        <w:t>调查企业</w:t>
      </w:r>
      <w:r>
        <w:rPr>
          <w:rFonts w:ascii="Times New Roman" w:hAnsi="Times New Roman" w:eastAsia="仿宋_GB2312"/>
          <w:sz w:val="30"/>
          <w:szCs w:val="30"/>
        </w:rPr>
        <w:t>排放总量的61.7%。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全市重点调查企业排放化学需氧量</w:t>
      </w:r>
      <w:r>
        <w:rPr>
          <w:rFonts w:ascii="Times New Roman" w:hAnsi="Times New Roman" w:eastAsia="仿宋_GB2312"/>
          <w:sz w:val="30"/>
          <w:szCs w:val="30"/>
        </w:rPr>
        <w:t>6853</w:t>
      </w:r>
      <w:r>
        <w:rPr>
          <w:rFonts w:hint="eastAsia" w:ascii="Times New Roman" w:hAnsi="Times New Roman" w:eastAsia="仿宋_GB2312"/>
          <w:sz w:val="30"/>
          <w:szCs w:val="30"/>
        </w:rPr>
        <w:t>.94吨。其中，主城都市区工业化学需氧量排放</w:t>
      </w:r>
      <w:r>
        <w:rPr>
          <w:rFonts w:ascii="Times New Roman" w:hAnsi="Times New Roman" w:eastAsia="仿宋_GB2312"/>
          <w:sz w:val="30"/>
          <w:szCs w:val="30"/>
        </w:rPr>
        <w:t>6488.26</w:t>
      </w:r>
      <w:r>
        <w:rPr>
          <w:rFonts w:hint="eastAsia" w:ascii="Times New Roman" w:hAnsi="Times New Roman" w:eastAsia="仿宋_GB2312"/>
          <w:sz w:val="30"/>
          <w:szCs w:val="30"/>
        </w:rPr>
        <w:t>吨，占9</w:t>
      </w:r>
      <w:r>
        <w:rPr>
          <w:rFonts w:ascii="Times New Roman" w:hAnsi="Times New Roman" w:eastAsia="仿宋_GB2312"/>
          <w:sz w:val="30"/>
          <w:szCs w:val="30"/>
        </w:rPr>
        <w:t>4.7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%；渝东北三峡库区城镇群工业化学需氧量排放</w:t>
      </w:r>
      <w:r>
        <w:rPr>
          <w:rFonts w:ascii="Times New Roman" w:hAnsi="Times New Roman" w:eastAsia="仿宋_GB2312"/>
          <w:sz w:val="30"/>
          <w:szCs w:val="30"/>
        </w:rPr>
        <w:t>264.22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3.8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%；渝东南武陵山区城镇群工业化学需氧量排放</w:t>
      </w:r>
      <w:r>
        <w:rPr>
          <w:rFonts w:ascii="Times New Roman" w:hAnsi="Times New Roman" w:eastAsia="仿宋_GB2312"/>
          <w:sz w:val="30"/>
          <w:szCs w:val="30"/>
        </w:rPr>
        <w:t>101.46</w:t>
      </w:r>
      <w:r>
        <w:rPr>
          <w:rFonts w:hint="eastAsia" w:ascii="Times New Roman" w:hAnsi="Times New Roman" w:eastAsia="仿宋_GB2312"/>
          <w:sz w:val="30"/>
          <w:szCs w:val="30"/>
        </w:rPr>
        <w:t>吨，占1</w:t>
      </w:r>
      <w:r>
        <w:rPr>
          <w:rFonts w:ascii="Times New Roman" w:hAnsi="Times New Roman" w:eastAsia="仿宋_GB2312"/>
          <w:sz w:val="30"/>
          <w:szCs w:val="30"/>
        </w:rPr>
        <w:t>.5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  <w:r>
        <w:rPr>
          <w:rFonts w:ascii="Times New Roman" w:hAnsi="Times New Roman" w:eastAsia="仿宋_GB2312"/>
          <w:sz w:val="30"/>
          <w:szCs w:val="30"/>
        </w:rPr>
        <w:t>化学需氧量排放量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前5的区县依次为</w:t>
      </w:r>
      <w:r>
        <w:rPr>
          <w:rFonts w:hint="eastAsia" w:ascii="Times New Roman" w:hAnsi="Times New Roman" w:eastAsia="仿宋_GB2312"/>
          <w:sz w:val="30"/>
          <w:szCs w:val="30"/>
        </w:rPr>
        <w:t>永川区、江津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长寿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、两江新区和</w:t>
      </w:r>
      <w:r>
        <w:rPr>
          <w:rFonts w:ascii="Times New Roman" w:hAnsi="Times New Roman" w:eastAsia="仿宋_GB2312"/>
          <w:sz w:val="30"/>
          <w:szCs w:val="30"/>
        </w:rPr>
        <w:t>涪陵区，共排放3889.71吨，占全市</w:t>
      </w:r>
      <w:r>
        <w:rPr>
          <w:rFonts w:hint="eastAsia" w:ascii="Times New Roman" w:hAnsi="Times New Roman" w:eastAsia="仿宋_GB2312"/>
          <w:sz w:val="30"/>
          <w:szCs w:val="30"/>
        </w:rPr>
        <w:t>工业源重点调查企业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量的56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全市重点调查企业氨氮排放</w:t>
      </w:r>
      <w:r>
        <w:rPr>
          <w:rFonts w:ascii="Times New Roman" w:hAnsi="Times New Roman" w:eastAsia="仿宋_GB2312"/>
          <w:sz w:val="30"/>
          <w:szCs w:val="30"/>
        </w:rPr>
        <w:t>258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30</w:t>
      </w:r>
      <w:r>
        <w:rPr>
          <w:rFonts w:hint="eastAsia" w:ascii="Times New Roman" w:hAnsi="Times New Roman" w:eastAsia="仿宋_GB2312"/>
          <w:sz w:val="30"/>
          <w:szCs w:val="30"/>
        </w:rPr>
        <w:t>吨。其中，主城都市区工业氨氮排放</w:t>
      </w:r>
      <w:r>
        <w:rPr>
          <w:rFonts w:ascii="Times New Roman" w:hAnsi="Times New Roman" w:eastAsia="仿宋_GB2312"/>
          <w:sz w:val="30"/>
          <w:szCs w:val="30"/>
        </w:rPr>
        <w:t>225.58</w:t>
      </w:r>
      <w:r>
        <w:rPr>
          <w:rFonts w:hint="eastAsia" w:ascii="Times New Roman" w:hAnsi="Times New Roman" w:eastAsia="仿宋_GB2312"/>
          <w:sz w:val="30"/>
          <w:szCs w:val="30"/>
        </w:rPr>
        <w:t>吨，占8</w:t>
      </w:r>
      <w:r>
        <w:rPr>
          <w:rFonts w:ascii="Times New Roman" w:hAnsi="Times New Roman" w:eastAsia="仿宋_GB2312"/>
          <w:sz w:val="30"/>
          <w:szCs w:val="30"/>
        </w:rPr>
        <w:t>7.3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%；渝东北三峡库区城镇群工业氨氮排放</w:t>
      </w:r>
      <w:r>
        <w:rPr>
          <w:rFonts w:ascii="Times New Roman" w:hAnsi="Times New Roman" w:eastAsia="仿宋_GB2312"/>
          <w:sz w:val="30"/>
          <w:szCs w:val="30"/>
        </w:rPr>
        <w:t>26.59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10.3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%；渝东南武陵山区城镇群工业氨氮排放</w:t>
      </w:r>
      <w:r>
        <w:rPr>
          <w:rFonts w:ascii="Times New Roman" w:hAnsi="Times New Roman" w:eastAsia="仿宋_GB2312"/>
          <w:sz w:val="30"/>
          <w:szCs w:val="30"/>
        </w:rPr>
        <w:t>6.13</w:t>
      </w:r>
      <w:r>
        <w:rPr>
          <w:rFonts w:hint="eastAsia" w:ascii="Times New Roman" w:hAnsi="Times New Roman" w:eastAsia="仿宋_GB2312"/>
          <w:sz w:val="30"/>
          <w:szCs w:val="30"/>
        </w:rPr>
        <w:t>吨，占2</w:t>
      </w:r>
      <w:r>
        <w:rPr>
          <w:rFonts w:ascii="Times New Roman" w:hAnsi="Times New Roman" w:eastAsia="仿宋_GB2312"/>
          <w:sz w:val="30"/>
          <w:szCs w:val="30"/>
        </w:rPr>
        <w:t>.4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  <w:r>
        <w:rPr>
          <w:rFonts w:ascii="Times New Roman" w:hAnsi="Times New Roman" w:eastAsia="仿宋_GB2312"/>
          <w:sz w:val="30"/>
          <w:szCs w:val="30"/>
        </w:rPr>
        <w:t>氨氮排放量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</w:t>
      </w:r>
      <w:r>
        <w:rPr>
          <w:rFonts w:hint="eastAsia" w:ascii="Times New Roman" w:hAnsi="Times New Roman" w:eastAsia="仿宋_GB2312"/>
          <w:sz w:val="30"/>
          <w:szCs w:val="30"/>
        </w:rPr>
        <w:t>为巴南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永川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两江新区</w:t>
      </w:r>
      <w:r>
        <w:rPr>
          <w:rFonts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江津区和</w:t>
      </w:r>
      <w:r>
        <w:rPr>
          <w:rFonts w:ascii="Times New Roman" w:hAnsi="Times New Roman" w:eastAsia="仿宋_GB2312"/>
          <w:sz w:val="30"/>
          <w:szCs w:val="30"/>
        </w:rPr>
        <w:t>长寿区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ascii="Times New Roman" w:hAnsi="Times New Roman" w:eastAsia="仿宋_GB2312"/>
          <w:sz w:val="30"/>
          <w:szCs w:val="30"/>
        </w:rPr>
        <w:t>共排放141.67吨，占全市</w:t>
      </w:r>
      <w:r>
        <w:rPr>
          <w:rFonts w:hint="eastAsia" w:ascii="Times New Roman" w:hAnsi="Times New Roman" w:eastAsia="仿宋_GB2312"/>
          <w:sz w:val="30"/>
          <w:szCs w:val="30"/>
        </w:rPr>
        <w:t>工业源重点调查企业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量的54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全市重点调查企业总氮排放</w:t>
      </w:r>
      <w:r>
        <w:rPr>
          <w:rFonts w:ascii="Times New Roman" w:hAnsi="Times New Roman" w:eastAsia="仿宋_GB2312"/>
          <w:sz w:val="30"/>
          <w:szCs w:val="30"/>
        </w:rPr>
        <w:t>1759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00</w:t>
      </w:r>
      <w:r>
        <w:rPr>
          <w:rFonts w:hint="eastAsia" w:ascii="Times New Roman" w:hAnsi="Times New Roman" w:eastAsia="仿宋_GB2312"/>
          <w:sz w:val="30"/>
          <w:szCs w:val="30"/>
        </w:rPr>
        <w:t>吨。其中，主城都市区工业总氮排放</w:t>
      </w:r>
      <w:r>
        <w:rPr>
          <w:rFonts w:ascii="Times New Roman" w:hAnsi="Times New Roman" w:eastAsia="仿宋_GB2312"/>
          <w:sz w:val="30"/>
          <w:szCs w:val="30"/>
        </w:rPr>
        <w:t>1516.36</w:t>
      </w:r>
      <w:r>
        <w:rPr>
          <w:rFonts w:hint="eastAsia" w:ascii="Times New Roman" w:hAnsi="Times New Roman" w:eastAsia="仿宋_GB2312"/>
          <w:sz w:val="30"/>
          <w:szCs w:val="30"/>
        </w:rPr>
        <w:t>吨，占8</w:t>
      </w:r>
      <w:r>
        <w:rPr>
          <w:rFonts w:ascii="Times New Roman" w:hAnsi="Times New Roman" w:eastAsia="仿宋_GB2312"/>
          <w:sz w:val="30"/>
          <w:szCs w:val="30"/>
        </w:rPr>
        <w:t>6.2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%；渝东北三峡库区城镇群工业总氮排放</w:t>
      </w:r>
      <w:r>
        <w:rPr>
          <w:rFonts w:ascii="Times New Roman" w:hAnsi="Times New Roman" w:eastAsia="仿宋_GB2312"/>
          <w:sz w:val="30"/>
          <w:szCs w:val="30"/>
        </w:rPr>
        <w:t>227.69</w:t>
      </w:r>
      <w:r>
        <w:rPr>
          <w:rFonts w:hint="eastAsia" w:ascii="Times New Roman" w:hAnsi="Times New Roman" w:eastAsia="仿宋_GB2312"/>
          <w:sz w:val="30"/>
          <w:szCs w:val="30"/>
        </w:rPr>
        <w:t>吨，占1</w:t>
      </w:r>
      <w:r>
        <w:rPr>
          <w:rFonts w:ascii="Times New Roman" w:hAnsi="Times New Roman" w:eastAsia="仿宋_GB2312"/>
          <w:sz w:val="30"/>
          <w:szCs w:val="30"/>
        </w:rPr>
        <w:t>2.9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%；渝东南武陵山区城镇群工业总氮排放</w:t>
      </w:r>
      <w:r>
        <w:rPr>
          <w:rFonts w:ascii="Times New Roman" w:hAnsi="Times New Roman" w:eastAsia="仿宋_GB2312"/>
          <w:sz w:val="30"/>
          <w:szCs w:val="30"/>
        </w:rPr>
        <w:t>14.96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0.9</w:t>
      </w:r>
      <w:r>
        <w:rPr>
          <w:rFonts w:hint="eastAsia" w:ascii="Times New Roman" w:hAnsi="Times New Roman" w:eastAsia="仿宋_GB2312"/>
          <w:sz w:val="30"/>
          <w:szCs w:val="30"/>
        </w:rPr>
        <w:t>%。总</w:t>
      </w:r>
      <w:r>
        <w:rPr>
          <w:rFonts w:ascii="Times New Roman" w:hAnsi="Times New Roman" w:eastAsia="仿宋_GB2312"/>
          <w:sz w:val="30"/>
          <w:szCs w:val="30"/>
        </w:rPr>
        <w:t>氮排放量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</w:t>
      </w:r>
      <w:r>
        <w:rPr>
          <w:rFonts w:hint="eastAsia" w:ascii="Times New Roman" w:hAnsi="Times New Roman" w:eastAsia="仿宋_GB2312"/>
          <w:sz w:val="30"/>
          <w:szCs w:val="30"/>
        </w:rPr>
        <w:t>为南</w:t>
      </w:r>
      <w:r>
        <w:rPr>
          <w:rFonts w:ascii="Times New Roman" w:hAnsi="Times New Roman" w:eastAsia="仿宋_GB2312"/>
          <w:sz w:val="30"/>
          <w:szCs w:val="30"/>
        </w:rPr>
        <w:t>川区、</w:t>
      </w:r>
      <w:r>
        <w:rPr>
          <w:rFonts w:hint="eastAsia" w:ascii="Times New Roman" w:hAnsi="Times New Roman" w:eastAsia="仿宋_GB2312"/>
          <w:sz w:val="30"/>
          <w:szCs w:val="30"/>
        </w:rPr>
        <w:t>巴南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万州区、江津</w:t>
      </w:r>
      <w:r>
        <w:rPr>
          <w:rFonts w:ascii="Times New Roman" w:hAnsi="Times New Roman" w:eastAsia="仿宋_GB2312"/>
          <w:sz w:val="30"/>
          <w:szCs w:val="30"/>
        </w:rPr>
        <w:t>区和</w:t>
      </w:r>
      <w:r>
        <w:rPr>
          <w:rFonts w:hint="eastAsia" w:ascii="Times New Roman" w:hAnsi="Times New Roman" w:eastAsia="仿宋_GB2312"/>
          <w:sz w:val="30"/>
          <w:szCs w:val="30"/>
        </w:rPr>
        <w:t>长寿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ascii="Times New Roman" w:hAnsi="Times New Roman" w:eastAsia="仿宋_GB2312"/>
          <w:sz w:val="30"/>
          <w:szCs w:val="30"/>
        </w:rPr>
        <w:t>共排放1047.48吨，占全市</w:t>
      </w:r>
      <w:r>
        <w:rPr>
          <w:rFonts w:hint="eastAsia" w:ascii="Times New Roman" w:hAnsi="Times New Roman" w:eastAsia="仿宋_GB2312"/>
          <w:sz w:val="30"/>
          <w:szCs w:val="30"/>
        </w:rPr>
        <w:t>工业源重点调查企业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量的59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全市重点调查企业总磷排放</w:t>
      </w:r>
      <w:r>
        <w:rPr>
          <w:rFonts w:ascii="Times New Roman" w:hAnsi="Times New Roman" w:eastAsia="仿宋_GB2312"/>
          <w:sz w:val="30"/>
          <w:szCs w:val="30"/>
        </w:rPr>
        <w:t>53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00</w:t>
      </w:r>
      <w:r>
        <w:rPr>
          <w:rFonts w:hint="eastAsia" w:ascii="Times New Roman" w:hAnsi="Times New Roman" w:eastAsia="仿宋_GB2312"/>
          <w:sz w:val="30"/>
          <w:szCs w:val="30"/>
        </w:rPr>
        <w:t>吨。其中，主城都市区工业总磷排放</w:t>
      </w:r>
      <w:r>
        <w:rPr>
          <w:rFonts w:ascii="Times New Roman" w:hAnsi="Times New Roman" w:eastAsia="仿宋_GB2312"/>
          <w:sz w:val="30"/>
          <w:szCs w:val="30"/>
        </w:rPr>
        <w:t>47.56</w:t>
      </w:r>
      <w:r>
        <w:rPr>
          <w:rFonts w:hint="eastAsia" w:ascii="Times New Roman" w:hAnsi="Times New Roman" w:eastAsia="仿宋_GB2312"/>
          <w:sz w:val="30"/>
          <w:szCs w:val="30"/>
        </w:rPr>
        <w:t>吨，占8</w:t>
      </w:r>
      <w:r>
        <w:rPr>
          <w:rFonts w:ascii="Times New Roman" w:hAnsi="Times New Roman" w:eastAsia="仿宋_GB2312"/>
          <w:sz w:val="30"/>
          <w:szCs w:val="30"/>
        </w:rPr>
        <w:t>9.7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%；渝东北三峡库区城镇群工业总磷排放</w:t>
      </w:r>
      <w:r>
        <w:rPr>
          <w:rFonts w:ascii="Times New Roman" w:hAnsi="Times New Roman" w:eastAsia="仿宋_GB2312"/>
          <w:sz w:val="30"/>
          <w:szCs w:val="30"/>
        </w:rPr>
        <w:t>4.29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8.1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%；渝东南武陵山区城镇群工业总磷排放</w:t>
      </w:r>
      <w:r>
        <w:rPr>
          <w:rFonts w:ascii="Times New Roman" w:hAnsi="Times New Roman" w:eastAsia="仿宋_GB2312"/>
          <w:sz w:val="30"/>
          <w:szCs w:val="30"/>
        </w:rPr>
        <w:t>1.15</w:t>
      </w:r>
      <w:r>
        <w:rPr>
          <w:rFonts w:hint="eastAsia" w:ascii="Times New Roman" w:hAnsi="Times New Roman" w:eastAsia="仿宋_GB2312"/>
          <w:sz w:val="30"/>
          <w:szCs w:val="30"/>
        </w:rPr>
        <w:t>吨，占2</w:t>
      </w:r>
      <w:r>
        <w:rPr>
          <w:rFonts w:ascii="Times New Roman" w:hAnsi="Times New Roman" w:eastAsia="仿宋_GB2312"/>
          <w:sz w:val="30"/>
          <w:szCs w:val="30"/>
        </w:rPr>
        <w:t>.2</w:t>
      </w:r>
      <w:r>
        <w:rPr>
          <w:rFonts w:hint="eastAsia" w:ascii="Times New Roman" w:hAnsi="Times New Roman" w:eastAsia="仿宋_GB2312"/>
          <w:sz w:val="30"/>
          <w:szCs w:val="30"/>
        </w:rPr>
        <w:t>%。总磷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</w:t>
      </w:r>
      <w:r>
        <w:rPr>
          <w:rFonts w:hint="eastAsia" w:ascii="Times New Roman" w:hAnsi="Times New Roman" w:eastAsia="仿宋_GB2312"/>
          <w:sz w:val="30"/>
          <w:szCs w:val="30"/>
        </w:rPr>
        <w:t>为两江</w:t>
      </w:r>
      <w:r>
        <w:rPr>
          <w:rFonts w:ascii="Times New Roman" w:hAnsi="Times New Roman" w:eastAsia="仿宋_GB2312"/>
          <w:sz w:val="30"/>
          <w:szCs w:val="30"/>
        </w:rPr>
        <w:t>新区、</w:t>
      </w:r>
      <w:r>
        <w:rPr>
          <w:rFonts w:hint="eastAsia" w:ascii="Times New Roman" w:hAnsi="Times New Roman" w:eastAsia="仿宋_GB2312"/>
          <w:sz w:val="30"/>
          <w:szCs w:val="30"/>
        </w:rPr>
        <w:t>江津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渝北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ascii="Times New Roman" w:hAnsi="Times New Roman" w:eastAsia="仿宋_GB2312"/>
          <w:sz w:val="30"/>
          <w:szCs w:val="30"/>
        </w:rPr>
        <w:t>巴南区</w:t>
      </w:r>
      <w:r>
        <w:rPr>
          <w:rFonts w:hint="eastAsia" w:ascii="Times New Roman" w:hAnsi="Times New Roman" w:eastAsia="仿宋_GB2312"/>
          <w:sz w:val="30"/>
          <w:szCs w:val="30"/>
        </w:rPr>
        <w:t>和高新区，</w:t>
      </w:r>
      <w:r>
        <w:rPr>
          <w:rFonts w:ascii="Times New Roman" w:hAnsi="Times New Roman" w:eastAsia="仿宋_GB2312"/>
          <w:sz w:val="30"/>
          <w:szCs w:val="30"/>
        </w:rPr>
        <w:t>共排放29.70吨，占全市</w:t>
      </w:r>
      <w:r>
        <w:rPr>
          <w:rFonts w:hint="eastAsia" w:ascii="Times New Roman" w:hAnsi="Times New Roman" w:eastAsia="仿宋_GB2312"/>
          <w:sz w:val="30"/>
          <w:szCs w:val="30"/>
        </w:rPr>
        <w:t>工业源重点调查企业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量的56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0%。</w:t>
      </w:r>
    </w:p>
    <w:p>
      <w:pPr>
        <w:pStyle w:val="2"/>
      </w:pPr>
    </w:p>
    <w:p>
      <w:pPr>
        <w:snapToGrid w:val="0"/>
        <w:spacing w:line="360" w:lineRule="auto"/>
        <w:ind w:firstLine="562" w:firstLineChars="200"/>
        <w:rPr>
          <w:rFonts w:ascii="Times New Roman" w:hAnsi="Times New Roman" w:eastAsia="仿宋_GB2312"/>
          <w:b/>
          <w:szCs w:val="28"/>
        </w:rPr>
      </w:pPr>
      <w:r>
        <w:rPr>
          <w:rFonts w:ascii="Times New Roman" w:hAnsi="Times New Roman" w:eastAsia="仿宋_GB2312"/>
          <w:b/>
          <w:szCs w:val="28"/>
        </w:rPr>
        <w:t>2-1  2022年全市重点调查企业废水主要污染物排放情况</w:t>
      </w:r>
    </w:p>
    <w:tbl>
      <w:tblPr>
        <w:tblStyle w:val="7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7"/>
        <w:gridCol w:w="1060"/>
        <w:gridCol w:w="1075"/>
        <w:gridCol w:w="1060"/>
        <w:gridCol w:w="1060"/>
        <w:gridCol w:w="1060"/>
        <w:gridCol w:w="1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tblHeader/>
        </w:trPr>
        <w:tc>
          <w:tcPr>
            <w:tcW w:w="12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区县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企业数（个）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废水排放量（万吨）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化学需氧量排放量（吨）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氨氮排放量（吨）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总氮排放量（吨）</w:t>
            </w:r>
          </w:p>
        </w:tc>
        <w:tc>
          <w:tcPr>
            <w:tcW w:w="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总磷排放量（吨）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全市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2711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15719.71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6853.94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258.30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1759.00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53.00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主城都市区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2090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14743.65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6844.26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225.58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1516.36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47.56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 xml:space="preserve">      中心城区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597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5644.93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2564.00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122.34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646.67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28.13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 xml:space="preserve">      主城新区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1493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9098.72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3924.26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103.23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869.69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19.43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渝东北三峡库区城镇群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504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828.46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264.22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26.59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227.69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渝东南武陵山区城镇群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147.60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101.46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6.13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14.96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万州区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312.78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43.20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10.45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190.07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涪陵区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1418.32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539.91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12.43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120.00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渝中区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109.30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23.04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0.60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10.18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大渡口区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113.87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292.77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1.77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7.88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江北区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82.03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104.81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2.89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19.00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沙坪坝区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217.87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81.43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2.39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25.51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九龙坡区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216.93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152.44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10.48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23.44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南岸区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392.31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146.24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3.20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37.68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北碚区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110.62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40.15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1.67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綦江区（含万盛）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87.31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30.26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1.14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2.56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大足区（含双桥）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240.21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60.67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3.06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7.09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渝北区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1233.37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430.42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11.02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109.04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巴南区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861.21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480.70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53.41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240.57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黔江区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65.78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47.96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3.45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7.76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长寿区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2450.42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713.25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16.84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145.17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江津区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1724.44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966.16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18.44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150.29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合川区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257.41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271.27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13.19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16.58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永川区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2305.77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1055.69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29.02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79.44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南川区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80.59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25.74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0.80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321.38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璧山区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153.98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72.11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1.58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2.79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铜梁区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92.75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37.53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0.87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4.10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潼南区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150.55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121.73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5.12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9.24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荣昌区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136.98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29.96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0.76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11.05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开州区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150.48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42.41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3.41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5.26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梁平区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79.61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41.68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1.30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7.34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武隆区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9.23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20.19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0.86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2.23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两江新区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1795.76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614.71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23.96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103.62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高新区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511.67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197.29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10.95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64.64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城口县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丰都县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115.55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30.94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3.00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5.85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垫江县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114.12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28.07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5.31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9.20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忠县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19.58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23.40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0.54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2.05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云阳县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25.55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18.42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1.42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4.48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奉节县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3.79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4.79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0.36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1.55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巫山县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1.90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20.64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0.50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1.39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巫溪县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5.10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10.68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0.31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0.50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石柱县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63.57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20.14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1.59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4.21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秀山县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酉阳县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4.20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7.45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0.13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0.39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6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彭水县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4.82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5.72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0.11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0.37</w:t>
            </w:r>
          </w:p>
        </w:tc>
        <w:tc>
          <w:tcPr>
            <w:tcW w:w="6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0.02</w:t>
            </w:r>
          </w:p>
        </w:tc>
      </w:t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tbl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31" w:name="_Toc92810248"/>
      <w:r>
        <w:rPr>
          <w:rFonts w:ascii="Times New Roman" w:hAnsi="Times New Roman"/>
        </w:rPr>
        <w:t>2.3各行业废水</w: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</w:rPr>
        <w:t>主要污染物排放情况</w:t>
      </w:r>
      <w:bookmarkEnd w:id="31"/>
    </w:p>
    <w:p>
      <w:pPr>
        <w:snapToGrid w:val="0"/>
        <w:spacing w:line="360" w:lineRule="auto"/>
        <w:rPr>
          <w:rFonts w:hint="default" w:ascii="Times New Roman" w:hAnsi="Times New Roman" w:eastAsia="仿宋_GB2312"/>
          <w:b/>
          <w:sz w:val="30"/>
          <w:szCs w:val="30"/>
          <w:lang w:val="en-US"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2.3.1废水排放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  <w:r>
        <w:rPr>
          <w:rFonts w:hint="eastAsia" w:ascii="Times New Roman" w:hAnsi="Times New Roman" w:eastAsia="仿宋_GB2312"/>
          <w:b/>
          <w:sz w:val="30"/>
          <w:szCs w:val="30"/>
          <w:lang w:val="en-US" w:eastAsia="zh-CN"/>
        </w:rPr>
        <w:t xml:space="preserve"> 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，在</w:t>
      </w:r>
      <w:r>
        <w:rPr>
          <w:rFonts w:ascii="Times New Roman" w:hAnsi="Times New Roman" w:eastAsia="仿宋_GB2312"/>
          <w:sz w:val="30"/>
          <w:szCs w:val="30"/>
        </w:rPr>
        <w:t>全市重点调查统计的2711家工业企业中，废水排放量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前5的行业依次是造纸和纸制品业，化学原料和化学制品制造业，计算机、通信和其他电子设备制造业，水的生产和供应业，</w:t>
      </w:r>
      <w:r>
        <w:rPr>
          <w:rFonts w:hint="eastAsia" w:ascii="Times New Roman" w:hAnsi="Times New Roman" w:eastAsia="仿宋_GB2312"/>
          <w:sz w:val="30"/>
          <w:szCs w:val="30"/>
        </w:rPr>
        <w:t>黑色</w:t>
      </w:r>
      <w:r>
        <w:rPr>
          <w:rFonts w:ascii="Times New Roman" w:hAnsi="Times New Roman" w:eastAsia="仿宋_GB2312"/>
          <w:sz w:val="30"/>
          <w:szCs w:val="30"/>
        </w:rPr>
        <w:t>金属冶炼</w:t>
      </w:r>
      <w:r>
        <w:rPr>
          <w:rFonts w:hint="eastAsia" w:ascii="Times New Roman" w:hAnsi="Times New Roman" w:eastAsia="仿宋_GB2312"/>
          <w:sz w:val="30"/>
          <w:szCs w:val="30"/>
        </w:rPr>
        <w:t>和</w:t>
      </w:r>
      <w:r>
        <w:rPr>
          <w:rFonts w:ascii="Times New Roman" w:hAnsi="Times New Roman" w:eastAsia="仿宋_GB2312"/>
          <w:sz w:val="30"/>
          <w:szCs w:val="30"/>
        </w:rPr>
        <w:t>压延加工业，共排放1.10亿吨，占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重点</w:t>
      </w:r>
      <w:r>
        <w:rPr>
          <w:rFonts w:hint="eastAsia" w:ascii="Times New Roman" w:hAnsi="Times New Roman" w:eastAsia="仿宋_GB2312"/>
          <w:sz w:val="30"/>
          <w:szCs w:val="30"/>
        </w:rPr>
        <w:t>调查</w:t>
      </w:r>
      <w:r>
        <w:rPr>
          <w:rFonts w:ascii="Times New Roman" w:hAnsi="Times New Roman" w:eastAsia="仿宋_GB2312"/>
          <w:sz w:val="30"/>
          <w:szCs w:val="30"/>
        </w:rPr>
        <w:t>企业排放总量的69.7%。</w:t>
      </w:r>
    </w:p>
    <w:p>
      <w:pPr>
        <w:snapToGrid w:val="0"/>
        <w:spacing w:line="360" w:lineRule="auto"/>
        <w:rPr>
          <w:rFonts w:hint="default" w:ascii="Times New Roman" w:hAnsi="Times New Roman" w:eastAsia="仿宋_GB2312"/>
          <w:b/>
          <w:sz w:val="30"/>
          <w:szCs w:val="30"/>
          <w:lang w:val="en-US"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2.3.2化学需氧量排放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化学需氧量排放量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前5的行业依次是造纸和纸制品业，化学原料和化学制品制造业，计算机、通信和其他电子设备制造业，水的生产和供应业，农副食品加工业，共排放4740.39吨，占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全市工业源重点调查企业</w:t>
      </w:r>
      <w:r>
        <w:rPr>
          <w:rFonts w:ascii="Times New Roman" w:hAnsi="Times New Roman" w:eastAsia="仿宋_GB2312"/>
          <w:sz w:val="30"/>
          <w:szCs w:val="30"/>
        </w:rPr>
        <w:t>排放总量的69.2%。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2.3.3氨氮排放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after="0"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氨氮排放量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的</w:t>
      </w:r>
      <w:r>
        <w:rPr>
          <w:rFonts w:ascii="Times New Roman" w:hAnsi="Times New Roman" w:eastAsia="仿宋_GB2312"/>
          <w:sz w:val="30"/>
          <w:szCs w:val="30"/>
        </w:rPr>
        <w:t>行业依次是化学原料和化学制品制造业，计算机、通信和其他电子设备制造业，造纸和纸制品业，农副食品加工业，</w:t>
      </w:r>
      <w:r>
        <w:rPr>
          <w:rFonts w:hint="eastAsia" w:ascii="Times New Roman" w:hAnsi="Times New Roman" w:eastAsia="仿宋_GB2312"/>
          <w:sz w:val="30"/>
          <w:szCs w:val="30"/>
        </w:rPr>
        <w:t>食品</w:t>
      </w:r>
      <w:r>
        <w:rPr>
          <w:rFonts w:ascii="Times New Roman" w:hAnsi="Times New Roman" w:eastAsia="仿宋_GB2312"/>
          <w:sz w:val="30"/>
          <w:szCs w:val="30"/>
        </w:rPr>
        <w:t>制造业，共排放185.20吨，占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工业源</w:t>
      </w:r>
      <w:r>
        <w:rPr>
          <w:rFonts w:hint="eastAsia" w:ascii="Times New Roman" w:hAnsi="Times New Roman" w:eastAsia="仿宋_GB2312"/>
          <w:sz w:val="30"/>
          <w:szCs w:val="30"/>
        </w:rPr>
        <w:t>重点调查企业</w:t>
      </w:r>
      <w:r>
        <w:rPr>
          <w:rFonts w:ascii="Times New Roman" w:hAnsi="Times New Roman" w:eastAsia="仿宋_GB2312"/>
          <w:sz w:val="30"/>
          <w:szCs w:val="30"/>
        </w:rPr>
        <w:t>排放总量的71.7%。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2.3.4</w:t>
      </w:r>
      <w:r>
        <w:rPr>
          <w:rFonts w:hint="eastAsia" w:ascii="Times New Roman" w:hAnsi="Times New Roman" w:eastAsia="仿宋_GB2312"/>
          <w:b/>
          <w:sz w:val="30"/>
          <w:szCs w:val="30"/>
        </w:rPr>
        <w:t>总</w:t>
      </w:r>
      <w:r>
        <w:rPr>
          <w:rFonts w:ascii="Times New Roman" w:hAnsi="Times New Roman" w:eastAsia="仿宋_GB2312"/>
          <w:b/>
          <w:sz w:val="30"/>
          <w:szCs w:val="30"/>
        </w:rPr>
        <w:t>氮排放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after="0"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氮排放量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的</w:t>
      </w:r>
      <w:r>
        <w:rPr>
          <w:rFonts w:ascii="Times New Roman" w:hAnsi="Times New Roman" w:eastAsia="仿宋_GB2312"/>
          <w:sz w:val="30"/>
          <w:szCs w:val="30"/>
        </w:rPr>
        <w:t>行业依次是化学原料和化学制品制造业，</w:t>
      </w:r>
      <w:r>
        <w:rPr>
          <w:rFonts w:hint="eastAsia" w:ascii="Times New Roman" w:hAnsi="Times New Roman" w:eastAsia="仿宋_GB2312"/>
          <w:sz w:val="30"/>
          <w:szCs w:val="30"/>
        </w:rPr>
        <w:t>水的生产和供应业，</w:t>
      </w:r>
      <w:r>
        <w:rPr>
          <w:rFonts w:ascii="Times New Roman" w:hAnsi="Times New Roman" w:eastAsia="仿宋_GB2312"/>
          <w:sz w:val="30"/>
          <w:szCs w:val="30"/>
        </w:rPr>
        <w:t>造纸和纸制品业，计算机、通信和其他电子设备制造业，农副食品加工业，共排放1500.90吨，占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工业源</w:t>
      </w:r>
      <w:r>
        <w:rPr>
          <w:rFonts w:hint="eastAsia" w:ascii="Times New Roman" w:hAnsi="Times New Roman" w:eastAsia="仿宋_GB2312"/>
          <w:sz w:val="30"/>
          <w:szCs w:val="30"/>
        </w:rPr>
        <w:t>重点调查企业</w:t>
      </w:r>
      <w:r>
        <w:rPr>
          <w:rFonts w:ascii="Times New Roman" w:hAnsi="Times New Roman" w:eastAsia="仿宋_GB2312"/>
          <w:sz w:val="30"/>
          <w:szCs w:val="30"/>
        </w:rPr>
        <w:t>排放总量的85.3%。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2.3.5</w:t>
      </w:r>
      <w:r>
        <w:rPr>
          <w:rFonts w:hint="eastAsia" w:ascii="Times New Roman" w:hAnsi="Times New Roman" w:eastAsia="仿宋_GB2312"/>
          <w:b/>
          <w:sz w:val="30"/>
          <w:szCs w:val="30"/>
        </w:rPr>
        <w:t>总磷</w:t>
      </w:r>
      <w:r>
        <w:rPr>
          <w:rFonts w:ascii="Times New Roman" w:hAnsi="Times New Roman" w:eastAsia="仿宋_GB2312"/>
          <w:b/>
          <w:sz w:val="30"/>
          <w:szCs w:val="30"/>
        </w:rPr>
        <w:t>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after="0"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总磷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排名前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的</w:t>
      </w:r>
      <w:r>
        <w:rPr>
          <w:rFonts w:ascii="Times New Roman" w:hAnsi="Times New Roman" w:eastAsia="仿宋_GB2312"/>
          <w:sz w:val="30"/>
          <w:szCs w:val="30"/>
        </w:rPr>
        <w:t>行业依次是计算机、通信和其他电子设备制造业，</w:t>
      </w:r>
      <w:r>
        <w:rPr>
          <w:rFonts w:hint="eastAsia" w:ascii="Times New Roman" w:hAnsi="Times New Roman" w:eastAsia="仿宋_GB2312"/>
          <w:sz w:val="30"/>
          <w:szCs w:val="30"/>
        </w:rPr>
        <w:t>水的生产和供应业，</w:t>
      </w:r>
      <w:r>
        <w:rPr>
          <w:rFonts w:ascii="Times New Roman" w:hAnsi="Times New Roman" w:eastAsia="仿宋_GB2312"/>
          <w:sz w:val="30"/>
          <w:szCs w:val="30"/>
        </w:rPr>
        <w:t>农副食品加工业，化学原料和化学制品制造业，</w:t>
      </w:r>
      <w:r>
        <w:rPr>
          <w:rFonts w:hint="eastAsia" w:ascii="Times New Roman" w:hAnsi="Times New Roman" w:eastAsia="仿宋_GB2312"/>
          <w:sz w:val="30"/>
          <w:szCs w:val="30"/>
        </w:rPr>
        <w:t>造纸</w:t>
      </w:r>
      <w:r>
        <w:rPr>
          <w:rFonts w:ascii="Times New Roman" w:hAnsi="Times New Roman" w:eastAsia="仿宋_GB2312"/>
          <w:sz w:val="30"/>
          <w:szCs w:val="30"/>
        </w:rPr>
        <w:t>和纸制品业，共排放39.26吨，占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工业源</w:t>
      </w:r>
      <w:r>
        <w:rPr>
          <w:rFonts w:hint="eastAsia" w:ascii="Times New Roman" w:hAnsi="Times New Roman" w:eastAsia="仿宋_GB2312"/>
          <w:sz w:val="30"/>
          <w:szCs w:val="30"/>
        </w:rPr>
        <w:t>重点调查企业</w:t>
      </w:r>
      <w:r>
        <w:rPr>
          <w:rFonts w:ascii="Times New Roman" w:hAnsi="Times New Roman" w:eastAsia="仿宋_GB2312"/>
          <w:sz w:val="30"/>
          <w:szCs w:val="30"/>
        </w:rPr>
        <w:t>排放总量的74.1%。</w:t>
      </w:r>
    </w:p>
    <w:p>
      <w:pPr>
        <w:snapToGrid w:val="0"/>
        <w:spacing w:after="0"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</w:t>
      </w:r>
      <w:r>
        <w:rPr>
          <w:rFonts w:hint="eastAsia" w:ascii="Times New Roman" w:hAnsi="Times New Roman" w:eastAsia="仿宋_GB2312"/>
          <w:sz w:val="30"/>
          <w:szCs w:val="30"/>
        </w:rPr>
        <w:t>工业</w:t>
      </w:r>
      <w:r>
        <w:rPr>
          <w:rFonts w:ascii="Times New Roman" w:hAnsi="Times New Roman" w:eastAsia="仿宋_GB2312"/>
          <w:sz w:val="30"/>
          <w:szCs w:val="30"/>
        </w:rPr>
        <w:t>废水及主要污染物排放量行业分布见</w:t>
      </w:r>
      <w:r>
        <w:rPr>
          <w:rFonts w:hint="eastAsia" w:ascii="Times New Roman" w:hAnsi="Times New Roman" w:eastAsia="仿宋_GB2312"/>
          <w:sz w:val="30"/>
          <w:szCs w:val="30"/>
        </w:rPr>
        <w:t>表</w:t>
      </w:r>
      <w:r>
        <w:rPr>
          <w:rFonts w:ascii="Times New Roman" w:hAnsi="Times New Roman" w:eastAsia="仿宋_GB2312"/>
          <w:sz w:val="30"/>
          <w:szCs w:val="30"/>
        </w:rPr>
        <w:t>2-2。</w:t>
      </w:r>
    </w:p>
    <w:p>
      <w:pPr>
        <w:snapToGrid w:val="0"/>
        <w:spacing w:line="360" w:lineRule="auto"/>
        <w:ind w:firstLine="281" w:firstLineChars="100"/>
        <w:jc w:val="center"/>
        <w:rPr>
          <w:rFonts w:ascii="Times New Roman" w:hAnsi="Times New Roman" w:eastAsia="仿宋_GB2312"/>
          <w:b/>
          <w:szCs w:val="28"/>
        </w:rPr>
      </w:pPr>
      <w:r>
        <w:rPr>
          <w:rFonts w:hint="eastAsia" w:ascii="Times New Roman" w:hAnsi="Times New Roman" w:eastAsia="仿宋_GB2312"/>
          <w:b/>
          <w:szCs w:val="28"/>
        </w:rPr>
        <w:t>表2-</w:t>
      </w:r>
      <w:r>
        <w:rPr>
          <w:rFonts w:ascii="Times New Roman" w:hAnsi="Times New Roman" w:eastAsia="仿宋_GB2312"/>
          <w:b/>
          <w:szCs w:val="28"/>
        </w:rPr>
        <w:t>2</w:t>
      </w:r>
      <w:r>
        <w:rPr>
          <w:rFonts w:hint="eastAsia" w:ascii="Times New Roman" w:hAnsi="Times New Roman" w:eastAsia="仿宋_GB2312"/>
          <w:b/>
          <w:szCs w:val="28"/>
        </w:rPr>
        <w:t xml:space="preserve">  </w:t>
      </w:r>
      <w:r>
        <w:rPr>
          <w:rFonts w:ascii="Times New Roman" w:hAnsi="Times New Roman" w:eastAsia="仿宋_GB2312"/>
          <w:b/>
          <w:szCs w:val="28"/>
        </w:rPr>
        <w:t>2022年全市重点调查企业废水主要污染物</w:t>
      </w:r>
      <w:r>
        <w:rPr>
          <w:rFonts w:hint="eastAsia" w:ascii="Times New Roman" w:hAnsi="Times New Roman" w:eastAsia="仿宋_GB2312"/>
          <w:b/>
          <w:szCs w:val="28"/>
        </w:rPr>
        <w:t>分行业排放</w:t>
      </w:r>
    </w:p>
    <w:tbl>
      <w:tblPr>
        <w:tblStyle w:val="72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0"/>
        <w:gridCol w:w="1018"/>
        <w:gridCol w:w="1018"/>
        <w:gridCol w:w="988"/>
        <w:gridCol w:w="959"/>
        <w:gridCol w:w="959"/>
        <w:gridCol w:w="9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1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行业名称</w:t>
            </w: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企业数（个）</w:t>
            </w:r>
          </w:p>
        </w:tc>
        <w:tc>
          <w:tcPr>
            <w:tcW w:w="5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工业废水排放量（万吨）</w:t>
            </w:r>
          </w:p>
        </w:tc>
        <w:tc>
          <w:tcPr>
            <w:tcW w:w="5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化学需氧量排放量（吨）</w:t>
            </w:r>
          </w:p>
        </w:tc>
        <w:tc>
          <w:tcPr>
            <w:tcW w:w="5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氨氮排放量（吨）</w:t>
            </w:r>
          </w:p>
        </w:tc>
        <w:tc>
          <w:tcPr>
            <w:tcW w:w="5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总氮排放量（吨）</w:t>
            </w:r>
          </w:p>
        </w:tc>
        <w:tc>
          <w:tcPr>
            <w:tcW w:w="5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总磷排放量（吨）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农、林、牧、渔专业及辅助性活动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煤炭开采和洗选业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石油和天然气开采业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35.18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8.85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hint="eastAsia" w:ascii="Times New Roman" w:hAnsi="Times New Roman"/>
                <w:sz w:val="18"/>
                <w:szCs w:val="18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有色金属矿采选业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非金属矿采选业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开采专业及辅助性活动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32.90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9.17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农副食品加工业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275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802.38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580.53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25.28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139.04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食品制造业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487.45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329.11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24.38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64.19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酒、饮料和精制茶制造业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208.01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140.51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8.77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28.54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烟草制品业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8.82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6.40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纺织业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102.24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72.63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8.86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纺织服装、服饰业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1.98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皮革、毛皮、羽毛及其制品和制鞋业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1.64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木材加工和木、竹、藤、棕、草制品业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6.16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10.56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1.81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1.86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家具制造业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8.46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5.51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造纸和纸制品业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3561.02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1644.68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30.38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174.17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印刷和记录媒介复制业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8.52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3.24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文教、工美、体育和娱乐用品制造业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石油、煤炭及其他燃料加工业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3.90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化学原料和化学制品制造业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2700.68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1061.37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69.19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830.95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医药制造业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544.57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171.42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5.53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43.33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化学纤维制造业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26.60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12.21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2.76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橡胶和塑料制品业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73.34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11.64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1.93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非金属矿物制品业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427.17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365.52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1.83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12.10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黑色金属冶炼和压延加工业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822.80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172.72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11.31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17.45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有色金属冶炼和压延加工业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58.55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44.44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1.76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金属制品业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259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371.83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143.44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22.10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通用设备制造业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164.49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97.51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专用设备制造业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28.38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22.99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汽车制造业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756.74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285.18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8.01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28.86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铁路、船舶、航空航天和其他运输设备制造业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208.36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102.50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7.85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电气机械和器材制造业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80.68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23.72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计算机、通信和其他电子设备制造业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2369.89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832.95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35.98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172.04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仪器仪表制造业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16.93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4.16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0.52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其他制造业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22.89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8.15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1.95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废弃资源综合利用业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12.67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7.67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金属制品、机械和设备修理业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7.45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6.24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0.001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电力、热力生产和供应业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250.90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44.48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3.15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4.20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燃气生产和供应业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3.79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0.63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0.04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0.08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sz w:val="18"/>
                <w:szCs w:val="18"/>
              </w:rPr>
              <w:t>水的生产和供应业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1501.18</w:t>
            </w:r>
          </w:p>
        </w:tc>
        <w:tc>
          <w:tcPr>
            <w:tcW w:w="5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620.87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16.82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184.70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9.31</w:t>
            </w:r>
          </w:p>
        </w:tc>
      </w:tr>
    </w:tbl>
    <w:p>
      <w:pPr>
        <w:pStyle w:val="5"/>
        <w:rPr>
          <w:rFonts w:ascii="Times New Roman" w:hAnsi="Times New Roman"/>
        </w:rPr>
      </w:pPr>
      <w:bookmarkStart w:id="32" w:name="_Toc92810249"/>
      <w:r>
        <w:rPr>
          <w:rFonts w:ascii="Times New Roman" w:hAnsi="Times New Roman"/>
        </w:rPr>
        <w:t>3废气</w:t>
      </w:r>
      <w:r>
        <w:rPr>
          <w:rFonts w:hint="eastAsia" w:ascii="Times New Roman" w:hAnsi="Times New Roman"/>
        </w:rPr>
        <w:t>主要污染物排放情况</w:t>
      </w:r>
      <w:bookmarkEnd w:id="32"/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33" w:name="_Toc92810250"/>
      <w:r>
        <w:rPr>
          <w:rFonts w:ascii="Times New Roman" w:hAnsi="Times New Roman"/>
        </w:rPr>
        <w:t>3.1废气中主要污染物排放情况</w:t>
      </w:r>
      <w:bookmarkEnd w:id="33"/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ascii="Times New Roman" w:hAnsi="Times New Roman" w:eastAsia="仿宋_GB2312"/>
          <w:b/>
          <w:sz w:val="30"/>
          <w:szCs w:val="30"/>
        </w:rPr>
        <w:t>3.1.1二氧化硫排放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年全市二氧化硫排放量为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59</w:t>
      </w:r>
      <w:r>
        <w:rPr>
          <w:rFonts w:hint="eastAsia" w:ascii="Times New Roman" w:hAnsi="Times New Roman" w:eastAsia="仿宋_GB2312"/>
          <w:sz w:val="30"/>
          <w:szCs w:val="30"/>
        </w:rPr>
        <w:t>万吨，其中工业源排放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68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80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%；生活源排放</w:t>
      </w:r>
      <w:r>
        <w:rPr>
          <w:rFonts w:ascii="Times New Roman" w:hAnsi="Times New Roman" w:eastAsia="仿宋_GB2312"/>
          <w:sz w:val="30"/>
          <w:szCs w:val="30"/>
        </w:rPr>
        <w:t>9077.32</w:t>
      </w:r>
      <w:r>
        <w:rPr>
          <w:rFonts w:hint="eastAsia" w:ascii="Times New Roman" w:hAnsi="Times New Roman" w:eastAsia="仿宋_GB2312"/>
          <w:sz w:val="30"/>
          <w:szCs w:val="30"/>
        </w:rPr>
        <w:t>吨，占全市排放总量的</w:t>
      </w:r>
      <w:r>
        <w:rPr>
          <w:rFonts w:ascii="Times New Roman" w:hAnsi="Times New Roman" w:eastAsia="仿宋_GB2312"/>
          <w:sz w:val="30"/>
          <w:szCs w:val="30"/>
        </w:rPr>
        <w:t>19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%；集中式污染治理设施排放</w:t>
      </w:r>
      <w:r>
        <w:rPr>
          <w:rFonts w:ascii="Times New Roman" w:hAnsi="Times New Roman" w:eastAsia="仿宋_GB2312"/>
          <w:sz w:val="30"/>
          <w:szCs w:val="30"/>
        </w:rPr>
        <w:t>32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75</w:t>
      </w:r>
      <w:r>
        <w:rPr>
          <w:rFonts w:hint="eastAsia" w:ascii="Times New Roman" w:hAnsi="Times New Roman" w:eastAsia="仿宋_GB2312"/>
          <w:sz w:val="30"/>
          <w:szCs w:val="30"/>
        </w:rPr>
        <w:t>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2022年全市各类源二氧化硫排放量分布情况见图3-1（注：机动车</w:t>
      </w:r>
      <w:r>
        <w:rPr>
          <w:rFonts w:hint="eastAsia" w:ascii="Times New Roman" w:hAnsi="Times New Roman" w:eastAsia="仿宋_GB2312"/>
          <w:sz w:val="30"/>
          <w:szCs w:val="30"/>
        </w:rPr>
        <w:t>、农业</w:t>
      </w:r>
      <w:r>
        <w:rPr>
          <w:rFonts w:ascii="Times New Roman" w:hAnsi="Times New Roman" w:eastAsia="仿宋_GB2312"/>
          <w:sz w:val="30"/>
          <w:szCs w:val="30"/>
        </w:rPr>
        <w:t>源无二氧化硫排放量统计）。</w:t>
      </w:r>
    </w:p>
    <w:p>
      <w:pPr>
        <w:snapToGrid w:val="0"/>
        <w:spacing w:line="360" w:lineRule="auto"/>
        <w:jc w:val="left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drawing>
          <wp:inline distT="0" distB="0" distL="0" distR="0">
            <wp:extent cx="5274310" cy="2444750"/>
            <wp:effectExtent l="0" t="0" r="2540" b="12700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图3-1  2022年全市各类源二氧化硫排放量分布情况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b/>
          <w:sz w:val="30"/>
          <w:szCs w:val="30"/>
        </w:rPr>
        <w:t>3.1.2氮氧化物排放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年全市氮氧化物排放量为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15.</w:t>
      </w:r>
      <w:r>
        <w:rPr>
          <w:rFonts w:hint="default" w:ascii="Times New Roman" w:hAnsi="Times New Roman" w:eastAsia="仿宋_GB2312"/>
          <w:sz w:val="30"/>
          <w:szCs w:val="30"/>
          <w:lang w:val="en" w:eastAsia="zh-CN"/>
        </w:rPr>
        <w:t>30</w:t>
      </w:r>
      <w:r>
        <w:rPr>
          <w:rFonts w:hint="eastAsia" w:ascii="Times New Roman" w:hAnsi="Times New Roman" w:eastAsia="仿宋_GB2312"/>
          <w:sz w:val="30"/>
          <w:szCs w:val="30"/>
        </w:rPr>
        <w:t>万吨。其中工业源排放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09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9.8</w:t>
      </w:r>
      <w:r>
        <w:rPr>
          <w:rFonts w:hint="eastAsia" w:ascii="Times New Roman" w:hAnsi="Times New Roman" w:eastAsia="仿宋_GB2312"/>
          <w:sz w:val="30"/>
          <w:szCs w:val="30"/>
        </w:rPr>
        <w:t>%；生活源排放</w:t>
      </w:r>
      <w:r>
        <w:rPr>
          <w:rFonts w:ascii="Times New Roman" w:hAnsi="Times New Roman" w:eastAsia="仿宋_GB2312"/>
          <w:sz w:val="30"/>
          <w:szCs w:val="30"/>
        </w:rPr>
        <w:t>7225.96</w:t>
      </w:r>
      <w:r>
        <w:rPr>
          <w:rFonts w:hint="eastAsia" w:ascii="Times New Roman" w:hAnsi="Times New Roman" w:eastAsia="仿宋_GB2312"/>
          <w:sz w:val="30"/>
          <w:szCs w:val="30"/>
        </w:rPr>
        <w:t>吨，占全市排放总量的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4.7</w:t>
      </w:r>
      <w:r>
        <w:rPr>
          <w:rFonts w:hint="eastAsia" w:ascii="Times New Roman" w:hAnsi="Times New Roman" w:eastAsia="仿宋_GB2312"/>
          <w:sz w:val="30"/>
          <w:szCs w:val="30"/>
        </w:rPr>
        <w:t>%；机动车排放</w:t>
      </w:r>
      <w:r>
        <w:rPr>
          <w:rFonts w:hint="default" w:ascii="Times New Roman" w:hAnsi="Times New Roman" w:eastAsia="仿宋_GB2312"/>
          <w:sz w:val="30"/>
          <w:szCs w:val="30"/>
          <w:lang w:val="en" w:eastAsia="zh-CN"/>
        </w:rPr>
        <w:t>8.47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55.4</w:t>
      </w:r>
      <w:r>
        <w:rPr>
          <w:rFonts w:hint="eastAsia" w:ascii="Times New Roman" w:hAnsi="Times New Roman" w:eastAsia="仿宋_GB2312"/>
          <w:sz w:val="30"/>
          <w:szCs w:val="30"/>
        </w:rPr>
        <w:t>%；集中式污染处理设施排放</w:t>
      </w:r>
      <w:r>
        <w:rPr>
          <w:rFonts w:ascii="Times New Roman" w:hAnsi="Times New Roman" w:eastAsia="仿宋_GB2312"/>
          <w:sz w:val="30"/>
          <w:szCs w:val="30"/>
        </w:rPr>
        <w:t>190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51</w:t>
      </w:r>
      <w:r>
        <w:rPr>
          <w:rFonts w:hint="eastAsia" w:ascii="Times New Roman" w:hAnsi="Times New Roman" w:eastAsia="仿宋_GB2312"/>
          <w:sz w:val="30"/>
          <w:szCs w:val="30"/>
        </w:rPr>
        <w:t>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2022年全市各类源氮氧化物排放量分布情况见图3-2。</w:t>
      </w:r>
    </w:p>
    <w:p>
      <w:pPr>
        <w:pStyle w:val="2"/>
        <w:spacing w:line="360" w:lineRule="auto"/>
        <w:jc w:val="center"/>
      </w:pPr>
      <w:r>
        <w:drawing>
          <wp:inline distT="0" distB="0" distL="0" distR="0">
            <wp:extent cx="5274310" cy="2314575"/>
            <wp:effectExtent l="5080" t="4445" r="16510" b="508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图3-2  2022年全市各类源氮氧化物排放量分布情况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b/>
          <w:sz w:val="30"/>
          <w:szCs w:val="30"/>
        </w:rPr>
        <w:t>3.1.3颗粒物排放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年全市颗粒物排放量为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万吨。其中工业源排放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76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75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%；生活源排放</w:t>
      </w:r>
      <w:r>
        <w:rPr>
          <w:rFonts w:ascii="Times New Roman" w:hAnsi="Times New Roman" w:eastAsia="仿宋_GB2312"/>
          <w:sz w:val="30"/>
          <w:szCs w:val="30"/>
        </w:rPr>
        <w:t>1.12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%；机动车排放</w:t>
      </w:r>
      <w:r>
        <w:rPr>
          <w:rFonts w:hint="default" w:ascii="Times New Roman" w:hAnsi="Times New Roman" w:eastAsia="仿宋_GB2312"/>
          <w:sz w:val="30"/>
          <w:szCs w:val="30"/>
          <w:lang w:val="en" w:eastAsia="zh-CN"/>
        </w:rPr>
        <w:t>752.70</w:t>
      </w:r>
      <w:r>
        <w:rPr>
          <w:rFonts w:hint="eastAsia" w:ascii="Times New Roman" w:hAnsi="Times New Roman" w:eastAsia="仿宋_GB2312"/>
          <w:sz w:val="30"/>
          <w:szCs w:val="30"/>
        </w:rPr>
        <w:t>吨，占全市排放总量的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%；集中式污染治理设施排放量</w:t>
      </w:r>
      <w:r>
        <w:rPr>
          <w:rFonts w:ascii="Times New Roman" w:hAnsi="Times New Roman" w:eastAsia="仿宋_GB2312"/>
          <w:sz w:val="30"/>
          <w:szCs w:val="30"/>
        </w:rPr>
        <w:t>24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84</w:t>
      </w:r>
      <w:r>
        <w:rPr>
          <w:rFonts w:hint="eastAsia" w:ascii="Times New Roman" w:hAnsi="Times New Roman" w:eastAsia="仿宋_GB2312"/>
          <w:sz w:val="30"/>
          <w:szCs w:val="30"/>
        </w:rPr>
        <w:t>吨。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</w:t>
      </w:r>
      <w:r>
        <w:rPr>
          <w:rFonts w:hint="eastAsia" w:ascii="Times New Roman" w:hAnsi="Times New Roman" w:eastAsia="仿宋_GB2312"/>
          <w:sz w:val="30"/>
          <w:szCs w:val="30"/>
        </w:rPr>
        <w:t>颗粒物</w:t>
      </w:r>
      <w:r>
        <w:rPr>
          <w:rFonts w:ascii="Times New Roman" w:hAnsi="Times New Roman" w:eastAsia="仿宋_GB2312"/>
          <w:sz w:val="30"/>
          <w:szCs w:val="30"/>
        </w:rPr>
        <w:t>排放量分布情况见图3-3。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2514600"/>
            <wp:effectExtent l="0" t="0" r="2540" b="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图3-3  2022年全市各类源</w:t>
      </w:r>
      <w:r>
        <w:rPr>
          <w:rFonts w:hint="eastAsia" w:ascii="Times New Roman" w:hAnsi="Times New Roman"/>
          <w:szCs w:val="28"/>
        </w:rPr>
        <w:t>颗粒物</w:t>
      </w:r>
      <w:r>
        <w:rPr>
          <w:rFonts w:ascii="Times New Roman" w:hAnsi="Times New Roman"/>
          <w:szCs w:val="28"/>
        </w:rPr>
        <w:t>排放量分布情况</w:t>
      </w:r>
    </w:p>
    <w:p>
      <w:pPr>
        <w:snapToGrid w:val="0"/>
        <w:spacing w:line="360" w:lineRule="auto"/>
        <w:rPr>
          <w:rFonts w:hint="eastAsia" w:ascii="Times New Roman" w:hAnsi="Times New Roman" w:eastAsia="仿宋_GB2312"/>
          <w:b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b/>
          <w:sz w:val="30"/>
          <w:szCs w:val="30"/>
        </w:rPr>
        <w:t>3.1.</w:t>
      </w:r>
      <w:r>
        <w:rPr>
          <w:rFonts w:ascii="Times New Roman" w:hAnsi="Times New Roman" w:eastAsia="仿宋_GB2312"/>
          <w:b/>
          <w:sz w:val="30"/>
          <w:szCs w:val="30"/>
        </w:rPr>
        <w:t>4</w:t>
      </w:r>
      <w:r>
        <w:rPr>
          <w:rFonts w:hint="eastAsia" w:ascii="Times New Roman" w:hAnsi="Times New Roman" w:eastAsia="仿宋_GB2312"/>
          <w:b/>
          <w:sz w:val="30"/>
          <w:szCs w:val="30"/>
        </w:rPr>
        <w:t>挥发性有机物排放</w:t>
      </w:r>
      <w:r>
        <w:rPr>
          <w:rFonts w:hint="eastAsia" w:ascii="Times New Roman" w:hAnsi="Times New Roman" w:eastAsia="仿宋_GB2312"/>
          <w:b/>
          <w:sz w:val="30"/>
          <w:szCs w:val="30"/>
          <w:lang w:eastAsia="zh-CN"/>
        </w:rPr>
        <w:t>情况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年全市挥发性有机物排放量为</w:t>
      </w:r>
      <w:r>
        <w:rPr>
          <w:rFonts w:ascii="Times New Roman" w:hAnsi="Times New Roman" w:eastAsia="仿宋_GB2312"/>
          <w:sz w:val="30"/>
          <w:szCs w:val="30"/>
        </w:rPr>
        <w:t>11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12</w:t>
      </w:r>
      <w:r>
        <w:rPr>
          <w:rFonts w:hint="eastAsia" w:ascii="Times New Roman" w:hAnsi="Times New Roman" w:eastAsia="仿宋_GB2312"/>
          <w:sz w:val="30"/>
          <w:szCs w:val="30"/>
        </w:rPr>
        <w:t>万吨。其中工业源排放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20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7.7</w:t>
      </w:r>
      <w:r>
        <w:rPr>
          <w:rFonts w:hint="eastAsia" w:ascii="Times New Roman" w:hAnsi="Times New Roman" w:eastAsia="仿宋_GB2312"/>
          <w:sz w:val="30"/>
          <w:szCs w:val="30"/>
        </w:rPr>
        <w:t>%；生活源排放</w:t>
      </w:r>
      <w:r>
        <w:rPr>
          <w:rFonts w:ascii="Times New Roman" w:hAnsi="Times New Roman" w:eastAsia="仿宋_GB2312"/>
          <w:sz w:val="30"/>
          <w:szCs w:val="30"/>
        </w:rPr>
        <w:t>3.69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3.2</w:t>
      </w:r>
      <w:r>
        <w:rPr>
          <w:rFonts w:hint="eastAsia" w:ascii="Times New Roman" w:hAnsi="Times New Roman" w:eastAsia="仿宋_GB2312"/>
          <w:sz w:val="30"/>
          <w:szCs w:val="30"/>
        </w:rPr>
        <w:t>%；机动车排放</w:t>
      </w:r>
      <w:r>
        <w:rPr>
          <w:rFonts w:ascii="Times New Roman" w:hAnsi="Times New Roman" w:eastAsia="仿宋_GB2312"/>
          <w:sz w:val="30"/>
          <w:szCs w:val="30"/>
        </w:rPr>
        <w:t>3.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23</w:t>
      </w:r>
      <w:r>
        <w:rPr>
          <w:rFonts w:hint="eastAsia" w:ascii="Times New Roman" w:hAnsi="Times New Roman" w:eastAsia="仿宋_GB2312"/>
          <w:sz w:val="30"/>
          <w:szCs w:val="30"/>
        </w:rPr>
        <w:t>万吨，占全市排放总量的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29.0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2022年全市各类源</w:t>
      </w:r>
      <w:r>
        <w:rPr>
          <w:rFonts w:hint="eastAsia" w:ascii="Times New Roman" w:hAnsi="Times New Roman" w:eastAsia="仿宋_GB2312"/>
          <w:sz w:val="30"/>
          <w:szCs w:val="30"/>
        </w:rPr>
        <w:t>挥发性有机物</w:t>
      </w:r>
      <w:r>
        <w:rPr>
          <w:rFonts w:ascii="Times New Roman" w:hAnsi="Times New Roman" w:eastAsia="仿宋_GB2312"/>
          <w:sz w:val="30"/>
          <w:szCs w:val="30"/>
        </w:rPr>
        <w:t>排放量分布情况见图3-4。</w:t>
      </w:r>
    </w:p>
    <w:p>
      <w:pPr>
        <w:tabs>
          <w:tab w:val="left" w:pos="4695"/>
        </w:tabs>
        <w:snapToGrid w:val="0"/>
        <w:spacing w:line="360" w:lineRule="auto"/>
        <w:ind w:firstLine="560" w:firstLineChars="200"/>
      </w:pP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2609850"/>
            <wp:effectExtent l="0" t="0" r="2540" b="0"/>
            <wp:wrapTight wrapText="bothSides">
              <wp:wrapPolygon>
                <wp:start x="0" y="0"/>
                <wp:lineTo x="0" y="21442"/>
                <wp:lineTo x="21532" y="21442"/>
                <wp:lineTo x="21532" y="0"/>
                <wp:lineTo x="0" y="0"/>
              </wp:wrapPolygon>
            </wp:wrapTight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hint="eastAsia" w:ascii="Times New Roman" w:hAnsi="Times New Roman"/>
          <w:szCs w:val="28"/>
        </w:rPr>
        <w:t>图3-</w:t>
      </w:r>
      <w:r>
        <w:rPr>
          <w:rFonts w:ascii="Times New Roman" w:hAnsi="Times New Roman"/>
          <w:szCs w:val="28"/>
        </w:rPr>
        <w:t>4</w:t>
      </w:r>
      <w:r>
        <w:rPr>
          <w:rFonts w:hint="eastAsia" w:ascii="Times New Roman" w:hAnsi="Times New Roman"/>
          <w:szCs w:val="28"/>
        </w:rPr>
        <w:t xml:space="preserve">  202</w:t>
      </w:r>
      <w:r>
        <w:rPr>
          <w:rFonts w:ascii="Times New Roman" w:hAnsi="Times New Roman"/>
          <w:szCs w:val="28"/>
        </w:rPr>
        <w:t>2</w:t>
      </w:r>
      <w:r>
        <w:rPr>
          <w:rFonts w:hint="eastAsia" w:ascii="Times New Roman" w:hAnsi="Times New Roman"/>
          <w:szCs w:val="28"/>
        </w:rPr>
        <w:t>年全市各类源挥发性有机物排放量分布情况</w:t>
      </w:r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34" w:name="_Toc92810251"/>
      <w:r>
        <w:rPr>
          <w:rFonts w:ascii="Times New Roman" w:hAnsi="Times New Roman"/>
        </w:rPr>
        <w:t>3.2各地区</w:t>
      </w:r>
      <w:r>
        <w:rPr>
          <w:rFonts w:hint="eastAsia" w:ascii="Times New Roman" w:hAnsi="Times New Roman"/>
        </w:rPr>
        <w:t>工业</w:t>
      </w:r>
      <w:r>
        <w:rPr>
          <w:rFonts w:ascii="Times New Roman" w:hAnsi="Times New Roman"/>
        </w:rPr>
        <w:t>废气中主要污染物排放情况</w:t>
      </w:r>
      <w:bookmarkEnd w:id="34"/>
      <w:bookmarkStart w:id="58" w:name="_GoBack"/>
      <w:bookmarkEnd w:id="58"/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根据《排放源统计技术规定（国统制〔2021〕18号）》，</w:t>
      </w:r>
      <w:r>
        <w:rPr>
          <w:rFonts w:ascii="Times New Roman" w:hAnsi="Times New Roman" w:eastAsia="仿宋_GB2312"/>
          <w:sz w:val="30"/>
          <w:szCs w:val="30"/>
        </w:rPr>
        <w:t>2022年环境统计</w:t>
      </w:r>
      <w:r>
        <w:rPr>
          <w:rFonts w:hint="eastAsia" w:ascii="Times New Roman" w:hAnsi="Times New Roman" w:eastAsia="仿宋_GB2312"/>
          <w:sz w:val="30"/>
          <w:szCs w:val="30"/>
        </w:rPr>
        <w:t>工业源非重点废气污染物与生活源合并，直辖市的生活源和机动车均以全市为单位进行调查与核算，因此本报告仅给出</w:t>
      </w:r>
      <w:r>
        <w:rPr>
          <w:rFonts w:ascii="Times New Roman" w:hAnsi="Times New Roman" w:eastAsia="仿宋_GB2312"/>
          <w:sz w:val="30"/>
          <w:szCs w:val="30"/>
        </w:rPr>
        <w:t>2022年全市各区县</w:t>
      </w:r>
      <w:r>
        <w:rPr>
          <w:rFonts w:hint="eastAsia" w:ascii="Times New Roman" w:hAnsi="Times New Roman" w:eastAsia="仿宋_GB2312"/>
          <w:sz w:val="30"/>
          <w:szCs w:val="30"/>
        </w:rPr>
        <w:t>工业源</w:t>
      </w:r>
      <w:r>
        <w:rPr>
          <w:rFonts w:ascii="Times New Roman" w:hAnsi="Times New Roman" w:eastAsia="仿宋_GB2312"/>
          <w:sz w:val="30"/>
          <w:szCs w:val="30"/>
        </w:rPr>
        <w:t>废气主要污染物排放</w:t>
      </w:r>
      <w:r>
        <w:rPr>
          <w:rFonts w:hint="eastAsia" w:ascii="Times New Roman" w:hAnsi="Times New Roman" w:eastAsia="仿宋_GB2312"/>
          <w:sz w:val="30"/>
          <w:szCs w:val="30"/>
        </w:rPr>
        <w:t>情况（</w:t>
      </w:r>
      <w:r>
        <w:rPr>
          <w:rFonts w:ascii="Times New Roman" w:hAnsi="Times New Roman" w:eastAsia="仿宋_GB2312"/>
          <w:sz w:val="30"/>
          <w:szCs w:val="30"/>
        </w:rPr>
        <w:t>见</w:t>
      </w:r>
      <w:r>
        <w:rPr>
          <w:rFonts w:hint="eastAsia" w:ascii="Times New Roman" w:hAnsi="Times New Roman" w:eastAsia="仿宋_GB2312"/>
          <w:sz w:val="30"/>
          <w:szCs w:val="30"/>
        </w:rPr>
        <w:t>表</w:t>
      </w:r>
      <w:r>
        <w:rPr>
          <w:rFonts w:ascii="Times New Roman" w:hAnsi="Times New Roman" w:eastAsia="仿宋_GB2312"/>
          <w:sz w:val="30"/>
          <w:szCs w:val="30"/>
        </w:rPr>
        <w:t>3-</w:t>
      </w:r>
      <w:r>
        <w:rPr>
          <w:rFonts w:hint="eastAsia" w:ascii="Times New Roman" w:hAnsi="Times New Roman" w:eastAsia="仿宋_GB2312"/>
          <w:sz w:val="30"/>
          <w:szCs w:val="30"/>
        </w:rPr>
        <w:t>-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）</w:t>
      </w:r>
      <w:r>
        <w:rPr>
          <w:rFonts w:ascii="Times New Roman" w:hAnsi="Times New Roman" w:eastAsia="仿宋_GB2312"/>
          <w:sz w:val="30"/>
          <w:szCs w:val="30"/>
        </w:rPr>
        <w:t>。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</w:t>
      </w:r>
      <w:r>
        <w:rPr>
          <w:rFonts w:ascii="Times New Roman" w:hAnsi="Times New Roman" w:eastAsia="仿宋_GB2312"/>
          <w:sz w:val="30"/>
          <w:szCs w:val="30"/>
        </w:rPr>
        <w:t>022</w:t>
      </w:r>
      <w:r>
        <w:rPr>
          <w:rFonts w:hint="eastAsia" w:ascii="Times New Roman" w:hAnsi="Times New Roman" w:eastAsia="仿宋_GB2312"/>
          <w:sz w:val="30"/>
          <w:szCs w:val="30"/>
        </w:rPr>
        <w:t>年全市工业二氧化硫排放量</w:t>
      </w:r>
      <w:r>
        <w:rPr>
          <w:rFonts w:ascii="Times New Roman" w:hAnsi="Times New Roman" w:eastAsia="仿宋_GB2312"/>
          <w:sz w:val="30"/>
          <w:szCs w:val="30"/>
        </w:rPr>
        <w:t>3.68</w:t>
      </w:r>
      <w:r>
        <w:rPr>
          <w:rFonts w:hint="eastAsia" w:ascii="Times New Roman" w:hAnsi="Times New Roman" w:eastAsia="仿宋_GB2312"/>
          <w:sz w:val="30"/>
          <w:szCs w:val="30"/>
        </w:rPr>
        <w:t>万吨。其中，主城都市区工业二氧化硫排放</w:t>
      </w:r>
      <w:r>
        <w:rPr>
          <w:rFonts w:ascii="Times New Roman" w:hAnsi="Times New Roman" w:eastAsia="仿宋_GB2312"/>
          <w:sz w:val="30"/>
          <w:szCs w:val="30"/>
        </w:rPr>
        <w:t>2.73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74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%；渝东北三峡库区城镇群工业二氧化硫排放</w:t>
      </w:r>
      <w:r>
        <w:rPr>
          <w:rFonts w:ascii="Times New Roman" w:hAnsi="Times New Roman" w:eastAsia="仿宋_GB2312"/>
          <w:sz w:val="30"/>
          <w:szCs w:val="30"/>
        </w:rPr>
        <w:t>6956.24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18.9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%；渝东南武陵山区城镇群工业二氧化硫排放</w:t>
      </w:r>
      <w:r>
        <w:rPr>
          <w:rFonts w:ascii="Times New Roman" w:hAnsi="Times New Roman" w:eastAsia="仿宋_GB2312"/>
          <w:sz w:val="30"/>
          <w:szCs w:val="30"/>
        </w:rPr>
        <w:t>2585.86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7.0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  <w:r>
        <w:rPr>
          <w:rFonts w:ascii="Times New Roman" w:hAnsi="Times New Roman" w:eastAsia="仿宋_GB2312"/>
          <w:sz w:val="30"/>
          <w:szCs w:val="30"/>
        </w:rPr>
        <w:t>二氧化硫排放量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前5的区县依次是长寿区、</w:t>
      </w:r>
      <w:r>
        <w:rPr>
          <w:rFonts w:hint="eastAsia" w:ascii="Times New Roman" w:hAnsi="Times New Roman" w:eastAsia="仿宋_GB2312"/>
          <w:sz w:val="30"/>
          <w:szCs w:val="30"/>
        </w:rPr>
        <w:t>綦江区（含万盛经开区）</w:t>
      </w:r>
      <w:r>
        <w:rPr>
          <w:rFonts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涪陵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合川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和江津区</w:t>
      </w:r>
      <w:r>
        <w:rPr>
          <w:rFonts w:ascii="Times New Roman" w:hAnsi="Times New Roman" w:eastAsia="仿宋_GB2312"/>
          <w:sz w:val="30"/>
          <w:szCs w:val="30"/>
        </w:rPr>
        <w:t>，共排放2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05万吨，占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</w:t>
      </w:r>
      <w:r>
        <w:rPr>
          <w:rFonts w:hint="eastAsia" w:ascii="Times New Roman" w:hAnsi="Times New Roman" w:eastAsia="仿宋_GB2312"/>
          <w:sz w:val="30"/>
          <w:szCs w:val="30"/>
        </w:rPr>
        <w:t>5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7%。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全市工业氮氧化物排放量</w:t>
      </w:r>
      <w:r>
        <w:rPr>
          <w:rFonts w:ascii="Times New Roman" w:hAnsi="Times New Roman" w:eastAsia="仿宋_GB2312"/>
          <w:sz w:val="30"/>
          <w:szCs w:val="30"/>
        </w:rPr>
        <w:t>6.09</w:t>
      </w:r>
      <w:r>
        <w:rPr>
          <w:rFonts w:hint="eastAsia" w:ascii="Times New Roman" w:hAnsi="Times New Roman" w:eastAsia="仿宋_GB2312"/>
          <w:sz w:val="30"/>
          <w:szCs w:val="30"/>
        </w:rPr>
        <w:t>万吨。其中，主城都市区工业氮氧化物排放</w:t>
      </w:r>
      <w:r>
        <w:rPr>
          <w:rFonts w:ascii="Times New Roman" w:hAnsi="Times New Roman" w:eastAsia="仿宋_GB2312"/>
          <w:sz w:val="30"/>
          <w:szCs w:val="30"/>
        </w:rPr>
        <w:t>4.29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70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%；渝东北三峡库区城镇群工业氮氧化物排放</w:t>
      </w:r>
      <w:r>
        <w:rPr>
          <w:rFonts w:ascii="Times New Roman" w:hAnsi="Times New Roman" w:eastAsia="仿宋_GB2312"/>
          <w:sz w:val="30"/>
          <w:szCs w:val="30"/>
        </w:rPr>
        <w:t>1.41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23.1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%；渝东南武陵山区城镇群工业氮氧化物排放3</w:t>
      </w:r>
      <w:r>
        <w:rPr>
          <w:rFonts w:ascii="Times New Roman" w:hAnsi="Times New Roman" w:eastAsia="仿宋_GB2312"/>
          <w:sz w:val="30"/>
          <w:szCs w:val="30"/>
        </w:rPr>
        <w:t>903.08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6.4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  <w:r>
        <w:rPr>
          <w:rFonts w:ascii="Times New Roman" w:hAnsi="Times New Roman" w:eastAsia="仿宋_GB2312"/>
          <w:sz w:val="30"/>
          <w:szCs w:val="30"/>
        </w:rPr>
        <w:t>氮氧化物排放量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前5的区县依次是长寿区、</w:t>
      </w:r>
      <w:r>
        <w:rPr>
          <w:rFonts w:hint="eastAsia" w:ascii="Times New Roman" w:hAnsi="Times New Roman" w:eastAsia="仿宋_GB2312"/>
          <w:sz w:val="30"/>
          <w:szCs w:val="30"/>
        </w:rPr>
        <w:t>丰都县、綦江区（含万盛经开区）</w:t>
      </w:r>
      <w:r>
        <w:rPr>
          <w:rFonts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江津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、合川区</w:t>
      </w:r>
      <w:r>
        <w:rPr>
          <w:rFonts w:ascii="Times New Roman" w:hAnsi="Times New Roman" w:eastAsia="仿宋_GB2312"/>
          <w:sz w:val="30"/>
          <w:szCs w:val="30"/>
        </w:rPr>
        <w:t>，共排放3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14万吨，占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量的51.6%。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全市工业颗粒物排放量</w:t>
      </w:r>
      <w:r>
        <w:rPr>
          <w:rFonts w:ascii="Times New Roman" w:hAnsi="Times New Roman" w:eastAsia="仿宋_GB2312"/>
          <w:sz w:val="30"/>
          <w:szCs w:val="30"/>
        </w:rPr>
        <w:t>3.76</w:t>
      </w:r>
      <w:r>
        <w:rPr>
          <w:rFonts w:hint="eastAsia" w:ascii="Times New Roman" w:hAnsi="Times New Roman" w:eastAsia="仿宋_GB2312"/>
          <w:sz w:val="30"/>
          <w:szCs w:val="30"/>
        </w:rPr>
        <w:t>万吨。其中，主城都市区工业颗粒物排放</w:t>
      </w:r>
      <w:r>
        <w:rPr>
          <w:rFonts w:ascii="Times New Roman" w:hAnsi="Times New Roman" w:eastAsia="仿宋_GB2312"/>
          <w:sz w:val="30"/>
          <w:szCs w:val="30"/>
        </w:rPr>
        <w:t>2.37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63.0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%；渝东北三峡库区城镇群工业颗粒物排放</w:t>
      </w:r>
      <w:r>
        <w:rPr>
          <w:rFonts w:ascii="Times New Roman" w:hAnsi="Times New Roman" w:eastAsia="仿宋_GB2312"/>
          <w:sz w:val="30"/>
          <w:szCs w:val="30"/>
        </w:rPr>
        <w:t>1.10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29.2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%；渝东南武陵山区城镇群工业颗粒物排放</w:t>
      </w:r>
      <w:r>
        <w:rPr>
          <w:rFonts w:ascii="Times New Roman" w:hAnsi="Times New Roman" w:eastAsia="仿宋_GB2312"/>
          <w:sz w:val="30"/>
          <w:szCs w:val="30"/>
        </w:rPr>
        <w:t>2941.23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7.8</w:t>
      </w:r>
      <w:r>
        <w:rPr>
          <w:rFonts w:hint="eastAsia" w:ascii="Times New Roman" w:hAnsi="Times New Roman" w:eastAsia="仿宋_GB2312"/>
          <w:sz w:val="30"/>
          <w:szCs w:val="30"/>
        </w:rPr>
        <w:t>%。颗粒物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前5的区县依次是长寿区、</w:t>
      </w:r>
      <w:r>
        <w:rPr>
          <w:rFonts w:hint="eastAsia" w:ascii="Times New Roman" w:hAnsi="Times New Roman" w:eastAsia="仿宋_GB2312"/>
          <w:sz w:val="30"/>
          <w:szCs w:val="30"/>
        </w:rPr>
        <w:t>丰都县</w:t>
      </w:r>
      <w:r>
        <w:rPr>
          <w:rFonts w:ascii="Times New Roman" w:hAnsi="Times New Roman" w:eastAsia="仿宋_GB2312"/>
          <w:sz w:val="30"/>
          <w:szCs w:val="30"/>
        </w:rPr>
        <w:t>、合川区、</w:t>
      </w:r>
      <w:r>
        <w:rPr>
          <w:rFonts w:hint="eastAsia" w:ascii="Times New Roman" w:hAnsi="Times New Roman" w:eastAsia="仿宋_GB2312"/>
          <w:sz w:val="30"/>
          <w:szCs w:val="30"/>
        </w:rPr>
        <w:t>涪陵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和开州</w:t>
      </w:r>
      <w:r>
        <w:rPr>
          <w:rFonts w:ascii="Times New Roman" w:hAnsi="Times New Roman" w:eastAsia="仿宋_GB2312"/>
          <w:sz w:val="30"/>
          <w:szCs w:val="30"/>
        </w:rPr>
        <w:t>区，共排放1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75万吨，占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</w:t>
      </w:r>
      <w:r>
        <w:rPr>
          <w:rFonts w:hint="eastAsia" w:ascii="Times New Roman" w:hAnsi="Times New Roman" w:eastAsia="仿宋_GB2312"/>
          <w:sz w:val="30"/>
          <w:szCs w:val="30"/>
        </w:rPr>
        <w:t>4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7%。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全市工业挥发性有机物排放量</w:t>
      </w:r>
      <w:r>
        <w:rPr>
          <w:rFonts w:ascii="Times New Roman" w:hAnsi="Times New Roman" w:eastAsia="仿宋_GB2312"/>
          <w:sz w:val="30"/>
          <w:szCs w:val="30"/>
        </w:rPr>
        <w:t>4.20</w:t>
      </w:r>
      <w:r>
        <w:rPr>
          <w:rFonts w:hint="eastAsia" w:ascii="Times New Roman" w:hAnsi="Times New Roman" w:eastAsia="仿宋_GB2312"/>
          <w:sz w:val="30"/>
          <w:szCs w:val="30"/>
        </w:rPr>
        <w:t>万吨。其中，主城都市区工业挥发性有机物排放</w:t>
      </w:r>
      <w:r>
        <w:rPr>
          <w:rFonts w:ascii="Times New Roman" w:hAnsi="Times New Roman" w:eastAsia="仿宋_GB2312"/>
          <w:sz w:val="30"/>
          <w:szCs w:val="30"/>
        </w:rPr>
        <w:t>3.88</w:t>
      </w:r>
      <w:r>
        <w:rPr>
          <w:rFonts w:hint="eastAsia" w:ascii="Times New Roman" w:hAnsi="Times New Roman" w:eastAsia="仿宋_GB2312"/>
          <w:sz w:val="30"/>
          <w:szCs w:val="30"/>
        </w:rPr>
        <w:t>万吨，占</w:t>
      </w:r>
      <w:r>
        <w:rPr>
          <w:rFonts w:ascii="Times New Roman" w:hAnsi="Times New Roman" w:eastAsia="仿宋_GB2312"/>
          <w:sz w:val="30"/>
          <w:szCs w:val="30"/>
        </w:rPr>
        <w:t>92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%；渝东北三峡库区城镇群工业挥发性有机物排放</w:t>
      </w:r>
      <w:r>
        <w:rPr>
          <w:rFonts w:ascii="Times New Roman" w:hAnsi="Times New Roman" w:eastAsia="仿宋_GB2312"/>
          <w:sz w:val="30"/>
          <w:szCs w:val="30"/>
        </w:rPr>
        <w:t>2651.58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6.3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%；渝东南武陵山区城镇群工业挥发性有机物排放</w:t>
      </w:r>
      <w:r>
        <w:rPr>
          <w:rFonts w:ascii="Times New Roman" w:hAnsi="Times New Roman" w:eastAsia="仿宋_GB2312"/>
          <w:sz w:val="30"/>
          <w:szCs w:val="30"/>
        </w:rPr>
        <w:t>492.84</w:t>
      </w:r>
      <w:r>
        <w:rPr>
          <w:rFonts w:hint="eastAsia" w:ascii="Times New Roman" w:hAnsi="Times New Roman" w:eastAsia="仿宋_GB2312"/>
          <w:sz w:val="30"/>
          <w:szCs w:val="30"/>
        </w:rPr>
        <w:t>吨，占</w:t>
      </w:r>
      <w:r>
        <w:rPr>
          <w:rFonts w:ascii="Times New Roman" w:hAnsi="Times New Roman" w:eastAsia="仿宋_GB2312"/>
          <w:sz w:val="30"/>
          <w:szCs w:val="30"/>
        </w:rPr>
        <w:t>1.2</w:t>
      </w:r>
      <w:r>
        <w:rPr>
          <w:rFonts w:hint="eastAsia" w:ascii="Times New Roman" w:hAnsi="Times New Roman" w:eastAsia="仿宋_GB2312"/>
          <w:sz w:val="30"/>
          <w:szCs w:val="30"/>
        </w:rPr>
        <w:t>%。挥发性有机物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前5的区县依次是</w:t>
      </w:r>
      <w:r>
        <w:rPr>
          <w:rFonts w:hint="eastAsia" w:ascii="Times New Roman" w:hAnsi="Times New Roman" w:eastAsia="仿宋_GB2312"/>
          <w:sz w:val="30"/>
          <w:szCs w:val="30"/>
        </w:rPr>
        <w:t>涪陵区</w:t>
      </w:r>
      <w:r>
        <w:rPr>
          <w:rFonts w:ascii="Times New Roman" w:hAnsi="Times New Roman" w:eastAsia="仿宋_GB2312"/>
          <w:sz w:val="30"/>
          <w:szCs w:val="30"/>
        </w:rPr>
        <w:t>、长寿区、</w:t>
      </w:r>
      <w:r>
        <w:rPr>
          <w:rFonts w:hint="eastAsia" w:ascii="Times New Roman" w:hAnsi="Times New Roman" w:eastAsia="仿宋_GB2312"/>
          <w:sz w:val="30"/>
          <w:szCs w:val="30"/>
        </w:rPr>
        <w:t>两江新区、江津</w:t>
      </w:r>
      <w:r>
        <w:rPr>
          <w:rFonts w:ascii="Times New Roman" w:hAnsi="Times New Roman" w:eastAsia="仿宋_GB2312"/>
          <w:sz w:val="30"/>
          <w:szCs w:val="30"/>
        </w:rPr>
        <w:t>区</w:t>
      </w:r>
      <w:r>
        <w:rPr>
          <w:rFonts w:hint="eastAsia" w:ascii="Times New Roman" w:hAnsi="Times New Roman" w:eastAsia="仿宋_GB2312"/>
          <w:sz w:val="30"/>
          <w:szCs w:val="30"/>
        </w:rPr>
        <w:t>、巴南区</w:t>
      </w:r>
      <w:r>
        <w:rPr>
          <w:rFonts w:ascii="Times New Roman" w:hAnsi="Times New Roman" w:eastAsia="仿宋_GB2312"/>
          <w:sz w:val="30"/>
          <w:szCs w:val="30"/>
        </w:rPr>
        <w:t>，共排放3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06万吨，占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量的72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9%。</w:t>
      </w:r>
    </w:p>
    <w:p>
      <w:pPr>
        <w:snapToGrid w:val="0"/>
        <w:spacing w:line="360" w:lineRule="auto"/>
        <w:ind w:firstLine="281" w:firstLineChars="100"/>
        <w:jc w:val="center"/>
        <w:rPr>
          <w:rFonts w:ascii="Times New Roman" w:hAnsi="Times New Roman" w:eastAsia="仿宋_GB2312"/>
          <w:b/>
          <w:szCs w:val="28"/>
        </w:rPr>
      </w:pPr>
      <w:r>
        <w:rPr>
          <w:rFonts w:hint="eastAsia" w:ascii="Times New Roman" w:hAnsi="Times New Roman" w:eastAsia="仿宋_GB2312"/>
          <w:b/>
          <w:szCs w:val="28"/>
        </w:rPr>
        <w:t xml:space="preserve"> </w:t>
      </w:r>
      <w:r>
        <w:rPr>
          <w:rFonts w:ascii="Times New Roman" w:hAnsi="Times New Roman" w:eastAsia="仿宋_GB2312"/>
          <w:b/>
          <w:szCs w:val="28"/>
        </w:rPr>
        <w:t xml:space="preserve"> </w:t>
      </w:r>
      <w:r>
        <w:rPr>
          <w:rFonts w:hint="eastAsia" w:ascii="Times New Roman" w:hAnsi="Times New Roman" w:eastAsia="仿宋_GB2312"/>
          <w:b/>
          <w:szCs w:val="28"/>
        </w:rPr>
        <w:t>表</w:t>
      </w:r>
      <w:r>
        <w:rPr>
          <w:rFonts w:ascii="Times New Roman" w:hAnsi="Times New Roman" w:eastAsia="仿宋_GB2312"/>
          <w:b/>
          <w:szCs w:val="28"/>
        </w:rPr>
        <w:t>3-1   2022年全市各区县</w:t>
      </w:r>
      <w:r>
        <w:rPr>
          <w:rFonts w:hint="eastAsia" w:ascii="Times New Roman" w:hAnsi="Times New Roman" w:eastAsia="仿宋_GB2312"/>
          <w:b/>
          <w:szCs w:val="28"/>
        </w:rPr>
        <w:t>工业</w:t>
      </w:r>
      <w:r>
        <w:rPr>
          <w:rFonts w:ascii="Times New Roman" w:hAnsi="Times New Roman" w:eastAsia="仿宋_GB2312"/>
          <w:b/>
          <w:szCs w:val="28"/>
        </w:rPr>
        <w:t>废气主要污染物排放情况</w:t>
      </w:r>
    </w:p>
    <w:tbl>
      <w:tblPr>
        <w:tblStyle w:val="72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3"/>
        <w:gridCol w:w="1068"/>
        <w:gridCol w:w="1070"/>
        <w:gridCol w:w="1070"/>
        <w:gridCol w:w="1070"/>
        <w:gridCol w:w="1070"/>
        <w:gridCol w:w="10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tblHeader/>
        </w:trPr>
        <w:tc>
          <w:tcPr>
            <w:tcW w:w="12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区县</w:t>
            </w:r>
          </w:p>
        </w:tc>
        <w:tc>
          <w:tcPr>
            <w:tcW w:w="6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企业数（个）</w:t>
            </w:r>
          </w:p>
        </w:tc>
        <w:tc>
          <w:tcPr>
            <w:tcW w:w="6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废气排放量（亿立方米）</w:t>
            </w:r>
          </w:p>
        </w:tc>
        <w:tc>
          <w:tcPr>
            <w:tcW w:w="6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二氧化硫排放量（吨）</w:t>
            </w:r>
          </w:p>
        </w:tc>
        <w:tc>
          <w:tcPr>
            <w:tcW w:w="6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氮氧化物排放量（吨）</w:t>
            </w:r>
          </w:p>
        </w:tc>
        <w:tc>
          <w:tcPr>
            <w:tcW w:w="6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颗粒物</w:t>
            </w:r>
          </w:p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排放量（吨）</w:t>
            </w:r>
          </w:p>
        </w:tc>
        <w:tc>
          <w:tcPr>
            <w:tcW w:w="6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b/>
                <w:color w:val="000000"/>
                <w:kern w:val="0"/>
                <w:sz w:val="18"/>
                <w:szCs w:val="18"/>
              </w:rPr>
              <w:t>挥发性有机物排放量（吨）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全市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13507.34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36836.59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60858.61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37555.74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41975.97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主城都市区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2090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11134.49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27294.48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42897.99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23657.63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38831.55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ind w:firstLine="360" w:firstLineChars="20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中心城区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2301.62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2161.16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6439.35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3963.38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8562.36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ind w:firstLine="360" w:firstLineChars="200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主城新区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8832.87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25133.32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36458.64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19694.25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30269.19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渝东北三峡库区城镇群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1834.42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6956.24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14057.54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10956.88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2651.58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渝东南武陵山区城镇群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538.42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2585.86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3903.08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2941.23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492.84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万州区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629.54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2219.20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3111.51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1054.88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1621.99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涪陵区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914.55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3683.93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3499.99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2694.11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10692.08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渝中区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大渡口区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64.53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350.33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863.52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1388.61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江北区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37.51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19.96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沙坪坝区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56.66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148.24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436.72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484.36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79.55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九龙坡区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311.36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1019.62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337.90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483.69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611.55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南岸区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39.68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37.67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61.18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193.98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794.72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北碚区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223.68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192.72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590.06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639.65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156.96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綦江区（含万盛）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992.70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4946.58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5076.17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2643.82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720.32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大足区（含双桥）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372.97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295.18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209.17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277.20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611.62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渝北区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161.02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41.61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467.72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34.08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320.79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巴南区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273.49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323.32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3132.33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495.02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1923.30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黔江区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64.98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273.14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1176.59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1193.37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312.61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长寿区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3581.83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6795.90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12302.84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5035.61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10297.88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江津区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1034.53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2311.09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4536.37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1643.12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3732.48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合川区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706.53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2766.84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4101.27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2949.20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361.51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永川区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433.26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1242.99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2243.63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1084.91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1709.80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南川区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274.34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741.45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1299.12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1269.20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336.02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璧山区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125.64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543.89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867.55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626.64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602.09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铜梁区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109.33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529.92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530.28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1004.04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731.30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潼南区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116.90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932.42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788.73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364.13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57.91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荣昌区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170.29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343.14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1003.53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102.28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416.18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开州区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200.09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850.20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1442.51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2631.58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226.85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梁平区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45.07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311.91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667.27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479.12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武隆区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64.31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77.01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104.37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122.04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0.19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两江新区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909.65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41.72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514.49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181.82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3945.35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高新区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224.05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5.21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25.70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42.20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581.40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城口县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9.61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4.92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丰都县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424.36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1736.53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5392.82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4229.94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57.71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垫江县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68.63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198.12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372.43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334.66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402.64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忠县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163.78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93.11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1317.40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1690.03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236.88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云阳县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22.28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254.48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145.02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96.46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66.41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奉节县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261.59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1202.35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1519.23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377.56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9.89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巫山县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3.58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76.97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54.20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5.73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巫溪县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5.90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11.29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30.23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25.81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石柱县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196.55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476.38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801.99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562.70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133.47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秀山县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69.64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1552.18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1281.38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418.68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酉阳县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113.51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175.30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279.40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207.55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38.32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  <w:t>彭水县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29.43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31.84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259.35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436.90</w:t>
            </w:r>
          </w:p>
        </w:tc>
        <w:tc>
          <w:tcPr>
            <w:tcW w:w="6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等线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等线"/>
                <w:color w:val="000000"/>
                <w:sz w:val="18"/>
                <w:szCs w:val="18"/>
              </w:rPr>
              <w:t>5.51</w:t>
            </w:r>
          </w:p>
        </w:tc>
      </w:tr>
    </w:tbl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35" w:name="_Toc92810252"/>
      <w:bookmarkStart w:id="36" w:name="_Toc531962679"/>
      <w:r>
        <w:rPr>
          <w:rFonts w:ascii="Times New Roman" w:hAnsi="Times New Roman"/>
        </w:rPr>
        <w:t>3.3各行业废气中主要污染物排放情况</w:t>
      </w:r>
      <w:bookmarkEnd w:id="35"/>
      <w:bookmarkEnd w:id="36"/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3.3.1二氧化硫排放情况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2022年全市</w:t>
      </w:r>
      <w:r>
        <w:rPr>
          <w:rFonts w:hint="eastAsia" w:ascii="Times New Roman" w:hAnsi="Times New Roman" w:eastAsia="仿宋_GB2312"/>
          <w:sz w:val="30"/>
          <w:szCs w:val="30"/>
        </w:rPr>
        <w:t>二氧化硫</w:t>
      </w:r>
      <w:r>
        <w:rPr>
          <w:rFonts w:ascii="Times New Roman" w:hAnsi="Times New Roman" w:eastAsia="仿宋_GB2312"/>
          <w:sz w:val="30"/>
          <w:szCs w:val="30"/>
        </w:rPr>
        <w:t>排放量最大的行业为非金属矿物制品业，</w:t>
      </w:r>
      <w:r>
        <w:rPr>
          <w:rFonts w:hint="eastAsia" w:ascii="Times New Roman" w:hAnsi="Times New Roman" w:eastAsia="仿宋_GB2312"/>
          <w:sz w:val="30"/>
          <w:szCs w:val="30"/>
        </w:rPr>
        <w:t>二氧化硫</w:t>
      </w:r>
      <w:r>
        <w:rPr>
          <w:rFonts w:ascii="Times New Roman" w:hAnsi="Times New Roman" w:eastAsia="仿宋_GB2312"/>
          <w:sz w:val="30"/>
          <w:szCs w:val="30"/>
        </w:rPr>
        <w:t>排放量1.19万吨，占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排放总量的32.3%；第二位是电力、热力生产和供应业，</w:t>
      </w:r>
      <w:r>
        <w:rPr>
          <w:rFonts w:hint="eastAsia" w:ascii="Times New Roman" w:hAnsi="Times New Roman" w:eastAsia="仿宋_GB2312"/>
          <w:sz w:val="30"/>
          <w:szCs w:val="30"/>
        </w:rPr>
        <w:t>二氧化硫</w:t>
      </w:r>
      <w:r>
        <w:rPr>
          <w:rFonts w:ascii="Times New Roman" w:hAnsi="Times New Roman" w:eastAsia="仿宋_GB2312"/>
          <w:sz w:val="30"/>
          <w:szCs w:val="30"/>
        </w:rPr>
        <w:t>排放量8747.55吨，占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排放总量的23.8%；其后是</w:t>
      </w:r>
      <w:r>
        <w:rPr>
          <w:rFonts w:ascii="Times New Roman" w:hAnsi="Times New Roman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有色金属冶炼</w:t>
      </w:r>
      <w:r>
        <w:rPr>
          <w:rFonts w:hint="eastAsia" w:ascii="Times New Roman" w:hAnsi="Times New Roman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压延加工</w:t>
      </w:r>
      <w:r>
        <w:rPr>
          <w:rFonts w:ascii="Times New Roman" w:hAnsi="Times New Roman" w:eastAsia="仿宋_GB2312"/>
          <w:sz w:val="30"/>
          <w:szCs w:val="30"/>
        </w:rPr>
        <w:t>业，</w:t>
      </w:r>
      <w:r>
        <w:rPr>
          <w:rFonts w:hint="eastAsia" w:ascii="Times New Roman" w:hAnsi="Times New Roman" w:eastAsia="仿宋_GB2312"/>
          <w:sz w:val="30"/>
          <w:szCs w:val="30"/>
        </w:rPr>
        <w:t>二氧化硫</w:t>
      </w:r>
      <w:r>
        <w:rPr>
          <w:rFonts w:ascii="Times New Roman" w:hAnsi="Times New Roman" w:eastAsia="仿宋_GB2312"/>
          <w:sz w:val="30"/>
          <w:szCs w:val="30"/>
        </w:rPr>
        <w:t>排放量5415.59吨，占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排放总量的14.7%。以上3个行业</w:t>
      </w:r>
      <w:r>
        <w:rPr>
          <w:rFonts w:hint="eastAsia" w:ascii="Times New Roman" w:hAnsi="Times New Roman" w:eastAsia="仿宋_GB2312"/>
          <w:sz w:val="30"/>
          <w:szCs w:val="30"/>
        </w:rPr>
        <w:t>二氧化硫</w:t>
      </w:r>
      <w:r>
        <w:rPr>
          <w:rFonts w:ascii="Times New Roman" w:hAnsi="Times New Roman" w:eastAsia="仿宋_GB2312"/>
          <w:sz w:val="30"/>
          <w:szCs w:val="30"/>
        </w:rPr>
        <w:t>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合</w:t>
      </w:r>
      <w:r>
        <w:rPr>
          <w:rFonts w:ascii="Times New Roman" w:hAnsi="Times New Roman" w:eastAsia="仿宋_GB2312"/>
          <w:sz w:val="30"/>
          <w:szCs w:val="30"/>
        </w:rPr>
        <w:t>计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</w:t>
      </w:r>
      <w:r>
        <w:rPr>
          <w:rFonts w:ascii="Times New Roman" w:hAnsi="Times New Roman" w:eastAsia="仿宋_GB2312"/>
          <w:sz w:val="30"/>
          <w:szCs w:val="30"/>
        </w:rPr>
        <w:t>2.60万吨，占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量的70.7%。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3.3.2氮氧化物排放情况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全市氮氧化物排放量最大的行业为非金属矿物制品业，氮氧化物排放量2.57万吨，占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排放总量的42.2%；第二位是电力、热力生产和供应业，氮氧化物排放量1.49万吨，占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排放总量的24.4%；其后是黑色金属冶炼及压延加工行业，氮氧化物排放量9628.58吨，占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排放总量的15.8%。以上3个行业氮氧化物排放量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合</w:t>
      </w:r>
      <w:r>
        <w:rPr>
          <w:rFonts w:ascii="Times New Roman" w:hAnsi="Times New Roman" w:eastAsia="仿宋_GB2312"/>
          <w:sz w:val="30"/>
          <w:szCs w:val="30"/>
        </w:rPr>
        <w:t>计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</w:t>
      </w:r>
      <w:r>
        <w:rPr>
          <w:rFonts w:ascii="Times New Roman" w:hAnsi="Times New Roman" w:eastAsia="仿宋_GB2312"/>
          <w:sz w:val="30"/>
          <w:szCs w:val="30"/>
        </w:rPr>
        <w:t>5.02万吨，占</w:t>
      </w:r>
      <w:r>
        <w:rPr>
          <w:rFonts w:hint="eastAsia" w:ascii="Times New Roman" w:hAnsi="Times New Roman" w:eastAsia="仿宋_GB2312"/>
          <w:sz w:val="30"/>
          <w:szCs w:val="30"/>
        </w:rPr>
        <w:t>全市工业源</w:t>
      </w:r>
      <w:r>
        <w:rPr>
          <w:rFonts w:ascii="Times New Roman" w:hAnsi="Times New Roman" w:eastAsia="仿宋_GB2312"/>
          <w:sz w:val="30"/>
          <w:szCs w:val="30"/>
        </w:rPr>
        <w:t>排放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总</w:t>
      </w:r>
      <w:r>
        <w:rPr>
          <w:rFonts w:ascii="Times New Roman" w:hAnsi="Times New Roman" w:eastAsia="仿宋_GB2312"/>
          <w:sz w:val="30"/>
          <w:szCs w:val="30"/>
        </w:rPr>
        <w:t>量的82.4%。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3.3.3颗粒物排放情况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全市颗粒物排放量最大的行业为非金属矿物制品业，颗粒物排放量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36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万吨，占全市工业源排放总量的</w:t>
      </w:r>
      <w:r>
        <w:rPr>
          <w:rFonts w:ascii="Times New Roman" w:hAnsi="Times New Roman" w:eastAsia="仿宋_GB2312"/>
          <w:sz w:val="30"/>
          <w:szCs w:val="30"/>
        </w:rPr>
        <w:t>62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eastAsia" w:ascii="Times New Roman" w:hAnsi="Times New Roman" w:eastAsia="仿宋_GB2312"/>
          <w:sz w:val="30"/>
          <w:szCs w:val="30"/>
        </w:rPr>
        <w:t>%；其次是黑色金属</w:t>
      </w:r>
      <w:r>
        <w:rPr>
          <w:rFonts w:ascii="Times New Roman" w:hAnsi="Times New Roman" w:eastAsia="仿宋_GB2312"/>
          <w:sz w:val="30"/>
          <w:szCs w:val="30"/>
        </w:rPr>
        <w:t>冶炼和压延加工业</w:t>
      </w:r>
      <w:r>
        <w:rPr>
          <w:rFonts w:hint="eastAsia" w:ascii="Times New Roman" w:hAnsi="Times New Roman" w:eastAsia="仿宋_GB2312"/>
          <w:sz w:val="30"/>
          <w:szCs w:val="30"/>
        </w:rPr>
        <w:t>，颗粒物排放量</w:t>
      </w:r>
      <w:r>
        <w:rPr>
          <w:rFonts w:ascii="Times New Roman" w:hAnsi="Times New Roman" w:eastAsia="仿宋_GB2312"/>
          <w:sz w:val="30"/>
          <w:szCs w:val="30"/>
        </w:rPr>
        <w:t>3982.45</w:t>
      </w:r>
      <w:r>
        <w:rPr>
          <w:rFonts w:hint="eastAsia" w:ascii="Times New Roman" w:hAnsi="Times New Roman" w:eastAsia="仿宋_GB2312"/>
          <w:sz w:val="30"/>
          <w:szCs w:val="30"/>
        </w:rPr>
        <w:t>吨，占全市工业源排放总量的1</w:t>
      </w:r>
      <w:r>
        <w:rPr>
          <w:rFonts w:ascii="Times New Roman" w:hAnsi="Times New Roman" w:eastAsia="仿宋_GB2312"/>
          <w:sz w:val="30"/>
          <w:szCs w:val="30"/>
        </w:rPr>
        <w:t>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%；其后是电力、</w:t>
      </w:r>
      <w:r>
        <w:rPr>
          <w:rFonts w:ascii="Times New Roman" w:hAnsi="Times New Roman" w:eastAsia="仿宋_GB2312"/>
          <w:sz w:val="30"/>
          <w:szCs w:val="30"/>
        </w:rPr>
        <w:t>热力生产和供应业</w:t>
      </w:r>
      <w:r>
        <w:rPr>
          <w:rFonts w:hint="eastAsia" w:ascii="Times New Roman" w:hAnsi="Times New Roman" w:eastAsia="仿宋_GB2312"/>
          <w:sz w:val="30"/>
          <w:szCs w:val="30"/>
        </w:rPr>
        <w:t>，颗粒物排放</w:t>
      </w:r>
      <w:r>
        <w:rPr>
          <w:rFonts w:ascii="Times New Roman" w:hAnsi="Times New Roman" w:eastAsia="仿宋_GB2312"/>
          <w:sz w:val="30"/>
          <w:szCs w:val="30"/>
        </w:rPr>
        <w:t>3970.74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万吨，占全市工业源排放总量的</w:t>
      </w:r>
      <w:r>
        <w:rPr>
          <w:rFonts w:ascii="Times New Roman" w:hAnsi="Times New Roman" w:eastAsia="仿宋_GB2312"/>
          <w:sz w:val="30"/>
          <w:szCs w:val="30"/>
        </w:rPr>
        <w:t>10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%。以上3个行业颗粒物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排放量合计为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16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万吨，占全市工业源排放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总</w:t>
      </w:r>
      <w:r>
        <w:rPr>
          <w:rFonts w:hint="eastAsia" w:ascii="Times New Roman" w:hAnsi="Times New Roman" w:eastAsia="仿宋_GB2312"/>
          <w:sz w:val="30"/>
          <w:szCs w:val="30"/>
        </w:rPr>
        <w:t>量的</w:t>
      </w:r>
      <w:r>
        <w:rPr>
          <w:rFonts w:ascii="Times New Roman" w:hAnsi="Times New Roman" w:eastAsia="仿宋_GB2312"/>
          <w:sz w:val="30"/>
          <w:szCs w:val="30"/>
        </w:rPr>
        <w:t>84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b/>
          <w:sz w:val="30"/>
          <w:szCs w:val="30"/>
        </w:rPr>
        <w:t>3.3.4</w:t>
      </w:r>
      <w:r>
        <w:rPr>
          <w:rFonts w:hint="eastAsia" w:ascii="Times New Roman" w:hAnsi="Times New Roman" w:eastAsia="仿宋_GB2312"/>
          <w:b/>
          <w:sz w:val="30"/>
          <w:szCs w:val="30"/>
        </w:rPr>
        <w:t>挥发性有机物</w:t>
      </w:r>
      <w:r>
        <w:rPr>
          <w:rFonts w:ascii="Times New Roman" w:hAnsi="Times New Roman" w:eastAsia="仿宋_GB2312"/>
          <w:b/>
          <w:sz w:val="30"/>
          <w:szCs w:val="30"/>
        </w:rPr>
        <w:t>排放情况</w:t>
      </w:r>
    </w:p>
    <w:p>
      <w:pPr>
        <w:tabs>
          <w:tab w:val="left" w:pos="4695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全市挥发性有机物排放量最大的行业为化学原料和化学制品制造业，挥发性有机物排放量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74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万吨，占全市工业源排放总量的</w:t>
      </w:r>
      <w:r>
        <w:rPr>
          <w:rFonts w:ascii="Times New Roman" w:hAnsi="Times New Roman" w:eastAsia="仿宋_GB2312"/>
          <w:sz w:val="30"/>
          <w:szCs w:val="30"/>
        </w:rPr>
        <w:t>41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%；其次是医药制造业，挥发性有机物排放量</w:t>
      </w:r>
      <w:r>
        <w:rPr>
          <w:rFonts w:ascii="Times New Roman" w:hAnsi="Times New Roman" w:eastAsia="仿宋_GB2312"/>
          <w:sz w:val="30"/>
          <w:szCs w:val="30"/>
        </w:rPr>
        <w:t>3733.83</w:t>
      </w:r>
      <w:r>
        <w:rPr>
          <w:rFonts w:hint="eastAsia" w:ascii="Times New Roman" w:hAnsi="Times New Roman" w:eastAsia="仿宋_GB2312"/>
          <w:sz w:val="30"/>
          <w:szCs w:val="30"/>
        </w:rPr>
        <w:t>吨，占全市工业源排放总量的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eastAsia" w:ascii="Times New Roman" w:hAnsi="Times New Roman" w:eastAsia="仿宋_GB2312"/>
          <w:sz w:val="30"/>
          <w:szCs w:val="30"/>
        </w:rPr>
        <w:t>%；其后是汽车制造业，挥发性有机物排放</w:t>
      </w:r>
      <w:r>
        <w:rPr>
          <w:rFonts w:ascii="Times New Roman" w:hAnsi="Times New Roman" w:eastAsia="仿宋_GB2312"/>
          <w:sz w:val="30"/>
          <w:szCs w:val="30"/>
        </w:rPr>
        <w:t>3600.98</w:t>
      </w:r>
      <w:r>
        <w:rPr>
          <w:rFonts w:hint="eastAsia" w:ascii="Times New Roman" w:hAnsi="Times New Roman" w:eastAsia="仿宋_GB2312"/>
          <w:sz w:val="30"/>
          <w:szCs w:val="30"/>
        </w:rPr>
        <w:t>吨，占全市工业源排放总量的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%。以上3个行业挥发性有机物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排放量合计为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47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万吨，占全市工业源排放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总</w:t>
      </w:r>
      <w:r>
        <w:rPr>
          <w:rFonts w:hint="eastAsia" w:ascii="Times New Roman" w:hAnsi="Times New Roman" w:eastAsia="仿宋_GB2312"/>
          <w:sz w:val="30"/>
          <w:szCs w:val="30"/>
        </w:rPr>
        <w:t>量的</w:t>
      </w:r>
      <w:r>
        <w:rPr>
          <w:rFonts w:ascii="Times New Roman" w:hAnsi="Times New Roman" w:eastAsia="仿宋_GB2312"/>
          <w:sz w:val="30"/>
          <w:szCs w:val="30"/>
        </w:rPr>
        <w:t>59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年工业废气主要污染物排放量行业分布情况见表3-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widowControl/>
        <w:spacing w:after="0"/>
        <w:jc w:val="left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br w:type="page"/>
      </w:r>
    </w:p>
    <w:p>
      <w:pPr>
        <w:snapToGrid w:val="0"/>
        <w:spacing w:line="360" w:lineRule="auto"/>
        <w:ind w:firstLine="281" w:firstLineChars="100"/>
        <w:jc w:val="center"/>
        <w:rPr>
          <w:rFonts w:ascii="Times New Roman" w:hAnsi="Times New Roman" w:eastAsia="仿宋_GB2312"/>
          <w:b/>
          <w:szCs w:val="28"/>
        </w:rPr>
      </w:pPr>
      <w:r>
        <w:rPr>
          <w:rFonts w:hint="eastAsia" w:ascii="Times New Roman" w:hAnsi="Times New Roman" w:eastAsia="仿宋_GB2312"/>
          <w:b/>
          <w:szCs w:val="28"/>
        </w:rPr>
        <w:t>表</w:t>
      </w:r>
      <w:r>
        <w:rPr>
          <w:rFonts w:ascii="Times New Roman" w:hAnsi="Times New Roman" w:eastAsia="仿宋_GB2312"/>
          <w:b/>
          <w:szCs w:val="28"/>
        </w:rPr>
        <w:t>3</w:t>
      </w:r>
      <w:r>
        <w:rPr>
          <w:rFonts w:hint="eastAsia" w:ascii="Times New Roman" w:hAnsi="Times New Roman" w:eastAsia="仿宋_GB2312"/>
          <w:b/>
          <w:szCs w:val="28"/>
        </w:rPr>
        <w:t>-2  202</w:t>
      </w:r>
      <w:r>
        <w:rPr>
          <w:rFonts w:ascii="Times New Roman" w:hAnsi="Times New Roman" w:eastAsia="仿宋_GB2312"/>
          <w:b/>
          <w:szCs w:val="28"/>
        </w:rPr>
        <w:t>2</w:t>
      </w:r>
      <w:r>
        <w:rPr>
          <w:rFonts w:hint="eastAsia" w:ascii="Times New Roman" w:hAnsi="Times New Roman" w:eastAsia="仿宋_GB2312"/>
          <w:b/>
          <w:szCs w:val="28"/>
        </w:rPr>
        <w:t>年全市工业废气主要污染物分行业排放</w:t>
      </w:r>
    </w:p>
    <w:tbl>
      <w:tblPr>
        <w:tblStyle w:val="72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0"/>
        <w:gridCol w:w="984"/>
        <w:gridCol w:w="984"/>
        <w:gridCol w:w="984"/>
        <w:gridCol w:w="983"/>
        <w:gridCol w:w="983"/>
        <w:gridCol w:w="9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15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7" w:name="OLE_LINK1"/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行业</w:t>
            </w:r>
            <w:r>
              <w:rPr>
                <w:rFonts w:hint="eastAsia"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企业数（个）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废气排放量（亿立方米）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二氧化硫排放量（吨）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氮氧化物排放量（吨）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颗粒物排放量（吨）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kern w:val="0"/>
                <w:sz w:val="18"/>
                <w:szCs w:val="18"/>
              </w:rPr>
              <w:t>挥发性有机物排放量（吨）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农、林、牧、渔专业及辅助性活动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煤炭开采和洗选业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72.36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石油和天然气开采业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333.95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39.26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2.47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有色金属矿采选业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6.37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2.22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非金属矿采选业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49.55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0.62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361.87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开采专业及辅助性活动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农副食品加工业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30.83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50.27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83.59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59.43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848.97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食品制造业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84.26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592.93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363.50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69.97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酒、饮料和精制茶制造业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16.45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24.77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37.17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22.34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烟草制品业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8.51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555.05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纺织业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12.41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12.24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3.57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纺织服装、服饰业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皮革、毛皮、羽毛及其制品和制鞋业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3.11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15.43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木材加工和木、竹、藤、棕、草制品业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44.51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41.63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50.26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87.47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435.84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家具制造业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42.80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34.58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113.24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造纸和纸制品业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180.28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850.90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1089.67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170.33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2770.07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印刷和记录媒介复制业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62.93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2.78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1751.44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文教、工美、体育和娱乐用品制造业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石油、煤炭及其他燃料加工业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4.18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3.51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0.60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化学原料和化学制品制造业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1056.90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3335.29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3965.84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2633.77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17415.34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医药制造业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691.14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7.14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47.36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7.96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3733.83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化学纤维制造业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11.34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82.71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44.57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3.85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橡胶和塑料制品业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154.31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98.03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111.22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72.25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1429.59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非金属矿物制品业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2634.42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11881.28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25695.08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23610.24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958.75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黑色金属冶炼和压延加工业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2415.61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5297.09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9628.58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3982.45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2465.53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有色金属冶炼和压延加工业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1032.69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5415.59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1746.61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784.93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339.98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金属制品业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255.41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8.98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63.82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168.97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656.09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通用设备制造业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76.97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0.98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1856.56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128.35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787.80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专用设备制造业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19.69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0.49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2.03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23.44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121.45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汽车制造业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951.78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29.16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302.89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287.72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3600.98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铁路、船舶、航空航天和其他运输设备制造业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145.87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2.14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553.70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274.48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818.28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电气机械和器材制造业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86.74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22.80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483.06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计算机、通信和其他电子设备制造业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588.66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82.32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55.74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2621.88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仪器仪表制造业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5.41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其他制造业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13.67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0.20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2.09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4.96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废弃资源综合利用业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14.10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21.11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41.28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64.32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金属制品、机械和设备修理业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0.36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电力、热力生产和供应业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2783.71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8747.55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14851.80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3970.74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253.61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>燃气生产和供应业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0.05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0.76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1.06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0.03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3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after="0" w:line="360" w:lineRule="exact"/>
              <w:jc w:val="left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Theme="minorEastAsia"/>
                <w:color w:val="000000"/>
                <w:sz w:val="18"/>
                <w:szCs w:val="18"/>
              </w:rPr>
              <w:t xml:space="preserve">水的生产和供应业  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0.09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0.01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after="0" w:line="360" w:lineRule="exact"/>
              <w:jc w:val="center"/>
              <w:rPr>
                <w:rFonts w:ascii="Times New Roman" w:hAnsi="Times New Roman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bookmarkEnd w:id="37"/>
    </w:tbl>
    <w:p>
      <w:pPr>
        <w:pStyle w:val="5"/>
        <w:rPr>
          <w:rFonts w:ascii="Times New Roman" w:hAnsi="Times New Roman"/>
        </w:rPr>
      </w:pPr>
      <w:bookmarkStart w:id="38" w:name="_Toc92810253"/>
      <w:r>
        <w:rPr>
          <w:rFonts w:hint="eastAsia" w:ascii="Times New Roman" w:hAnsi="Times New Roman"/>
        </w:rPr>
        <w:t>4工业固体废物产生及处理情况</w:t>
      </w:r>
      <w:bookmarkEnd w:id="38"/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39" w:name="_Toc357521532"/>
      <w:bookmarkStart w:id="40" w:name="_Toc357588939"/>
      <w:bookmarkStart w:id="41" w:name="_Toc388968373"/>
      <w:bookmarkStart w:id="42" w:name="_Toc388968000"/>
      <w:bookmarkStart w:id="43" w:name="_Toc362874897"/>
      <w:bookmarkStart w:id="44" w:name="_Toc388538331"/>
      <w:bookmarkStart w:id="45" w:name="_Toc357691568"/>
      <w:bookmarkStart w:id="46" w:name="_Toc424740097"/>
      <w:bookmarkStart w:id="47" w:name="_Toc391563639"/>
      <w:bookmarkStart w:id="48" w:name="_Toc388964312"/>
      <w:bookmarkStart w:id="49" w:name="_Toc92810254"/>
      <w:bookmarkStart w:id="50" w:name="_Toc392150696"/>
      <w:bookmarkStart w:id="51" w:name="_Toc8696901"/>
      <w:bookmarkStart w:id="52" w:name="_Toc10952633"/>
      <w:r>
        <w:rPr>
          <w:rFonts w:hint="eastAsia" w:ascii="Times New Roman" w:hAnsi="Times New Roman"/>
        </w:rPr>
        <w:t>4</w:t>
      </w:r>
      <w:r>
        <w:rPr>
          <w:rFonts w:ascii="Times New Roman" w:hAnsi="Times New Roman"/>
        </w:rPr>
        <w:t>.1</w:t>
      </w:r>
      <w:r>
        <w:rPr>
          <w:rFonts w:hint="eastAsia" w:ascii="Times New Roman" w:hAnsi="Times New Roman"/>
        </w:rPr>
        <w:t>一般工业</w:t>
      </w:r>
      <w:r>
        <w:rPr>
          <w:rFonts w:ascii="Times New Roman" w:hAnsi="Times New Roman"/>
        </w:rPr>
        <w:t>固体废物</w:t>
      </w:r>
      <w:r>
        <w:rPr>
          <w:rFonts w:hint="eastAsia" w:ascii="Times New Roman" w:hAnsi="Times New Roman"/>
        </w:rPr>
        <w:t>和危险废物</w:t>
      </w:r>
      <w:r>
        <w:rPr>
          <w:rFonts w:ascii="Times New Roman" w:hAnsi="Times New Roman"/>
        </w:rPr>
        <w:t>产生及</w:t>
      </w:r>
      <w:r>
        <w:rPr>
          <w:rFonts w:hint="eastAsia" w:ascii="Times New Roman" w:hAnsi="Times New Roman"/>
        </w:rPr>
        <w:t>利用</w:t>
      </w:r>
      <w:r>
        <w:rPr>
          <w:rFonts w:ascii="Times New Roman" w:hAnsi="Times New Roman"/>
        </w:rPr>
        <w:t>处</w:t>
      </w:r>
      <w:r>
        <w:rPr>
          <w:rFonts w:hint="eastAsia" w:ascii="Times New Roman" w:hAnsi="Times New Roman"/>
        </w:rPr>
        <w:t>置</w:t>
      </w:r>
      <w:r>
        <w:rPr>
          <w:rFonts w:ascii="Times New Roman" w:hAnsi="Times New Roman"/>
        </w:rPr>
        <w:t>情况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 w:eastAsia="仿宋_GB2312"/>
          <w:sz w:val="30"/>
          <w:szCs w:val="30"/>
        </w:rPr>
        <w:t>2022年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ascii="Times New Roman" w:hAnsi="Times New Roman" w:eastAsia="仿宋_GB2312"/>
          <w:sz w:val="30"/>
          <w:szCs w:val="30"/>
        </w:rPr>
        <w:t>全市</w:t>
      </w:r>
      <w:r>
        <w:rPr>
          <w:rFonts w:hint="eastAsia" w:ascii="Times New Roman" w:hAnsi="Times New Roman" w:eastAsia="仿宋_GB2312"/>
          <w:sz w:val="30"/>
          <w:szCs w:val="30"/>
        </w:rPr>
        <w:t>一般工业固体废物产生量2</w:t>
      </w:r>
      <w:r>
        <w:rPr>
          <w:rFonts w:ascii="Times New Roman" w:hAnsi="Times New Roman" w:eastAsia="仿宋_GB2312"/>
          <w:sz w:val="30"/>
          <w:szCs w:val="30"/>
        </w:rPr>
        <w:t>472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24</w:t>
      </w:r>
      <w:r>
        <w:rPr>
          <w:rFonts w:hint="eastAsia" w:ascii="Times New Roman" w:hAnsi="Times New Roman" w:eastAsia="仿宋_GB2312"/>
          <w:sz w:val="30"/>
          <w:szCs w:val="30"/>
        </w:rPr>
        <w:t>万吨，一般工业固体废物综合利用量19</w:t>
      </w:r>
      <w:r>
        <w:rPr>
          <w:rFonts w:ascii="Times New Roman" w:hAnsi="Times New Roman" w:eastAsia="仿宋_GB2312"/>
          <w:sz w:val="30"/>
          <w:szCs w:val="30"/>
        </w:rPr>
        <w:t>70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78</w:t>
      </w:r>
      <w:r>
        <w:rPr>
          <w:rFonts w:hint="eastAsia" w:ascii="Times New Roman" w:hAnsi="Times New Roman" w:eastAsia="仿宋_GB2312"/>
          <w:sz w:val="30"/>
          <w:szCs w:val="30"/>
        </w:rPr>
        <w:t>万吨（含利用往年贮存量），综合利用率为</w:t>
      </w:r>
      <w:r>
        <w:rPr>
          <w:rFonts w:ascii="Times New Roman" w:hAnsi="Times New Roman" w:eastAsia="仿宋_GB2312"/>
          <w:sz w:val="30"/>
          <w:szCs w:val="30"/>
        </w:rPr>
        <w:t>79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3%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年全市工业危险废物产生量</w:t>
      </w:r>
      <w:r>
        <w:rPr>
          <w:rFonts w:ascii="Times New Roman" w:hAnsi="Times New Roman" w:eastAsia="仿宋_GB2312"/>
          <w:sz w:val="30"/>
          <w:szCs w:val="30"/>
        </w:rPr>
        <w:t>109</w:t>
      </w:r>
      <w:r>
        <w:rPr>
          <w:rFonts w:hint="eastAsia" w:ascii="Times New Roman" w:hAnsi="Times New Roman" w:eastAsia="仿宋_GB2312"/>
          <w:sz w:val="30"/>
          <w:szCs w:val="30"/>
        </w:rPr>
        <w:t>.5</w:t>
      </w:r>
      <w:r>
        <w:rPr>
          <w:rFonts w:ascii="Times New Roman" w:hAnsi="Times New Roman" w:eastAsia="仿宋_GB2312"/>
          <w:sz w:val="30"/>
          <w:szCs w:val="30"/>
        </w:rPr>
        <w:t>6</w:t>
      </w:r>
      <w:r>
        <w:rPr>
          <w:rFonts w:hint="eastAsia" w:ascii="Times New Roman" w:hAnsi="Times New Roman" w:eastAsia="仿宋_GB2312"/>
          <w:sz w:val="30"/>
          <w:szCs w:val="30"/>
        </w:rPr>
        <w:t>万吨，利用处置量1</w:t>
      </w:r>
      <w:r>
        <w:rPr>
          <w:rFonts w:ascii="Times New Roman" w:hAnsi="Times New Roman" w:eastAsia="仿宋_GB2312"/>
          <w:sz w:val="30"/>
          <w:szCs w:val="30"/>
        </w:rPr>
        <w:t>11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万吨（含利用处置往年贮存量），无倾倒丢弃量。</w:t>
      </w:r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53" w:name="_Toc531962683"/>
      <w:bookmarkStart w:id="54" w:name="_Toc92810255"/>
      <w:r>
        <w:rPr>
          <w:rFonts w:ascii="Times New Roman" w:hAnsi="Times New Roman"/>
        </w:rPr>
        <w:t>4.2</w:t>
      </w:r>
      <w:r>
        <w:rPr>
          <w:rFonts w:hint="eastAsia" w:ascii="Times New Roman" w:hAnsi="Times New Roman"/>
        </w:rPr>
        <w:t>一般工业固体废物和危险废物区域分布</w:t>
      </w:r>
      <w:bookmarkEnd w:id="53"/>
      <w:r>
        <w:rPr>
          <w:rFonts w:hint="eastAsia" w:ascii="Times New Roman" w:hAnsi="Times New Roman"/>
        </w:rPr>
        <w:t>情况</w:t>
      </w:r>
      <w:bookmarkEnd w:id="54"/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年全市一般工业固体废物产生量主要集中在主城都市区。主城都市区一般工业固体废物产生量</w:t>
      </w:r>
      <w:r>
        <w:rPr>
          <w:rFonts w:ascii="Times New Roman" w:hAnsi="Times New Roman" w:eastAsia="仿宋_GB2312"/>
          <w:sz w:val="30"/>
          <w:szCs w:val="30"/>
        </w:rPr>
        <w:t>1950.39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万吨，占全市一般工业固体废物产生总量的</w:t>
      </w:r>
      <w:r>
        <w:rPr>
          <w:rFonts w:ascii="Times New Roman" w:hAnsi="Times New Roman" w:eastAsia="仿宋_GB2312"/>
          <w:sz w:val="30"/>
          <w:szCs w:val="30"/>
        </w:rPr>
        <w:t>78.9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%；渝东北三峡库区城镇群一般工业固体废物产生量</w:t>
      </w:r>
      <w:r>
        <w:rPr>
          <w:rFonts w:ascii="Times New Roman" w:hAnsi="Times New Roman" w:eastAsia="仿宋_GB2312"/>
          <w:sz w:val="30"/>
          <w:szCs w:val="30"/>
        </w:rPr>
        <w:t>444.30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万吨，占全市一般工业固体废物产生总量的</w:t>
      </w:r>
      <w:r>
        <w:rPr>
          <w:rFonts w:ascii="Times New Roman" w:hAnsi="Times New Roman" w:eastAsia="仿宋_GB2312"/>
          <w:sz w:val="30"/>
          <w:szCs w:val="30"/>
        </w:rPr>
        <w:t>18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%；渝东南武陵山区城镇群一般工业固体废物产生量</w:t>
      </w:r>
      <w:r>
        <w:rPr>
          <w:rFonts w:ascii="Times New Roman" w:hAnsi="Times New Roman" w:eastAsia="仿宋_GB2312"/>
          <w:sz w:val="30"/>
          <w:szCs w:val="30"/>
        </w:rPr>
        <w:t>77.54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万吨，占全市一般工业固体废物产生总量的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%。一般工业固体废物产生量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ascii="Times New Roman" w:hAnsi="Times New Roman" w:eastAsia="仿宋_GB2312"/>
          <w:sz w:val="30"/>
          <w:szCs w:val="30"/>
        </w:rPr>
        <w:t>前</w:t>
      </w:r>
      <w:r>
        <w:rPr>
          <w:rFonts w:hint="eastAsia" w:ascii="Times New Roman" w:hAnsi="Times New Roman" w:eastAsia="仿宋_GB2312"/>
          <w:sz w:val="30"/>
          <w:szCs w:val="30"/>
        </w:rPr>
        <w:t>5</w:t>
      </w:r>
      <w:r>
        <w:rPr>
          <w:rFonts w:ascii="Times New Roman" w:hAnsi="Times New Roman" w:eastAsia="仿宋_GB2312"/>
          <w:sz w:val="30"/>
          <w:szCs w:val="30"/>
        </w:rPr>
        <w:t>的</w:t>
      </w:r>
      <w:r>
        <w:rPr>
          <w:rFonts w:hint="eastAsia" w:ascii="Times New Roman" w:hAnsi="Times New Roman" w:eastAsia="仿宋_GB2312"/>
          <w:sz w:val="30"/>
          <w:szCs w:val="30"/>
        </w:rPr>
        <w:t>区县依次是长寿区、万州</w:t>
      </w:r>
      <w:r>
        <w:rPr>
          <w:rFonts w:ascii="Times New Roman" w:hAnsi="Times New Roman" w:eastAsia="仿宋_GB2312"/>
          <w:sz w:val="30"/>
          <w:szCs w:val="30"/>
        </w:rPr>
        <w:t>区、</w:t>
      </w:r>
      <w:r>
        <w:rPr>
          <w:rFonts w:hint="eastAsia" w:ascii="Times New Roman" w:hAnsi="Times New Roman" w:eastAsia="仿宋_GB2312"/>
          <w:sz w:val="30"/>
          <w:szCs w:val="30"/>
        </w:rPr>
        <w:t>綦江区（含万盛经开区）、江津区和涪陵区，共产生1</w:t>
      </w:r>
      <w:r>
        <w:rPr>
          <w:rFonts w:ascii="Times New Roman" w:hAnsi="Times New Roman" w:eastAsia="仿宋_GB2312"/>
          <w:sz w:val="30"/>
          <w:szCs w:val="30"/>
        </w:rPr>
        <w:t>659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85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万吨，占全市工业固体废物产生总量的</w:t>
      </w:r>
      <w:r>
        <w:rPr>
          <w:rFonts w:ascii="Times New Roman" w:hAnsi="Times New Roman" w:eastAsia="仿宋_GB2312"/>
          <w:sz w:val="30"/>
          <w:szCs w:val="30"/>
        </w:rPr>
        <w:t>67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202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年全市工业危险废物产生量也主要集中在主城都市区。主城都市区工业危险废物产生量</w:t>
      </w:r>
      <w:r>
        <w:rPr>
          <w:rFonts w:ascii="Times New Roman" w:hAnsi="Times New Roman" w:eastAsia="仿宋_GB2312"/>
          <w:sz w:val="30"/>
          <w:szCs w:val="30"/>
        </w:rPr>
        <w:t>104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02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万吨，占全市工业危险废物产生总量的</w:t>
      </w:r>
      <w:r>
        <w:rPr>
          <w:rFonts w:ascii="Times New Roman" w:hAnsi="Times New Roman" w:eastAsia="仿宋_GB2312"/>
          <w:sz w:val="30"/>
          <w:szCs w:val="30"/>
        </w:rPr>
        <w:t>94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9</w:t>
      </w:r>
      <w:r>
        <w:rPr>
          <w:rFonts w:hint="eastAsia" w:ascii="Times New Roman" w:hAnsi="Times New Roman" w:eastAsia="仿宋_GB2312"/>
          <w:sz w:val="30"/>
          <w:szCs w:val="30"/>
        </w:rPr>
        <w:t>%；渝东北三峡库区城镇群工业危险废物产生量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03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万吨，占全市工业危险废物产生总量的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%；渝东南武陵山区城镇群工业危险废物产生量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51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万吨，占全市工业危险废物产生总量的</w:t>
      </w:r>
      <w:r>
        <w:rPr>
          <w:rFonts w:ascii="Times New Roman" w:hAnsi="Times New Roman" w:eastAsia="仿宋_GB2312"/>
          <w:sz w:val="30"/>
          <w:szCs w:val="30"/>
        </w:rPr>
        <w:t>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%。危险废物产生量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hint="eastAsia" w:ascii="Times New Roman" w:hAnsi="Times New Roman" w:eastAsia="仿宋_GB2312"/>
          <w:sz w:val="30"/>
          <w:szCs w:val="30"/>
        </w:rPr>
        <w:t>前5</w:t>
      </w:r>
      <w:r>
        <w:rPr>
          <w:rFonts w:ascii="Times New Roman" w:hAnsi="Times New Roman" w:eastAsia="仿宋_GB2312"/>
          <w:sz w:val="30"/>
          <w:szCs w:val="30"/>
        </w:rPr>
        <w:t>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区县依次</w:t>
      </w:r>
      <w:r>
        <w:rPr>
          <w:rFonts w:hint="eastAsia" w:ascii="Times New Roman" w:hAnsi="Times New Roman" w:eastAsia="仿宋_GB2312"/>
          <w:sz w:val="30"/>
          <w:szCs w:val="30"/>
        </w:rPr>
        <w:t>是长寿区、潼南区、涪陵区、两江新区和江津区，共产生</w:t>
      </w:r>
      <w:r>
        <w:rPr>
          <w:rFonts w:ascii="Times New Roman" w:hAnsi="Times New Roman" w:eastAsia="仿宋_GB2312"/>
          <w:sz w:val="30"/>
          <w:szCs w:val="30"/>
        </w:rPr>
        <w:t>68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77</w:t>
      </w:r>
      <w:r>
        <w:rPr>
          <w:rFonts w:hint="eastAsia" w:ascii="Times New Roman" w:hAnsi="Times New Roman" w:eastAsia="仿宋_GB2312"/>
          <w:sz w:val="30"/>
          <w:szCs w:val="30"/>
        </w:rPr>
        <w:t>万吨，占全市工业危险废物产生总量的</w:t>
      </w:r>
      <w:r>
        <w:rPr>
          <w:rFonts w:ascii="Times New Roman" w:hAnsi="Times New Roman" w:eastAsia="仿宋_GB2312"/>
          <w:sz w:val="30"/>
          <w:szCs w:val="30"/>
        </w:rPr>
        <w:t>62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</w:t>
      </w:r>
      <w:r>
        <w:rPr>
          <w:rFonts w:ascii="Times New Roman" w:hAnsi="Times New Roman" w:eastAsia="仿宋_GB2312"/>
          <w:sz w:val="30"/>
          <w:szCs w:val="30"/>
        </w:rPr>
        <w:t>022年</w:t>
      </w:r>
      <w:r>
        <w:rPr>
          <w:rFonts w:hint="eastAsia" w:ascii="Times New Roman" w:hAnsi="Times New Roman" w:eastAsia="仿宋_GB2312"/>
          <w:sz w:val="30"/>
          <w:szCs w:val="30"/>
        </w:rPr>
        <w:t>全市</w:t>
      </w:r>
      <w:r>
        <w:rPr>
          <w:rFonts w:ascii="Times New Roman" w:hAnsi="Times New Roman" w:eastAsia="仿宋_GB2312"/>
          <w:sz w:val="30"/>
          <w:szCs w:val="30"/>
        </w:rPr>
        <w:t>各区县</w:t>
      </w:r>
      <w:r>
        <w:rPr>
          <w:rFonts w:hint="eastAsia" w:ascii="Times New Roman" w:hAnsi="Times New Roman" w:eastAsia="仿宋_GB2312"/>
          <w:sz w:val="30"/>
          <w:szCs w:val="30"/>
        </w:rPr>
        <w:t>一般</w:t>
      </w:r>
      <w:r>
        <w:rPr>
          <w:rFonts w:ascii="Times New Roman" w:hAnsi="Times New Roman" w:eastAsia="仿宋_GB2312"/>
          <w:sz w:val="30"/>
          <w:szCs w:val="30"/>
        </w:rPr>
        <w:t>工业固体废物</w:t>
      </w:r>
      <w:r>
        <w:rPr>
          <w:rFonts w:hint="eastAsia" w:ascii="Times New Roman" w:hAnsi="Times New Roman" w:eastAsia="仿宋_GB2312"/>
          <w:sz w:val="30"/>
          <w:szCs w:val="30"/>
        </w:rPr>
        <w:t>和危险废物</w:t>
      </w:r>
      <w:r>
        <w:rPr>
          <w:rFonts w:ascii="Times New Roman" w:hAnsi="Times New Roman" w:eastAsia="仿宋_GB2312"/>
          <w:sz w:val="30"/>
          <w:szCs w:val="30"/>
        </w:rPr>
        <w:t>产生量</w:t>
      </w:r>
      <w:r>
        <w:rPr>
          <w:rFonts w:hint="eastAsia" w:ascii="Times New Roman" w:hAnsi="Times New Roman" w:eastAsia="仿宋_GB2312"/>
          <w:sz w:val="30"/>
          <w:szCs w:val="30"/>
        </w:rPr>
        <w:t>见</w:t>
      </w:r>
      <w:r>
        <w:rPr>
          <w:rFonts w:ascii="Times New Roman" w:hAnsi="Times New Roman" w:eastAsia="仿宋_GB2312"/>
          <w:sz w:val="30"/>
          <w:szCs w:val="30"/>
        </w:rPr>
        <w:t>图4-1</w:t>
      </w:r>
      <w:r>
        <w:rPr>
          <w:rFonts w:hint="eastAsia" w:ascii="Times New Roman" w:hAnsi="Times New Roman" w:eastAsia="仿宋_GB2312"/>
          <w:sz w:val="30"/>
          <w:szCs w:val="30"/>
        </w:rPr>
        <w:t>和</w:t>
      </w:r>
      <w:r>
        <w:rPr>
          <w:rFonts w:ascii="Times New Roman" w:hAnsi="Times New Roman" w:eastAsia="仿宋_GB2312"/>
          <w:sz w:val="30"/>
          <w:szCs w:val="30"/>
        </w:rPr>
        <w:t>图</w:t>
      </w:r>
      <w:r>
        <w:rPr>
          <w:rFonts w:hint="eastAsia" w:ascii="Times New Roman" w:hAnsi="Times New Roman" w:eastAsia="仿宋_GB2312"/>
          <w:sz w:val="30"/>
          <w:szCs w:val="30"/>
        </w:rPr>
        <w:t>4-2。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jc w:val="center"/>
      </w:pPr>
      <w:r>
        <w:drawing>
          <wp:inline distT="0" distB="0" distL="0" distR="0">
            <wp:extent cx="7431405" cy="3895725"/>
            <wp:effectExtent l="0" t="0" r="17145" b="9525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55" w:name="_Toc68791069"/>
      <w:bookmarkStart w:id="56" w:name="_Toc69140705"/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图4-1   2022年重庆市各区县</w:t>
      </w:r>
      <w:r>
        <w:rPr>
          <w:rFonts w:hint="eastAsia" w:ascii="Times New Roman" w:hAnsi="Times New Roman"/>
          <w:szCs w:val="28"/>
        </w:rPr>
        <w:t>一般</w:t>
      </w:r>
      <w:r>
        <w:rPr>
          <w:rFonts w:ascii="Times New Roman" w:hAnsi="Times New Roman"/>
          <w:szCs w:val="28"/>
        </w:rPr>
        <w:t>工业固体废物产生量</w:t>
      </w:r>
      <w:bookmarkEnd w:id="55"/>
      <w:bookmarkEnd w:id="56"/>
    </w:p>
    <w:p/>
    <w:p>
      <w:pPr>
        <w:pStyle w:val="2"/>
        <w:jc w:val="center"/>
      </w:pPr>
      <w:r>
        <w:drawing>
          <wp:inline distT="0" distB="0" distL="0" distR="0">
            <wp:extent cx="7763510" cy="3895725"/>
            <wp:effectExtent l="0" t="0" r="8890" b="9525"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图4-2   2022年重庆市各区县工业</w:t>
      </w:r>
      <w:r>
        <w:rPr>
          <w:rFonts w:hint="eastAsia" w:ascii="Times New Roman" w:hAnsi="Times New Roman"/>
          <w:szCs w:val="28"/>
        </w:rPr>
        <w:t>危险</w:t>
      </w:r>
      <w:r>
        <w:rPr>
          <w:rFonts w:ascii="Times New Roman" w:hAnsi="Times New Roman"/>
          <w:szCs w:val="28"/>
        </w:rPr>
        <w:t>废物产生量</w:t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81" w:charSpace="0"/>
        </w:sectPr>
      </w:pPr>
    </w:p>
    <w:p>
      <w:pPr>
        <w:pStyle w:val="5"/>
        <w:spacing w:before="120" w:after="120" w:line="360" w:lineRule="auto"/>
        <w:rPr>
          <w:rFonts w:ascii="Times New Roman" w:hAnsi="Times New Roman"/>
        </w:rPr>
      </w:pPr>
      <w:bookmarkStart w:id="57" w:name="_Toc92810256"/>
      <w:r>
        <w:rPr>
          <w:rFonts w:hint="eastAsia" w:ascii="Times New Roman" w:hAnsi="Times New Roman"/>
        </w:rPr>
        <w:t>4</w:t>
      </w:r>
      <w:r>
        <w:rPr>
          <w:rFonts w:ascii="Times New Roman" w:hAnsi="Times New Roman"/>
        </w:rPr>
        <w:t>.3</w:t>
      </w:r>
      <w:r>
        <w:rPr>
          <w:rFonts w:hint="eastAsia" w:ascii="Times New Roman" w:hAnsi="Times New Roman"/>
        </w:rPr>
        <w:t>一般</w:t>
      </w:r>
      <w:r>
        <w:rPr>
          <w:rFonts w:ascii="Times New Roman" w:hAnsi="Times New Roman"/>
        </w:rPr>
        <w:t>工业固体废物</w:t>
      </w:r>
      <w:r>
        <w:rPr>
          <w:rFonts w:hint="eastAsia" w:ascii="Times New Roman" w:hAnsi="Times New Roman"/>
        </w:rPr>
        <w:t>和危险废物行业分布情况</w:t>
      </w:r>
      <w:bookmarkEnd w:id="57"/>
    </w:p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hint="eastAsia" w:ascii="Times New Roman" w:hAnsi="Times New Roman" w:eastAsia="仿宋_GB2312"/>
          <w:b/>
          <w:sz w:val="30"/>
          <w:szCs w:val="30"/>
        </w:rPr>
        <w:t>4</w:t>
      </w:r>
      <w:r>
        <w:rPr>
          <w:rFonts w:ascii="Times New Roman" w:hAnsi="Times New Roman" w:eastAsia="仿宋_GB2312"/>
          <w:b/>
          <w:sz w:val="30"/>
          <w:szCs w:val="30"/>
        </w:rPr>
        <w:t>.3.1</w:t>
      </w:r>
      <w:r>
        <w:rPr>
          <w:rFonts w:hint="eastAsia" w:ascii="Times New Roman" w:hAnsi="Times New Roman" w:eastAsia="仿宋_GB2312"/>
          <w:b/>
          <w:sz w:val="30"/>
          <w:szCs w:val="30"/>
        </w:rPr>
        <w:t>一般工业固体废物行业分布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年，一般工业固体废物产生量最大的行业是电力、热力生产和供应业，为</w:t>
      </w:r>
      <w:r>
        <w:rPr>
          <w:rFonts w:ascii="Times New Roman" w:hAnsi="Times New Roman" w:eastAsia="仿宋_GB2312"/>
          <w:sz w:val="30"/>
          <w:szCs w:val="30"/>
        </w:rPr>
        <w:t>910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14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万吨，占全市一般工业固体废物产生量的</w:t>
      </w:r>
      <w:r>
        <w:rPr>
          <w:rFonts w:ascii="Times New Roman" w:hAnsi="Times New Roman" w:eastAsia="仿宋_GB2312"/>
          <w:sz w:val="30"/>
          <w:szCs w:val="30"/>
        </w:rPr>
        <w:t>36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8</w:t>
      </w:r>
      <w:r>
        <w:rPr>
          <w:rFonts w:hint="eastAsia" w:ascii="Times New Roman" w:hAnsi="Times New Roman" w:eastAsia="仿宋_GB2312"/>
          <w:sz w:val="30"/>
          <w:szCs w:val="30"/>
        </w:rPr>
        <w:t>%；其后依次是黑色金属冶炼和压延加工业，有色金属冶炼和压延加工业，化学原料和化学制品制造业，造纸和</w:t>
      </w:r>
      <w:r>
        <w:rPr>
          <w:rFonts w:ascii="Times New Roman" w:hAnsi="Times New Roman" w:eastAsia="仿宋_GB2312"/>
          <w:sz w:val="30"/>
          <w:szCs w:val="30"/>
        </w:rPr>
        <w:t>纸制品业</w:t>
      </w:r>
      <w:r>
        <w:rPr>
          <w:rFonts w:hint="eastAsia" w:ascii="Times New Roman" w:hAnsi="Times New Roman" w:eastAsia="仿宋_GB2312"/>
          <w:sz w:val="30"/>
          <w:szCs w:val="30"/>
        </w:rPr>
        <w:t>。这5个行业共产生一般工业固体废物</w:t>
      </w:r>
      <w:r>
        <w:rPr>
          <w:rFonts w:ascii="Times New Roman" w:hAnsi="Times New Roman" w:eastAsia="仿宋_GB2312"/>
          <w:sz w:val="30"/>
          <w:szCs w:val="30"/>
        </w:rPr>
        <w:t>2236.29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万吨，占全市一般工业固体废物产生量的</w:t>
      </w:r>
      <w:r>
        <w:rPr>
          <w:rFonts w:ascii="Times New Roman" w:hAnsi="Times New Roman" w:eastAsia="仿宋_GB2312"/>
          <w:sz w:val="30"/>
          <w:szCs w:val="30"/>
        </w:rPr>
        <w:t>90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一般工业固体废物综合利用量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排名前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 的</w:t>
      </w:r>
      <w:r>
        <w:rPr>
          <w:rFonts w:hint="eastAsia" w:ascii="Times New Roman" w:hAnsi="Times New Roman" w:eastAsia="仿宋_GB2312"/>
          <w:sz w:val="30"/>
          <w:szCs w:val="30"/>
        </w:rPr>
        <w:t>行业依次是电力、热力生产和供应业，黑色金属冶炼和压延加工业，有色金属冶炼和压延加工业，化学原料和化学制品制造业，造纸和</w:t>
      </w:r>
      <w:r>
        <w:rPr>
          <w:rFonts w:ascii="Times New Roman" w:hAnsi="Times New Roman" w:eastAsia="仿宋_GB2312"/>
          <w:sz w:val="30"/>
          <w:szCs w:val="30"/>
        </w:rPr>
        <w:t>纸制品业</w:t>
      </w:r>
      <w:r>
        <w:rPr>
          <w:rFonts w:hint="eastAsia" w:ascii="Times New Roman" w:hAnsi="Times New Roman" w:eastAsia="仿宋_GB2312"/>
          <w:sz w:val="30"/>
          <w:szCs w:val="30"/>
        </w:rPr>
        <w:t>，共综合利用1</w:t>
      </w:r>
      <w:r>
        <w:rPr>
          <w:rFonts w:ascii="Times New Roman" w:hAnsi="Times New Roman" w:eastAsia="仿宋_GB2312"/>
          <w:sz w:val="30"/>
          <w:szCs w:val="30"/>
        </w:rPr>
        <w:t>820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11</w:t>
      </w:r>
      <w:r>
        <w:rPr>
          <w:rFonts w:hint="eastAsia" w:ascii="Times New Roman" w:hAnsi="Times New Roman" w:eastAsia="仿宋_GB2312"/>
          <w:sz w:val="30"/>
          <w:szCs w:val="30"/>
        </w:rPr>
        <w:t>万吨，占全市一般工业固体废物综合利用量的</w:t>
      </w:r>
      <w:r>
        <w:rPr>
          <w:rFonts w:ascii="Times New Roman" w:hAnsi="Times New Roman" w:eastAsia="仿宋_GB2312"/>
          <w:sz w:val="30"/>
          <w:szCs w:val="30"/>
        </w:rPr>
        <w:t>92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</w:t>
      </w:r>
      <w:r>
        <w:rPr>
          <w:rFonts w:ascii="Times New Roman" w:hAnsi="Times New Roman" w:eastAsia="仿宋_GB2312"/>
          <w:sz w:val="30"/>
          <w:szCs w:val="30"/>
        </w:rPr>
        <w:t>22</w:t>
      </w:r>
      <w:r>
        <w:rPr>
          <w:rFonts w:hint="eastAsia" w:ascii="Times New Roman" w:hAnsi="Times New Roman" w:eastAsia="仿宋_GB2312"/>
          <w:sz w:val="30"/>
          <w:szCs w:val="30"/>
        </w:rPr>
        <w:t>年全市一般工业固体废物产生</w:t>
      </w:r>
      <w:r>
        <w:rPr>
          <w:rFonts w:ascii="Times New Roman" w:hAnsi="Times New Roman" w:eastAsia="仿宋_GB2312"/>
          <w:sz w:val="30"/>
          <w:szCs w:val="30"/>
        </w:rPr>
        <w:t>量与</w:t>
      </w:r>
      <w:r>
        <w:rPr>
          <w:rFonts w:hint="eastAsia" w:ascii="Times New Roman" w:hAnsi="Times New Roman" w:eastAsia="仿宋_GB2312"/>
          <w:sz w:val="30"/>
          <w:szCs w:val="30"/>
        </w:rPr>
        <w:t>综合</w:t>
      </w:r>
      <w:r>
        <w:rPr>
          <w:rFonts w:ascii="Times New Roman" w:hAnsi="Times New Roman" w:eastAsia="仿宋_GB2312"/>
          <w:sz w:val="30"/>
          <w:szCs w:val="30"/>
        </w:rPr>
        <w:t>利用</w:t>
      </w:r>
      <w:r>
        <w:rPr>
          <w:rFonts w:hint="eastAsia" w:ascii="Times New Roman" w:hAnsi="Times New Roman" w:eastAsia="仿宋_GB2312"/>
          <w:sz w:val="30"/>
          <w:szCs w:val="30"/>
        </w:rPr>
        <w:t>量的行业分布情况见图4-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pStyle w:val="2"/>
      </w:pPr>
      <w:r>
        <w:drawing>
          <wp:inline distT="0" distB="0" distL="0" distR="0">
            <wp:extent cx="5901690" cy="3662680"/>
            <wp:effectExtent l="0" t="0" r="3810" b="13970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hint="eastAsia" w:ascii="Times New Roman" w:hAnsi="Times New Roman"/>
          <w:szCs w:val="28"/>
        </w:rPr>
        <w:t>图4-</w:t>
      </w:r>
      <w:r>
        <w:rPr>
          <w:rFonts w:ascii="Times New Roman" w:hAnsi="Times New Roman"/>
          <w:szCs w:val="28"/>
        </w:rPr>
        <w:t>3</w:t>
      </w:r>
      <w:r>
        <w:rPr>
          <w:rFonts w:hint="eastAsia" w:ascii="Times New Roman" w:hAnsi="Times New Roman"/>
          <w:szCs w:val="28"/>
        </w:rPr>
        <w:t xml:space="preserve">  20</w:t>
      </w:r>
      <w:r>
        <w:rPr>
          <w:rFonts w:ascii="Times New Roman" w:hAnsi="Times New Roman"/>
          <w:szCs w:val="28"/>
        </w:rPr>
        <w:t>22</w:t>
      </w:r>
      <w:r>
        <w:rPr>
          <w:rFonts w:hint="eastAsia" w:ascii="Times New Roman" w:hAnsi="Times New Roman"/>
          <w:szCs w:val="28"/>
        </w:rPr>
        <w:t>年全市一般工业固体废物行业分布情况</w:t>
      </w:r>
    </w:p>
    <w:bookmarkEnd w:id="51"/>
    <w:bookmarkEnd w:id="52"/>
    <w:p>
      <w:pPr>
        <w:snapToGrid w:val="0"/>
        <w:spacing w:line="360" w:lineRule="auto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hint="eastAsia" w:ascii="Times New Roman" w:hAnsi="Times New Roman" w:eastAsia="仿宋_GB2312"/>
          <w:b/>
          <w:sz w:val="30"/>
          <w:szCs w:val="30"/>
        </w:rPr>
        <w:t>4</w:t>
      </w:r>
      <w:r>
        <w:rPr>
          <w:rFonts w:ascii="Times New Roman" w:hAnsi="Times New Roman" w:eastAsia="仿宋_GB2312"/>
          <w:b/>
          <w:sz w:val="30"/>
          <w:szCs w:val="30"/>
        </w:rPr>
        <w:t>.3.2</w:t>
      </w:r>
      <w:r>
        <w:rPr>
          <w:rFonts w:hint="eastAsia" w:ascii="Times New Roman" w:hAnsi="Times New Roman" w:eastAsia="仿宋_GB2312"/>
          <w:b/>
          <w:sz w:val="30"/>
          <w:szCs w:val="30"/>
        </w:rPr>
        <w:t>危险废物行业分布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202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年，危险废物产生量最大的行业是化学原料和化学制品制造业，为</w:t>
      </w:r>
      <w:r>
        <w:rPr>
          <w:rFonts w:ascii="Times New Roman" w:hAnsi="Times New Roman" w:eastAsia="仿宋_GB2312"/>
          <w:sz w:val="30"/>
          <w:szCs w:val="30"/>
        </w:rPr>
        <w:t>32.08</w:t>
      </w:r>
      <w:r>
        <w:rPr>
          <w:rFonts w:hint="eastAsia" w:ascii="Times New Roman" w:hAnsi="Times New Roman" w:eastAsia="仿宋_GB2312"/>
          <w:sz w:val="30"/>
          <w:szCs w:val="30"/>
        </w:rPr>
        <w:t>万吨，占全市危险废物产生量的</w:t>
      </w:r>
      <w:r>
        <w:rPr>
          <w:rFonts w:ascii="Times New Roman" w:hAnsi="Times New Roman" w:eastAsia="仿宋_GB2312"/>
          <w:sz w:val="30"/>
          <w:szCs w:val="30"/>
        </w:rPr>
        <w:t>29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</w:rPr>
        <w:t>%；其后依次是黑色金属冶炼和压延加工业，电力、热力生产和供应业，计算机、通信和其他电子设备制造业</w:t>
      </w:r>
      <w:r>
        <w:rPr>
          <w:rFonts w:hint="default" w:ascii="Times New Roman" w:hAnsi="Times New Roman" w:eastAsia="仿宋_GB2312"/>
          <w:sz w:val="30"/>
          <w:szCs w:val="30"/>
          <w:lang w:val="en"/>
        </w:rPr>
        <w:t>,</w:t>
      </w:r>
      <w:r>
        <w:rPr>
          <w:rFonts w:hint="eastAsia" w:ascii="Times New Roman" w:hAnsi="Times New Roman" w:eastAsia="仿宋_GB2312"/>
          <w:sz w:val="30"/>
          <w:szCs w:val="30"/>
        </w:rPr>
        <w:t>有色金属冶炼和压延加工业。这5个行业共产生危险废物</w:t>
      </w:r>
      <w:r>
        <w:rPr>
          <w:rFonts w:ascii="Times New Roman" w:hAnsi="Times New Roman" w:eastAsia="仿宋_GB2312"/>
          <w:sz w:val="30"/>
          <w:szCs w:val="30"/>
        </w:rPr>
        <w:t>81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30</w:t>
      </w:r>
      <w:r>
        <w:rPr>
          <w:rFonts w:hint="eastAsia" w:ascii="Times New Roman" w:hAnsi="Times New Roman" w:eastAsia="仿宋_GB2312"/>
          <w:sz w:val="30"/>
          <w:szCs w:val="30"/>
        </w:rPr>
        <w:t>万吨，占全市危险废物产生量的</w:t>
      </w:r>
      <w:r>
        <w:rPr>
          <w:rFonts w:ascii="Times New Roman" w:hAnsi="Times New Roman" w:eastAsia="仿宋_GB2312"/>
          <w:sz w:val="30"/>
          <w:szCs w:val="30"/>
        </w:rPr>
        <w:t>74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%。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危险废物利用处置量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排名</w:t>
      </w:r>
      <w:r>
        <w:rPr>
          <w:rFonts w:hint="eastAsia" w:ascii="Times New Roman" w:hAnsi="Times New Roman" w:eastAsia="仿宋_GB2312"/>
          <w:sz w:val="30"/>
          <w:szCs w:val="30"/>
        </w:rPr>
        <w:t>前五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的</w:t>
      </w:r>
      <w:r>
        <w:rPr>
          <w:rFonts w:hint="eastAsia" w:ascii="Times New Roman" w:hAnsi="Times New Roman" w:eastAsia="仿宋_GB2312"/>
          <w:sz w:val="30"/>
          <w:szCs w:val="30"/>
        </w:rPr>
        <w:t>行业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依次</w:t>
      </w:r>
      <w:r>
        <w:rPr>
          <w:rFonts w:hint="eastAsia" w:ascii="Times New Roman" w:hAnsi="Times New Roman" w:eastAsia="仿宋_GB2312"/>
          <w:sz w:val="30"/>
          <w:szCs w:val="30"/>
        </w:rPr>
        <w:t>为化学原料和化学制品制造业，黑色金属冶炼和压延加工业，电力、热力生产和供应业，计算机、通信和其他电子设备制造业，有色金属冶炼和压延加工业，以上5个行业共利用处置废物</w:t>
      </w:r>
      <w:r>
        <w:rPr>
          <w:rFonts w:ascii="Times New Roman" w:hAnsi="Times New Roman" w:eastAsia="仿宋_GB2312"/>
          <w:sz w:val="30"/>
          <w:szCs w:val="30"/>
        </w:rPr>
        <w:t>83.47</w:t>
      </w:r>
      <w:r>
        <w:rPr>
          <w:rFonts w:hint="eastAsia" w:ascii="Times New Roman" w:hAnsi="Times New Roman" w:eastAsia="仿宋_GB2312"/>
          <w:sz w:val="30"/>
          <w:szCs w:val="30"/>
        </w:rPr>
        <w:t>万吨（含利用处置往年贮存量），占全市危险废物利用处置量的</w:t>
      </w:r>
      <w:r>
        <w:rPr>
          <w:rFonts w:ascii="Times New Roman" w:hAnsi="Times New Roman" w:eastAsia="仿宋_GB2312"/>
          <w:sz w:val="30"/>
          <w:szCs w:val="30"/>
        </w:rPr>
        <w:t>75.1%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202</w:t>
      </w:r>
      <w:r>
        <w:rPr>
          <w:rFonts w:ascii="Times New Roman" w:hAnsi="Times New Roman" w:eastAsia="仿宋_GB2312"/>
          <w:sz w:val="30"/>
          <w:szCs w:val="30"/>
        </w:rPr>
        <w:t>2</w:t>
      </w:r>
      <w:r>
        <w:rPr>
          <w:rFonts w:hint="eastAsia" w:ascii="Times New Roman" w:hAnsi="Times New Roman" w:eastAsia="仿宋_GB2312"/>
          <w:sz w:val="30"/>
          <w:szCs w:val="30"/>
        </w:rPr>
        <w:t>年全市危险废物产生量与利用处置量的行业分布情况见图4-</w:t>
      </w:r>
      <w:r>
        <w:rPr>
          <w:rFonts w:ascii="Times New Roman" w:hAnsi="Times New Roman" w:eastAsia="仿宋_GB2312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3510280"/>
            <wp:effectExtent l="0" t="0" r="2540" b="1397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Cs w:val="28"/>
        </w:rPr>
        <w:t>图4-</w:t>
      </w:r>
      <w:r>
        <w:rPr>
          <w:rFonts w:ascii="Times New Roman" w:hAnsi="Times New Roman"/>
          <w:szCs w:val="28"/>
        </w:rPr>
        <w:t>4</w:t>
      </w:r>
      <w:r>
        <w:rPr>
          <w:rFonts w:hint="eastAsia" w:ascii="Times New Roman" w:hAnsi="Times New Roman"/>
          <w:szCs w:val="28"/>
        </w:rPr>
        <w:t xml:space="preserve">  20</w:t>
      </w:r>
      <w:r>
        <w:rPr>
          <w:rFonts w:ascii="Times New Roman" w:hAnsi="Times New Roman"/>
          <w:szCs w:val="28"/>
        </w:rPr>
        <w:t>22</w:t>
      </w:r>
      <w:r>
        <w:rPr>
          <w:rFonts w:hint="eastAsia" w:ascii="Times New Roman" w:hAnsi="Times New Roman"/>
          <w:szCs w:val="28"/>
        </w:rPr>
        <w:t>年全市工业危险废物行业分布情况</w:t>
      </w:r>
    </w:p>
    <w:p>
      <w:pPr>
        <w:tabs>
          <w:tab w:val="left" w:pos="1276"/>
        </w:tabs>
        <w:snapToGrid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Arial Narrow">
    <w:altName w:val="Times New Roman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简体">
    <w:altName w:val="方正楷体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方正宋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altName w:val="DejaVu Sans"/>
    <w:panose1 w:val="020B0604030504040204"/>
    <w:charset w:val="00"/>
    <w:family w:val="swiss"/>
    <w:pitch w:val="default"/>
    <w:sig w:usb0="00000000" w:usb1="00000000" w:usb2="00000010" w:usb3="00000000" w:csb0="0000019F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”“Times New Roman”“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文楷体">
    <w:altName w:val="方正楷体_GBK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revisionView w:markup="0"/>
  <w:trackRevisions w:val="true"/>
  <w:documentProtection w:enforcement="0"/>
  <w:defaultTabStop w:val="420"/>
  <w:drawingGridHorizontalSpacing w:val="140"/>
  <w:drawingGridVerticalSpacing w:val="381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7E"/>
    <w:rsid w:val="00002773"/>
    <w:rsid w:val="00003D38"/>
    <w:rsid w:val="0000585F"/>
    <w:rsid w:val="00005D09"/>
    <w:rsid w:val="00012D18"/>
    <w:rsid w:val="000140B1"/>
    <w:rsid w:val="00015592"/>
    <w:rsid w:val="00016DD3"/>
    <w:rsid w:val="00016FC7"/>
    <w:rsid w:val="00022D16"/>
    <w:rsid w:val="00022ED1"/>
    <w:rsid w:val="00024EDB"/>
    <w:rsid w:val="00025E5D"/>
    <w:rsid w:val="00026E9D"/>
    <w:rsid w:val="0003046A"/>
    <w:rsid w:val="000305E2"/>
    <w:rsid w:val="0003072A"/>
    <w:rsid w:val="00032871"/>
    <w:rsid w:val="000338E5"/>
    <w:rsid w:val="00035357"/>
    <w:rsid w:val="0003697F"/>
    <w:rsid w:val="00036C32"/>
    <w:rsid w:val="00036F79"/>
    <w:rsid w:val="0003731F"/>
    <w:rsid w:val="00040DB5"/>
    <w:rsid w:val="00042FB2"/>
    <w:rsid w:val="000442AD"/>
    <w:rsid w:val="00045C78"/>
    <w:rsid w:val="00046C67"/>
    <w:rsid w:val="00052179"/>
    <w:rsid w:val="00054D16"/>
    <w:rsid w:val="00054DF9"/>
    <w:rsid w:val="00055599"/>
    <w:rsid w:val="0005601D"/>
    <w:rsid w:val="00056971"/>
    <w:rsid w:val="00057260"/>
    <w:rsid w:val="00061B93"/>
    <w:rsid w:val="00063E25"/>
    <w:rsid w:val="000653AC"/>
    <w:rsid w:val="000669C7"/>
    <w:rsid w:val="00070201"/>
    <w:rsid w:val="00070A73"/>
    <w:rsid w:val="00072849"/>
    <w:rsid w:val="00072C1F"/>
    <w:rsid w:val="00072D53"/>
    <w:rsid w:val="00075672"/>
    <w:rsid w:val="00081631"/>
    <w:rsid w:val="00084B4A"/>
    <w:rsid w:val="00086E46"/>
    <w:rsid w:val="000903CC"/>
    <w:rsid w:val="00091226"/>
    <w:rsid w:val="00091A56"/>
    <w:rsid w:val="0009468C"/>
    <w:rsid w:val="00095496"/>
    <w:rsid w:val="000961FB"/>
    <w:rsid w:val="000963C1"/>
    <w:rsid w:val="000A1BD6"/>
    <w:rsid w:val="000A6C91"/>
    <w:rsid w:val="000B061E"/>
    <w:rsid w:val="000B6358"/>
    <w:rsid w:val="000B6F49"/>
    <w:rsid w:val="000B724C"/>
    <w:rsid w:val="000B728E"/>
    <w:rsid w:val="000C2322"/>
    <w:rsid w:val="000C3C88"/>
    <w:rsid w:val="000C448D"/>
    <w:rsid w:val="000C4E08"/>
    <w:rsid w:val="000C695F"/>
    <w:rsid w:val="000D527F"/>
    <w:rsid w:val="000D56B6"/>
    <w:rsid w:val="000D5EB1"/>
    <w:rsid w:val="000D710C"/>
    <w:rsid w:val="000E1B3C"/>
    <w:rsid w:val="000E50F0"/>
    <w:rsid w:val="000E5994"/>
    <w:rsid w:val="000E5F07"/>
    <w:rsid w:val="000E7087"/>
    <w:rsid w:val="000E76C8"/>
    <w:rsid w:val="000F1336"/>
    <w:rsid w:val="000F16CD"/>
    <w:rsid w:val="000F1F2B"/>
    <w:rsid w:val="000F7501"/>
    <w:rsid w:val="001001E7"/>
    <w:rsid w:val="00100335"/>
    <w:rsid w:val="001015AD"/>
    <w:rsid w:val="00101F4B"/>
    <w:rsid w:val="00102BB9"/>
    <w:rsid w:val="00105ED9"/>
    <w:rsid w:val="00106163"/>
    <w:rsid w:val="00107B73"/>
    <w:rsid w:val="0011038F"/>
    <w:rsid w:val="00111302"/>
    <w:rsid w:val="00113DAC"/>
    <w:rsid w:val="00114D6D"/>
    <w:rsid w:val="00116E1A"/>
    <w:rsid w:val="001200A2"/>
    <w:rsid w:val="00120F3D"/>
    <w:rsid w:val="00124088"/>
    <w:rsid w:val="00124FBE"/>
    <w:rsid w:val="00130E52"/>
    <w:rsid w:val="00133B06"/>
    <w:rsid w:val="00134189"/>
    <w:rsid w:val="00135EB9"/>
    <w:rsid w:val="001371F1"/>
    <w:rsid w:val="0013721D"/>
    <w:rsid w:val="00137736"/>
    <w:rsid w:val="00137D16"/>
    <w:rsid w:val="001401A2"/>
    <w:rsid w:val="001414C5"/>
    <w:rsid w:val="00142180"/>
    <w:rsid w:val="00144C9E"/>
    <w:rsid w:val="00146E9A"/>
    <w:rsid w:val="00150856"/>
    <w:rsid w:val="001520C7"/>
    <w:rsid w:val="00152E74"/>
    <w:rsid w:val="0015380C"/>
    <w:rsid w:val="00153CA7"/>
    <w:rsid w:val="00155616"/>
    <w:rsid w:val="00161871"/>
    <w:rsid w:val="00161D7F"/>
    <w:rsid w:val="00163433"/>
    <w:rsid w:val="00164EA1"/>
    <w:rsid w:val="00165B06"/>
    <w:rsid w:val="0016600D"/>
    <w:rsid w:val="00171F22"/>
    <w:rsid w:val="00172109"/>
    <w:rsid w:val="001722C6"/>
    <w:rsid w:val="001726DD"/>
    <w:rsid w:val="00174B7B"/>
    <w:rsid w:val="00174EC5"/>
    <w:rsid w:val="00175E69"/>
    <w:rsid w:val="001767DA"/>
    <w:rsid w:val="00176B87"/>
    <w:rsid w:val="00187DE1"/>
    <w:rsid w:val="0019043D"/>
    <w:rsid w:val="00190CF7"/>
    <w:rsid w:val="001912D3"/>
    <w:rsid w:val="00191B20"/>
    <w:rsid w:val="00192377"/>
    <w:rsid w:val="001929BA"/>
    <w:rsid w:val="00192BAA"/>
    <w:rsid w:val="001933E8"/>
    <w:rsid w:val="0019434B"/>
    <w:rsid w:val="00195413"/>
    <w:rsid w:val="001963E7"/>
    <w:rsid w:val="00196DB3"/>
    <w:rsid w:val="001A0BD9"/>
    <w:rsid w:val="001A0D15"/>
    <w:rsid w:val="001A727E"/>
    <w:rsid w:val="001A7434"/>
    <w:rsid w:val="001B2501"/>
    <w:rsid w:val="001B279A"/>
    <w:rsid w:val="001B42C5"/>
    <w:rsid w:val="001B5D80"/>
    <w:rsid w:val="001B742C"/>
    <w:rsid w:val="001C00EE"/>
    <w:rsid w:val="001C0433"/>
    <w:rsid w:val="001C2B50"/>
    <w:rsid w:val="001C6C2D"/>
    <w:rsid w:val="001C769E"/>
    <w:rsid w:val="001D071F"/>
    <w:rsid w:val="001D318B"/>
    <w:rsid w:val="001D3925"/>
    <w:rsid w:val="001D4128"/>
    <w:rsid w:val="001D75E2"/>
    <w:rsid w:val="001E0B2D"/>
    <w:rsid w:val="001E0C55"/>
    <w:rsid w:val="001E36F9"/>
    <w:rsid w:val="001E3BDA"/>
    <w:rsid w:val="001E5267"/>
    <w:rsid w:val="001E7F3A"/>
    <w:rsid w:val="001F22A6"/>
    <w:rsid w:val="001F413E"/>
    <w:rsid w:val="001F462E"/>
    <w:rsid w:val="001F47AF"/>
    <w:rsid w:val="001F62AC"/>
    <w:rsid w:val="001F6D53"/>
    <w:rsid w:val="001F767B"/>
    <w:rsid w:val="002026D6"/>
    <w:rsid w:val="002030CC"/>
    <w:rsid w:val="00205ADE"/>
    <w:rsid w:val="00205EC7"/>
    <w:rsid w:val="00206CDE"/>
    <w:rsid w:val="002078A9"/>
    <w:rsid w:val="00212473"/>
    <w:rsid w:val="002154C2"/>
    <w:rsid w:val="002171D6"/>
    <w:rsid w:val="00217265"/>
    <w:rsid w:val="002172A7"/>
    <w:rsid w:val="002204EE"/>
    <w:rsid w:val="00222939"/>
    <w:rsid w:val="00222951"/>
    <w:rsid w:val="00222CF6"/>
    <w:rsid w:val="00222E33"/>
    <w:rsid w:val="002258AA"/>
    <w:rsid w:val="002278CB"/>
    <w:rsid w:val="00230832"/>
    <w:rsid w:val="00230F25"/>
    <w:rsid w:val="00231608"/>
    <w:rsid w:val="002316AB"/>
    <w:rsid w:val="00232307"/>
    <w:rsid w:val="002335E6"/>
    <w:rsid w:val="00234132"/>
    <w:rsid w:val="00241276"/>
    <w:rsid w:val="00244896"/>
    <w:rsid w:val="00256645"/>
    <w:rsid w:val="002577CB"/>
    <w:rsid w:val="0026363F"/>
    <w:rsid w:val="00264322"/>
    <w:rsid w:val="0026487C"/>
    <w:rsid w:val="00264D8D"/>
    <w:rsid w:val="002650F2"/>
    <w:rsid w:val="00265578"/>
    <w:rsid w:val="002669BE"/>
    <w:rsid w:val="00267DA7"/>
    <w:rsid w:val="002708A7"/>
    <w:rsid w:val="00270DC4"/>
    <w:rsid w:val="00270F64"/>
    <w:rsid w:val="00272B0A"/>
    <w:rsid w:val="00273C19"/>
    <w:rsid w:val="00273FC4"/>
    <w:rsid w:val="00277442"/>
    <w:rsid w:val="00280997"/>
    <w:rsid w:val="0028396E"/>
    <w:rsid w:val="00283CB8"/>
    <w:rsid w:val="00283E8C"/>
    <w:rsid w:val="002841D3"/>
    <w:rsid w:val="002856B1"/>
    <w:rsid w:val="002859FD"/>
    <w:rsid w:val="00286FC6"/>
    <w:rsid w:val="002875CE"/>
    <w:rsid w:val="00287732"/>
    <w:rsid w:val="00291962"/>
    <w:rsid w:val="00294F8D"/>
    <w:rsid w:val="002953A7"/>
    <w:rsid w:val="002976A8"/>
    <w:rsid w:val="002A16F0"/>
    <w:rsid w:val="002A28E9"/>
    <w:rsid w:val="002A3FA2"/>
    <w:rsid w:val="002A4510"/>
    <w:rsid w:val="002A455D"/>
    <w:rsid w:val="002A5C91"/>
    <w:rsid w:val="002B3FEC"/>
    <w:rsid w:val="002B4BFD"/>
    <w:rsid w:val="002B56DC"/>
    <w:rsid w:val="002B6275"/>
    <w:rsid w:val="002B658A"/>
    <w:rsid w:val="002B7637"/>
    <w:rsid w:val="002B7ACB"/>
    <w:rsid w:val="002C310E"/>
    <w:rsid w:val="002C3FB9"/>
    <w:rsid w:val="002C58B7"/>
    <w:rsid w:val="002D05FD"/>
    <w:rsid w:val="002D18BF"/>
    <w:rsid w:val="002D18EF"/>
    <w:rsid w:val="002D3C3A"/>
    <w:rsid w:val="002D3FA9"/>
    <w:rsid w:val="002D72DE"/>
    <w:rsid w:val="002E0F5A"/>
    <w:rsid w:val="002E1E02"/>
    <w:rsid w:val="002E2B4D"/>
    <w:rsid w:val="002E4871"/>
    <w:rsid w:val="002F0082"/>
    <w:rsid w:val="002F0110"/>
    <w:rsid w:val="002F076D"/>
    <w:rsid w:val="002F1AD0"/>
    <w:rsid w:val="002F1E9B"/>
    <w:rsid w:val="002F3092"/>
    <w:rsid w:val="002F3B84"/>
    <w:rsid w:val="002F46FE"/>
    <w:rsid w:val="002F4B71"/>
    <w:rsid w:val="002F595E"/>
    <w:rsid w:val="002F6D0E"/>
    <w:rsid w:val="002F703B"/>
    <w:rsid w:val="002F721B"/>
    <w:rsid w:val="003023C9"/>
    <w:rsid w:val="00303B14"/>
    <w:rsid w:val="00304167"/>
    <w:rsid w:val="00305D37"/>
    <w:rsid w:val="0030647E"/>
    <w:rsid w:val="00306876"/>
    <w:rsid w:val="003073DD"/>
    <w:rsid w:val="00311CB7"/>
    <w:rsid w:val="003124E8"/>
    <w:rsid w:val="00314500"/>
    <w:rsid w:val="00315126"/>
    <w:rsid w:val="0031742F"/>
    <w:rsid w:val="0032274A"/>
    <w:rsid w:val="003263DB"/>
    <w:rsid w:val="00326FD3"/>
    <w:rsid w:val="003303B5"/>
    <w:rsid w:val="0033099A"/>
    <w:rsid w:val="00331F33"/>
    <w:rsid w:val="003329ED"/>
    <w:rsid w:val="00332D80"/>
    <w:rsid w:val="0033310D"/>
    <w:rsid w:val="00334438"/>
    <w:rsid w:val="003344E2"/>
    <w:rsid w:val="0033497D"/>
    <w:rsid w:val="00335C14"/>
    <w:rsid w:val="00335DD4"/>
    <w:rsid w:val="00336D8A"/>
    <w:rsid w:val="003410A3"/>
    <w:rsid w:val="003425A2"/>
    <w:rsid w:val="00343D3E"/>
    <w:rsid w:val="00343DD4"/>
    <w:rsid w:val="003451B0"/>
    <w:rsid w:val="003463A6"/>
    <w:rsid w:val="00353160"/>
    <w:rsid w:val="00353C9E"/>
    <w:rsid w:val="00355ABB"/>
    <w:rsid w:val="0035778F"/>
    <w:rsid w:val="00360725"/>
    <w:rsid w:val="003612E1"/>
    <w:rsid w:val="00361310"/>
    <w:rsid w:val="00362227"/>
    <w:rsid w:val="003645C6"/>
    <w:rsid w:val="003664A5"/>
    <w:rsid w:val="00366AD0"/>
    <w:rsid w:val="00366E2C"/>
    <w:rsid w:val="0036719E"/>
    <w:rsid w:val="00367F67"/>
    <w:rsid w:val="003705FF"/>
    <w:rsid w:val="0037214D"/>
    <w:rsid w:val="0037218F"/>
    <w:rsid w:val="0037382D"/>
    <w:rsid w:val="00375B53"/>
    <w:rsid w:val="0037623F"/>
    <w:rsid w:val="00376908"/>
    <w:rsid w:val="003801FC"/>
    <w:rsid w:val="003803EC"/>
    <w:rsid w:val="00382F68"/>
    <w:rsid w:val="00383F3F"/>
    <w:rsid w:val="003844ED"/>
    <w:rsid w:val="00385213"/>
    <w:rsid w:val="00390938"/>
    <w:rsid w:val="00391622"/>
    <w:rsid w:val="0039403B"/>
    <w:rsid w:val="0039441C"/>
    <w:rsid w:val="00396204"/>
    <w:rsid w:val="00396394"/>
    <w:rsid w:val="00396418"/>
    <w:rsid w:val="003969A2"/>
    <w:rsid w:val="00396CAF"/>
    <w:rsid w:val="003979D5"/>
    <w:rsid w:val="003A0F89"/>
    <w:rsid w:val="003A17C1"/>
    <w:rsid w:val="003A3637"/>
    <w:rsid w:val="003A37DB"/>
    <w:rsid w:val="003A3A71"/>
    <w:rsid w:val="003A3B40"/>
    <w:rsid w:val="003A51BA"/>
    <w:rsid w:val="003A53B5"/>
    <w:rsid w:val="003B1BCB"/>
    <w:rsid w:val="003B1C5B"/>
    <w:rsid w:val="003B3072"/>
    <w:rsid w:val="003B3976"/>
    <w:rsid w:val="003B4138"/>
    <w:rsid w:val="003B49D0"/>
    <w:rsid w:val="003B602F"/>
    <w:rsid w:val="003B7AD7"/>
    <w:rsid w:val="003C044E"/>
    <w:rsid w:val="003C0FC8"/>
    <w:rsid w:val="003D0393"/>
    <w:rsid w:val="003D3146"/>
    <w:rsid w:val="003D452A"/>
    <w:rsid w:val="003D691D"/>
    <w:rsid w:val="003E111E"/>
    <w:rsid w:val="003E345E"/>
    <w:rsid w:val="003E52A0"/>
    <w:rsid w:val="003E53F4"/>
    <w:rsid w:val="003E6A0C"/>
    <w:rsid w:val="003E7281"/>
    <w:rsid w:val="003E7A6A"/>
    <w:rsid w:val="003F199F"/>
    <w:rsid w:val="003F235B"/>
    <w:rsid w:val="003F6EA7"/>
    <w:rsid w:val="00400136"/>
    <w:rsid w:val="00400FB9"/>
    <w:rsid w:val="0040164F"/>
    <w:rsid w:val="004021C3"/>
    <w:rsid w:val="00404928"/>
    <w:rsid w:val="00404DD1"/>
    <w:rsid w:val="00405BA1"/>
    <w:rsid w:val="004060DD"/>
    <w:rsid w:val="00407512"/>
    <w:rsid w:val="00414B23"/>
    <w:rsid w:val="00417206"/>
    <w:rsid w:val="00420057"/>
    <w:rsid w:val="004200C0"/>
    <w:rsid w:val="00421263"/>
    <w:rsid w:val="00421584"/>
    <w:rsid w:val="00422560"/>
    <w:rsid w:val="00425BB9"/>
    <w:rsid w:val="00426117"/>
    <w:rsid w:val="00427BD5"/>
    <w:rsid w:val="00430CB7"/>
    <w:rsid w:val="00430E0D"/>
    <w:rsid w:val="00432169"/>
    <w:rsid w:val="00433416"/>
    <w:rsid w:val="00433E27"/>
    <w:rsid w:val="0043512D"/>
    <w:rsid w:val="0043567B"/>
    <w:rsid w:val="004361DF"/>
    <w:rsid w:val="0043709E"/>
    <w:rsid w:val="00437D2D"/>
    <w:rsid w:val="00437FED"/>
    <w:rsid w:val="00440C34"/>
    <w:rsid w:val="00444221"/>
    <w:rsid w:val="004469CD"/>
    <w:rsid w:val="00446D2E"/>
    <w:rsid w:val="00450F36"/>
    <w:rsid w:val="00452099"/>
    <w:rsid w:val="00461222"/>
    <w:rsid w:val="004614B8"/>
    <w:rsid w:val="00461FFA"/>
    <w:rsid w:val="004621A6"/>
    <w:rsid w:val="00465354"/>
    <w:rsid w:val="00474304"/>
    <w:rsid w:val="004745A6"/>
    <w:rsid w:val="00474B79"/>
    <w:rsid w:val="004753C6"/>
    <w:rsid w:val="00475F0A"/>
    <w:rsid w:val="00477E83"/>
    <w:rsid w:val="004816BC"/>
    <w:rsid w:val="00481BBE"/>
    <w:rsid w:val="004834DC"/>
    <w:rsid w:val="004877CA"/>
    <w:rsid w:val="00491C89"/>
    <w:rsid w:val="00492C04"/>
    <w:rsid w:val="00495AE4"/>
    <w:rsid w:val="004971B8"/>
    <w:rsid w:val="00497886"/>
    <w:rsid w:val="004A11F2"/>
    <w:rsid w:val="004A1A22"/>
    <w:rsid w:val="004B2446"/>
    <w:rsid w:val="004B2C94"/>
    <w:rsid w:val="004B5A51"/>
    <w:rsid w:val="004B6186"/>
    <w:rsid w:val="004B64DC"/>
    <w:rsid w:val="004B723F"/>
    <w:rsid w:val="004C1F31"/>
    <w:rsid w:val="004C2C35"/>
    <w:rsid w:val="004C3C61"/>
    <w:rsid w:val="004C541B"/>
    <w:rsid w:val="004C6442"/>
    <w:rsid w:val="004D1850"/>
    <w:rsid w:val="004D40E2"/>
    <w:rsid w:val="004D48C6"/>
    <w:rsid w:val="004E4A1F"/>
    <w:rsid w:val="004E7DC8"/>
    <w:rsid w:val="004E7F72"/>
    <w:rsid w:val="004F035C"/>
    <w:rsid w:val="004F212E"/>
    <w:rsid w:val="004F4BC0"/>
    <w:rsid w:val="004F5FC4"/>
    <w:rsid w:val="004F65B0"/>
    <w:rsid w:val="005023B4"/>
    <w:rsid w:val="00502F0A"/>
    <w:rsid w:val="005031B8"/>
    <w:rsid w:val="005045B4"/>
    <w:rsid w:val="005052E1"/>
    <w:rsid w:val="00511150"/>
    <w:rsid w:val="005113B8"/>
    <w:rsid w:val="00515E6E"/>
    <w:rsid w:val="0051703A"/>
    <w:rsid w:val="00517D39"/>
    <w:rsid w:val="00520D74"/>
    <w:rsid w:val="005211B1"/>
    <w:rsid w:val="00522666"/>
    <w:rsid w:val="005240C4"/>
    <w:rsid w:val="00524F2F"/>
    <w:rsid w:val="005253C1"/>
    <w:rsid w:val="0052551E"/>
    <w:rsid w:val="0052680B"/>
    <w:rsid w:val="005279A3"/>
    <w:rsid w:val="00527C72"/>
    <w:rsid w:val="00530005"/>
    <w:rsid w:val="00530361"/>
    <w:rsid w:val="005303F9"/>
    <w:rsid w:val="00530952"/>
    <w:rsid w:val="005310C0"/>
    <w:rsid w:val="0053279D"/>
    <w:rsid w:val="00533B40"/>
    <w:rsid w:val="0053444E"/>
    <w:rsid w:val="005366F5"/>
    <w:rsid w:val="00536C49"/>
    <w:rsid w:val="005435AF"/>
    <w:rsid w:val="00543E9D"/>
    <w:rsid w:val="005455C6"/>
    <w:rsid w:val="005456F8"/>
    <w:rsid w:val="00545ABC"/>
    <w:rsid w:val="00546BB7"/>
    <w:rsid w:val="00550087"/>
    <w:rsid w:val="00552B97"/>
    <w:rsid w:val="005536E4"/>
    <w:rsid w:val="00553827"/>
    <w:rsid w:val="005557AB"/>
    <w:rsid w:val="005654C3"/>
    <w:rsid w:val="0056629A"/>
    <w:rsid w:val="0057006B"/>
    <w:rsid w:val="00570B55"/>
    <w:rsid w:val="0057116E"/>
    <w:rsid w:val="00571C53"/>
    <w:rsid w:val="00572DA0"/>
    <w:rsid w:val="00577B34"/>
    <w:rsid w:val="00581699"/>
    <w:rsid w:val="00582348"/>
    <w:rsid w:val="0058374D"/>
    <w:rsid w:val="00584CD6"/>
    <w:rsid w:val="005856E7"/>
    <w:rsid w:val="005870B3"/>
    <w:rsid w:val="00587416"/>
    <w:rsid w:val="005927CE"/>
    <w:rsid w:val="005942E3"/>
    <w:rsid w:val="005947A1"/>
    <w:rsid w:val="00594CDC"/>
    <w:rsid w:val="00595022"/>
    <w:rsid w:val="005961C0"/>
    <w:rsid w:val="005A37A9"/>
    <w:rsid w:val="005A4CD0"/>
    <w:rsid w:val="005A58F8"/>
    <w:rsid w:val="005A6C65"/>
    <w:rsid w:val="005A6FA0"/>
    <w:rsid w:val="005A77B1"/>
    <w:rsid w:val="005B0098"/>
    <w:rsid w:val="005B0EFF"/>
    <w:rsid w:val="005B2CE6"/>
    <w:rsid w:val="005B4008"/>
    <w:rsid w:val="005B5B2E"/>
    <w:rsid w:val="005B7999"/>
    <w:rsid w:val="005C0265"/>
    <w:rsid w:val="005C1E8B"/>
    <w:rsid w:val="005C3F59"/>
    <w:rsid w:val="005C4351"/>
    <w:rsid w:val="005C4B26"/>
    <w:rsid w:val="005D021C"/>
    <w:rsid w:val="005D0846"/>
    <w:rsid w:val="005D445F"/>
    <w:rsid w:val="005D713D"/>
    <w:rsid w:val="005E23AF"/>
    <w:rsid w:val="005E42B0"/>
    <w:rsid w:val="005E4869"/>
    <w:rsid w:val="005E60F4"/>
    <w:rsid w:val="005E69CC"/>
    <w:rsid w:val="005E6B82"/>
    <w:rsid w:val="005E6D56"/>
    <w:rsid w:val="005E6F6C"/>
    <w:rsid w:val="005E7AC1"/>
    <w:rsid w:val="005E7E15"/>
    <w:rsid w:val="005E7F4B"/>
    <w:rsid w:val="005F0571"/>
    <w:rsid w:val="005F090B"/>
    <w:rsid w:val="005F175B"/>
    <w:rsid w:val="005F4550"/>
    <w:rsid w:val="005F51AC"/>
    <w:rsid w:val="005F5521"/>
    <w:rsid w:val="005F5705"/>
    <w:rsid w:val="005F5B59"/>
    <w:rsid w:val="00605D7D"/>
    <w:rsid w:val="00605F9E"/>
    <w:rsid w:val="00607449"/>
    <w:rsid w:val="00607882"/>
    <w:rsid w:val="00607EFF"/>
    <w:rsid w:val="00611669"/>
    <w:rsid w:val="0061277F"/>
    <w:rsid w:val="0061304F"/>
    <w:rsid w:val="00613BAD"/>
    <w:rsid w:val="006155FA"/>
    <w:rsid w:val="00616061"/>
    <w:rsid w:val="006161A8"/>
    <w:rsid w:val="00620388"/>
    <w:rsid w:val="006209DB"/>
    <w:rsid w:val="0062340D"/>
    <w:rsid w:val="00623E41"/>
    <w:rsid w:val="00624E73"/>
    <w:rsid w:val="00626643"/>
    <w:rsid w:val="0062713D"/>
    <w:rsid w:val="00627AB4"/>
    <w:rsid w:val="00630327"/>
    <w:rsid w:val="00630483"/>
    <w:rsid w:val="00633961"/>
    <w:rsid w:val="00633966"/>
    <w:rsid w:val="00634FD7"/>
    <w:rsid w:val="00637A97"/>
    <w:rsid w:val="00641C0B"/>
    <w:rsid w:val="00642E7F"/>
    <w:rsid w:val="00643E9C"/>
    <w:rsid w:val="00646D4B"/>
    <w:rsid w:val="00651017"/>
    <w:rsid w:val="00651D2C"/>
    <w:rsid w:val="00652485"/>
    <w:rsid w:val="0065352F"/>
    <w:rsid w:val="00656065"/>
    <w:rsid w:val="00656DBC"/>
    <w:rsid w:val="00662390"/>
    <w:rsid w:val="0066450D"/>
    <w:rsid w:val="006646AA"/>
    <w:rsid w:val="00665343"/>
    <w:rsid w:val="0066537D"/>
    <w:rsid w:val="00666AD8"/>
    <w:rsid w:val="00671056"/>
    <w:rsid w:val="00672508"/>
    <w:rsid w:val="00672768"/>
    <w:rsid w:val="00676C9E"/>
    <w:rsid w:val="00676FC7"/>
    <w:rsid w:val="00677C7E"/>
    <w:rsid w:val="0068083C"/>
    <w:rsid w:val="00680B95"/>
    <w:rsid w:val="0068433F"/>
    <w:rsid w:val="006862D1"/>
    <w:rsid w:val="00691806"/>
    <w:rsid w:val="006922AB"/>
    <w:rsid w:val="00692DDF"/>
    <w:rsid w:val="00694CF0"/>
    <w:rsid w:val="006959AB"/>
    <w:rsid w:val="00697C43"/>
    <w:rsid w:val="006A1333"/>
    <w:rsid w:val="006A25BA"/>
    <w:rsid w:val="006A28DD"/>
    <w:rsid w:val="006A308B"/>
    <w:rsid w:val="006A4B0C"/>
    <w:rsid w:val="006A7ADE"/>
    <w:rsid w:val="006B001A"/>
    <w:rsid w:val="006B048F"/>
    <w:rsid w:val="006B05E1"/>
    <w:rsid w:val="006B0783"/>
    <w:rsid w:val="006B0F11"/>
    <w:rsid w:val="006B136C"/>
    <w:rsid w:val="006B24A9"/>
    <w:rsid w:val="006B7698"/>
    <w:rsid w:val="006B7D34"/>
    <w:rsid w:val="006C03CF"/>
    <w:rsid w:val="006C35F0"/>
    <w:rsid w:val="006C3661"/>
    <w:rsid w:val="006C4A19"/>
    <w:rsid w:val="006C50CA"/>
    <w:rsid w:val="006D2AB4"/>
    <w:rsid w:val="006D44A5"/>
    <w:rsid w:val="006D5003"/>
    <w:rsid w:val="006D5327"/>
    <w:rsid w:val="006D5C12"/>
    <w:rsid w:val="006E18BF"/>
    <w:rsid w:val="006E46AB"/>
    <w:rsid w:val="006E698E"/>
    <w:rsid w:val="006F0350"/>
    <w:rsid w:val="006F0CAC"/>
    <w:rsid w:val="006F3F9A"/>
    <w:rsid w:val="006F4465"/>
    <w:rsid w:val="006F4834"/>
    <w:rsid w:val="006F4A17"/>
    <w:rsid w:val="006F4B48"/>
    <w:rsid w:val="006F4C93"/>
    <w:rsid w:val="006F6163"/>
    <w:rsid w:val="007064CA"/>
    <w:rsid w:val="00706E16"/>
    <w:rsid w:val="00710944"/>
    <w:rsid w:val="00713B75"/>
    <w:rsid w:val="00714F80"/>
    <w:rsid w:val="00716D6E"/>
    <w:rsid w:val="007204E4"/>
    <w:rsid w:val="0072059F"/>
    <w:rsid w:val="00722C68"/>
    <w:rsid w:val="007251F9"/>
    <w:rsid w:val="00731F47"/>
    <w:rsid w:val="00736613"/>
    <w:rsid w:val="007464F2"/>
    <w:rsid w:val="00751D63"/>
    <w:rsid w:val="007544F3"/>
    <w:rsid w:val="007555B9"/>
    <w:rsid w:val="007567D3"/>
    <w:rsid w:val="0075703D"/>
    <w:rsid w:val="0076186A"/>
    <w:rsid w:val="00763F86"/>
    <w:rsid w:val="007643E0"/>
    <w:rsid w:val="00770AB8"/>
    <w:rsid w:val="00773AD1"/>
    <w:rsid w:val="007776CE"/>
    <w:rsid w:val="00777D57"/>
    <w:rsid w:val="00785F3D"/>
    <w:rsid w:val="00786660"/>
    <w:rsid w:val="007907DB"/>
    <w:rsid w:val="007920B6"/>
    <w:rsid w:val="00794206"/>
    <w:rsid w:val="00795691"/>
    <w:rsid w:val="00797C5F"/>
    <w:rsid w:val="007A566F"/>
    <w:rsid w:val="007B0CA2"/>
    <w:rsid w:val="007B2DC4"/>
    <w:rsid w:val="007B2F59"/>
    <w:rsid w:val="007B3DE7"/>
    <w:rsid w:val="007B4667"/>
    <w:rsid w:val="007B5004"/>
    <w:rsid w:val="007B515E"/>
    <w:rsid w:val="007B5C70"/>
    <w:rsid w:val="007B67BD"/>
    <w:rsid w:val="007C03E0"/>
    <w:rsid w:val="007C04C1"/>
    <w:rsid w:val="007C0D53"/>
    <w:rsid w:val="007C153F"/>
    <w:rsid w:val="007C3552"/>
    <w:rsid w:val="007C35A3"/>
    <w:rsid w:val="007C4ED0"/>
    <w:rsid w:val="007D2A42"/>
    <w:rsid w:val="007D32F7"/>
    <w:rsid w:val="007D432D"/>
    <w:rsid w:val="007D5C1F"/>
    <w:rsid w:val="007E0CA9"/>
    <w:rsid w:val="007E132B"/>
    <w:rsid w:val="007E1DA4"/>
    <w:rsid w:val="007E1EB1"/>
    <w:rsid w:val="007E2398"/>
    <w:rsid w:val="007E31AB"/>
    <w:rsid w:val="007F0665"/>
    <w:rsid w:val="007F3056"/>
    <w:rsid w:val="007F4204"/>
    <w:rsid w:val="007F7A82"/>
    <w:rsid w:val="00802D34"/>
    <w:rsid w:val="0080402F"/>
    <w:rsid w:val="008048AC"/>
    <w:rsid w:val="00806342"/>
    <w:rsid w:val="0080661F"/>
    <w:rsid w:val="0080750B"/>
    <w:rsid w:val="008100D6"/>
    <w:rsid w:val="0081229E"/>
    <w:rsid w:val="008149E7"/>
    <w:rsid w:val="00814C9B"/>
    <w:rsid w:val="00820C3E"/>
    <w:rsid w:val="00825749"/>
    <w:rsid w:val="0083054A"/>
    <w:rsid w:val="00834279"/>
    <w:rsid w:val="0083528C"/>
    <w:rsid w:val="00835661"/>
    <w:rsid w:val="00835FCB"/>
    <w:rsid w:val="00836F19"/>
    <w:rsid w:val="00842D7A"/>
    <w:rsid w:val="0084657D"/>
    <w:rsid w:val="00851C65"/>
    <w:rsid w:val="00854CA5"/>
    <w:rsid w:val="00855083"/>
    <w:rsid w:val="0086317D"/>
    <w:rsid w:val="00863727"/>
    <w:rsid w:val="00863CE0"/>
    <w:rsid w:val="00867C5F"/>
    <w:rsid w:val="00870FD8"/>
    <w:rsid w:val="008716B5"/>
    <w:rsid w:val="00872C5B"/>
    <w:rsid w:val="008736F0"/>
    <w:rsid w:val="0087429F"/>
    <w:rsid w:val="0087535F"/>
    <w:rsid w:val="00876AFE"/>
    <w:rsid w:val="00876C15"/>
    <w:rsid w:val="00877312"/>
    <w:rsid w:val="00877335"/>
    <w:rsid w:val="00880C29"/>
    <w:rsid w:val="00883F73"/>
    <w:rsid w:val="00885B65"/>
    <w:rsid w:val="008871C2"/>
    <w:rsid w:val="00887E70"/>
    <w:rsid w:val="00891994"/>
    <w:rsid w:val="00894D73"/>
    <w:rsid w:val="00895E7E"/>
    <w:rsid w:val="0089602C"/>
    <w:rsid w:val="008A0005"/>
    <w:rsid w:val="008A0263"/>
    <w:rsid w:val="008A1FC6"/>
    <w:rsid w:val="008A37A2"/>
    <w:rsid w:val="008A4724"/>
    <w:rsid w:val="008A5983"/>
    <w:rsid w:val="008A6124"/>
    <w:rsid w:val="008B0689"/>
    <w:rsid w:val="008B1734"/>
    <w:rsid w:val="008B6613"/>
    <w:rsid w:val="008B7195"/>
    <w:rsid w:val="008B721F"/>
    <w:rsid w:val="008C79E7"/>
    <w:rsid w:val="008D20C4"/>
    <w:rsid w:val="008D31B8"/>
    <w:rsid w:val="008D3DAA"/>
    <w:rsid w:val="008D40A3"/>
    <w:rsid w:val="008D4AC5"/>
    <w:rsid w:val="008D54CF"/>
    <w:rsid w:val="008D668E"/>
    <w:rsid w:val="008D7485"/>
    <w:rsid w:val="008E0495"/>
    <w:rsid w:val="008E2E13"/>
    <w:rsid w:val="008E3075"/>
    <w:rsid w:val="008E6855"/>
    <w:rsid w:val="008E6F95"/>
    <w:rsid w:val="008E7280"/>
    <w:rsid w:val="008F23D7"/>
    <w:rsid w:val="008F3933"/>
    <w:rsid w:val="008F44F6"/>
    <w:rsid w:val="008F454B"/>
    <w:rsid w:val="008F604A"/>
    <w:rsid w:val="008F79A7"/>
    <w:rsid w:val="009008E5"/>
    <w:rsid w:val="00904414"/>
    <w:rsid w:val="00904CF3"/>
    <w:rsid w:val="009101DC"/>
    <w:rsid w:val="00910652"/>
    <w:rsid w:val="00911DC8"/>
    <w:rsid w:val="009127A1"/>
    <w:rsid w:val="00912D23"/>
    <w:rsid w:val="00913686"/>
    <w:rsid w:val="00914055"/>
    <w:rsid w:val="009144EA"/>
    <w:rsid w:val="00914533"/>
    <w:rsid w:val="009158B8"/>
    <w:rsid w:val="009173AA"/>
    <w:rsid w:val="0091772F"/>
    <w:rsid w:val="0092044E"/>
    <w:rsid w:val="009206FD"/>
    <w:rsid w:val="00923B0C"/>
    <w:rsid w:val="00924F4D"/>
    <w:rsid w:val="0092594E"/>
    <w:rsid w:val="00930684"/>
    <w:rsid w:val="00931EB3"/>
    <w:rsid w:val="009330F0"/>
    <w:rsid w:val="00933606"/>
    <w:rsid w:val="00935374"/>
    <w:rsid w:val="00935F2C"/>
    <w:rsid w:val="00942828"/>
    <w:rsid w:val="00944B42"/>
    <w:rsid w:val="00945B3D"/>
    <w:rsid w:val="00945C6F"/>
    <w:rsid w:val="00945F62"/>
    <w:rsid w:val="00950F43"/>
    <w:rsid w:val="00951041"/>
    <w:rsid w:val="00951DE3"/>
    <w:rsid w:val="00954833"/>
    <w:rsid w:val="0095533B"/>
    <w:rsid w:val="00956D72"/>
    <w:rsid w:val="0096163C"/>
    <w:rsid w:val="00964019"/>
    <w:rsid w:val="00964740"/>
    <w:rsid w:val="009654D3"/>
    <w:rsid w:val="009657A1"/>
    <w:rsid w:val="0096623A"/>
    <w:rsid w:val="00966A4E"/>
    <w:rsid w:val="00967939"/>
    <w:rsid w:val="0097199D"/>
    <w:rsid w:val="0097280D"/>
    <w:rsid w:val="00976656"/>
    <w:rsid w:val="009778A2"/>
    <w:rsid w:val="00977FD9"/>
    <w:rsid w:val="00981519"/>
    <w:rsid w:val="00982C48"/>
    <w:rsid w:val="00983B62"/>
    <w:rsid w:val="00990D02"/>
    <w:rsid w:val="00992C14"/>
    <w:rsid w:val="0099301B"/>
    <w:rsid w:val="00993D2D"/>
    <w:rsid w:val="00993D6C"/>
    <w:rsid w:val="009A197D"/>
    <w:rsid w:val="009A2CE0"/>
    <w:rsid w:val="009A5E9D"/>
    <w:rsid w:val="009A6B97"/>
    <w:rsid w:val="009A6E79"/>
    <w:rsid w:val="009A77A7"/>
    <w:rsid w:val="009B20D0"/>
    <w:rsid w:val="009B3CC4"/>
    <w:rsid w:val="009B4450"/>
    <w:rsid w:val="009B5A74"/>
    <w:rsid w:val="009B6547"/>
    <w:rsid w:val="009B7BE7"/>
    <w:rsid w:val="009B7CFE"/>
    <w:rsid w:val="009C03A7"/>
    <w:rsid w:val="009C10A5"/>
    <w:rsid w:val="009C2406"/>
    <w:rsid w:val="009C249A"/>
    <w:rsid w:val="009C38F5"/>
    <w:rsid w:val="009C47A7"/>
    <w:rsid w:val="009C47C9"/>
    <w:rsid w:val="009C6FD0"/>
    <w:rsid w:val="009D0618"/>
    <w:rsid w:val="009D0A75"/>
    <w:rsid w:val="009D168C"/>
    <w:rsid w:val="009D1C92"/>
    <w:rsid w:val="009D2B98"/>
    <w:rsid w:val="009D3A86"/>
    <w:rsid w:val="009D3CE5"/>
    <w:rsid w:val="009D4BCC"/>
    <w:rsid w:val="009D4E60"/>
    <w:rsid w:val="009D6414"/>
    <w:rsid w:val="009E0D6B"/>
    <w:rsid w:val="009E1DA1"/>
    <w:rsid w:val="009E25C3"/>
    <w:rsid w:val="009E2A9E"/>
    <w:rsid w:val="009E32EE"/>
    <w:rsid w:val="009E4D2B"/>
    <w:rsid w:val="009E66EF"/>
    <w:rsid w:val="009E7952"/>
    <w:rsid w:val="009F03EC"/>
    <w:rsid w:val="009F0831"/>
    <w:rsid w:val="009F12E1"/>
    <w:rsid w:val="00A00EDC"/>
    <w:rsid w:val="00A01491"/>
    <w:rsid w:val="00A0157C"/>
    <w:rsid w:val="00A032B4"/>
    <w:rsid w:val="00A048AE"/>
    <w:rsid w:val="00A05121"/>
    <w:rsid w:val="00A07A0F"/>
    <w:rsid w:val="00A07D1C"/>
    <w:rsid w:val="00A100A6"/>
    <w:rsid w:val="00A106F9"/>
    <w:rsid w:val="00A1460B"/>
    <w:rsid w:val="00A14A18"/>
    <w:rsid w:val="00A17FD1"/>
    <w:rsid w:val="00A205D5"/>
    <w:rsid w:val="00A2081A"/>
    <w:rsid w:val="00A21255"/>
    <w:rsid w:val="00A226AE"/>
    <w:rsid w:val="00A23B7F"/>
    <w:rsid w:val="00A25393"/>
    <w:rsid w:val="00A27FA1"/>
    <w:rsid w:val="00A31A03"/>
    <w:rsid w:val="00A338B3"/>
    <w:rsid w:val="00A340A6"/>
    <w:rsid w:val="00A363CE"/>
    <w:rsid w:val="00A40396"/>
    <w:rsid w:val="00A428A2"/>
    <w:rsid w:val="00A4637E"/>
    <w:rsid w:val="00A46D7F"/>
    <w:rsid w:val="00A50E07"/>
    <w:rsid w:val="00A5318F"/>
    <w:rsid w:val="00A532B6"/>
    <w:rsid w:val="00A553C9"/>
    <w:rsid w:val="00A560AC"/>
    <w:rsid w:val="00A630FA"/>
    <w:rsid w:val="00A64354"/>
    <w:rsid w:val="00A64388"/>
    <w:rsid w:val="00A66AC8"/>
    <w:rsid w:val="00A678AD"/>
    <w:rsid w:val="00A7006E"/>
    <w:rsid w:val="00A703B5"/>
    <w:rsid w:val="00A71BD1"/>
    <w:rsid w:val="00A725A6"/>
    <w:rsid w:val="00A73DAF"/>
    <w:rsid w:val="00A74394"/>
    <w:rsid w:val="00A811EE"/>
    <w:rsid w:val="00A815A8"/>
    <w:rsid w:val="00A83C8E"/>
    <w:rsid w:val="00A909CB"/>
    <w:rsid w:val="00A9109A"/>
    <w:rsid w:val="00A91647"/>
    <w:rsid w:val="00A918DB"/>
    <w:rsid w:val="00A93D7D"/>
    <w:rsid w:val="00A9406C"/>
    <w:rsid w:val="00A950EA"/>
    <w:rsid w:val="00A95DBE"/>
    <w:rsid w:val="00A96636"/>
    <w:rsid w:val="00A9669B"/>
    <w:rsid w:val="00A96B45"/>
    <w:rsid w:val="00A977E2"/>
    <w:rsid w:val="00A97885"/>
    <w:rsid w:val="00AA0721"/>
    <w:rsid w:val="00AA13D1"/>
    <w:rsid w:val="00AA4BA6"/>
    <w:rsid w:val="00AA7F3A"/>
    <w:rsid w:val="00AB7568"/>
    <w:rsid w:val="00AC0C5F"/>
    <w:rsid w:val="00AC0D98"/>
    <w:rsid w:val="00AC13E6"/>
    <w:rsid w:val="00AC2A34"/>
    <w:rsid w:val="00AC2CCA"/>
    <w:rsid w:val="00AC2E3E"/>
    <w:rsid w:val="00AC4C06"/>
    <w:rsid w:val="00AC5566"/>
    <w:rsid w:val="00AC68A4"/>
    <w:rsid w:val="00AC7A52"/>
    <w:rsid w:val="00AC7E0E"/>
    <w:rsid w:val="00AD0677"/>
    <w:rsid w:val="00AD17F7"/>
    <w:rsid w:val="00AD399C"/>
    <w:rsid w:val="00AD3E8C"/>
    <w:rsid w:val="00AD5165"/>
    <w:rsid w:val="00AD6773"/>
    <w:rsid w:val="00AD6A95"/>
    <w:rsid w:val="00AD6B14"/>
    <w:rsid w:val="00AD71F1"/>
    <w:rsid w:val="00AD745E"/>
    <w:rsid w:val="00AE047F"/>
    <w:rsid w:val="00AE0F2A"/>
    <w:rsid w:val="00AE0F56"/>
    <w:rsid w:val="00AE186F"/>
    <w:rsid w:val="00AE25D2"/>
    <w:rsid w:val="00AE438D"/>
    <w:rsid w:val="00AE649C"/>
    <w:rsid w:val="00AE6DB3"/>
    <w:rsid w:val="00AE70D7"/>
    <w:rsid w:val="00AF3FC3"/>
    <w:rsid w:val="00AF4559"/>
    <w:rsid w:val="00AF4A99"/>
    <w:rsid w:val="00AF56F3"/>
    <w:rsid w:val="00AF59BD"/>
    <w:rsid w:val="00AF65D5"/>
    <w:rsid w:val="00AF7A9E"/>
    <w:rsid w:val="00B00D4B"/>
    <w:rsid w:val="00B0595B"/>
    <w:rsid w:val="00B07B81"/>
    <w:rsid w:val="00B114EF"/>
    <w:rsid w:val="00B1280A"/>
    <w:rsid w:val="00B131D6"/>
    <w:rsid w:val="00B1363F"/>
    <w:rsid w:val="00B14509"/>
    <w:rsid w:val="00B17134"/>
    <w:rsid w:val="00B1716C"/>
    <w:rsid w:val="00B173CD"/>
    <w:rsid w:val="00B2327A"/>
    <w:rsid w:val="00B2348A"/>
    <w:rsid w:val="00B236B6"/>
    <w:rsid w:val="00B237D2"/>
    <w:rsid w:val="00B244CF"/>
    <w:rsid w:val="00B246FB"/>
    <w:rsid w:val="00B2581E"/>
    <w:rsid w:val="00B26888"/>
    <w:rsid w:val="00B30B6F"/>
    <w:rsid w:val="00B3138D"/>
    <w:rsid w:val="00B34409"/>
    <w:rsid w:val="00B34777"/>
    <w:rsid w:val="00B3596F"/>
    <w:rsid w:val="00B41D53"/>
    <w:rsid w:val="00B4510A"/>
    <w:rsid w:val="00B51E7B"/>
    <w:rsid w:val="00B530E7"/>
    <w:rsid w:val="00B5401D"/>
    <w:rsid w:val="00B54A43"/>
    <w:rsid w:val="00B568F3"/>
    <w:rsid w:val="00B56928"/>
    <w:rsid w:val="00B60530"/>
    <w:rsid w:val="00B61895"/>
    <w:rsid w:val="00B656C4"/>
    <w:rsid w:val="00B66482"/>
    <w:rsid w:val="00B6685E"/>
    <w:rsid w:val="00B6771B"/>
    <w:rsid w:val="00B70B1D"/>
    <w:rsid w:val="00B70DDC"/>
    <w:rsid w:val="00B7183C"/>
    <w:rsid w:val="00B73958"/>
    <w:rsid w:val="00B73C58"/>
    <w:rsid w:val="00B7590F"/>
    <w:rsid w:val="00B75D98"/>
    <w:rsid w:val="00B76368"/>
    <w:rsid w:val="00B80EF1"/>
    <w:rsid w:val="00B82275"/>
    <w:rsid w:val="00B825A0"/>
    <w:rsid w:val="00B83557"/>
    <w:rsid w:val="00B8383D"/>
    <w:rsid w:val="00B847FF"/>
    <w:rsid w:val="00B84EAC"/>
    <w:rsid w:val="00B85051"/>
    <w:rsid w:val="00B86207"/>
    <w:rsid w:val="00B870F1"/>
    <w:rsid w:val="00B90499"/>
    <w:rsid w:val="00B91154"/>
    <w:rsid w:val="00B91D0A"/>
    <w:rsid w:val="00B92849"/>
    <w:rsid w:val="00B92AB6"/>
    <w:rsid w:val="00B92BAE"/>
    <w:rsid w:val="00B931F9"/>
    <w:rsid w:val="00B93FF3"/>
    <w:rsid w:val="00B94501"/>
    <w:rsid w:val="00B96C7F"/>
    <w:rsid w:val="00B96F3E"/>
    <w:rsid w:val="00BA0BDC"/>
    <w:rsid w:val="00BA2BC7"/>
    <w:rsid w:val="00BA3531"/>
    <w:rsid w:val="00BA6E41"/>
    <w:rsid w:val="00BA794B"/>
    <w:rsid w:val="00BA7FDD"/>
    <w:rsid w:val="00BB0D01"/>
    <w:rsid w:val="00BB12DB"/>
    <w:rsid w:val="00BB1DBE"/>
    <w:rsid w:val="00BB284A"/>
    <w:rsid w:val="00BB39A4"/>
    <w:rsid w:val="00BB468F"/>
    <w:rsid w:val="00BB4FAD"/>
    <w:rsid w:val="00BB6299"/>
    <w:rsid w:val="00BC06A8"/>
    <w:rsid w:val="00BC0CC0"/>
    <w:rsid w:val="00BC0DFA"/>
    <w:rsid w:val="00BC358F"/>
    <w:rsid w:val="00BC4CE6"/>
    <w:rsid w:val="00BC7C14"/>
    <w:rsid w:val="00BC7D12"/>
    <w:rsid w:val="00BD24BF"/>
    <w:rsid w:val="00BD46B8"/>
    <w:rsid w:val="00BD54C6"/>
    <w:rsid w:val="00BD75B1"/>
    <w:rsid w:val="00BE1CC3"/>
    <w:rsid w:val="00BE2533"/>
    <w:rsid w:val="00BE3E49"/>
    <w:rsid w:val="00BE475B"/>
    <w:rsid w:val="00BE4C36"/>
    <w:rsid w:val="00BE4E0C"/>
    <w:rsid w:val="00BE60AF"/>
    <w:rsid w:val="00BE6EFE"/>
    <w:rsid w:val="00BF0029"/>
    <w:rsid w:val="00BF00C8"/>
    <w:rsid w:val="00BF0F93"/>
    <w:rsid w:val="00BF1733"/>
    <w:rsid w:val="00BF1FFE"/>
    <w:rsid w:val="00BF21AB"/>
    <w:rsid w:val="00BF2FA8"/>
    <w:rsid w:val="00BF3A1C"/>
    <w:rsid w:val="00BF4242"/>
    <w:rsid w:val="00BF5CFC"/>
    <w:rsid w:val="00BF6CD0"/>
    <w:rsid w:val="00BF7FF9"/>
    <w:rsid w:val="00C00073"/>
    <w:rsid w:val="00C018E7"/>
    <w:rsid w:val="00C02BCF"/>
    <w:rsid w:val="00C0311C"/>
    <w:rsid w:val="00C059FA"/>
    <w:rsid w:val="00C0732B"/>
    <w:rsid w:val="00C07AB6"/>
    <w:rsid w:val="00C07BA6"/>
    <w:rsid w:val="00C11C1E"/>
    <w:rsid w:val="00C1286E"/>
    <w:rsid w:val="00C14087"/>
    <w:rsid w:val="00C143D3"/>
    <w:rsid w:val="00C14CC3"/>
    <w:rsid w:val="00C15B10"/>
    <w:rsid w:val="00C16929"/>
    <w:rsid w:val="00C17067"/>
    <w:rsid w:val="00C1778C"/>
    <w:rsid w:val="00C17824"/>
    <w:rsid w:val="00C23269"/>
    <w:rsid w:val="00C23547"/>
    <w:rsid w:val="00C2639E"/>
    <w:rsid w:val="00C26B93"/>
    <w:rsid w:val="00C27523"/>
    <w:rsid w:val="00C301F2"/>
    <w:rsid w:val="00C302CD"/>
    <w:rsid w:val="00C324ED"/>
    <w:rsid w:val="00C3422F"/>
    <w:rsid w:val="00C40534"/>
    <w:rsid w:val="00C40612"/>
    <w:rsid w:val="00C40883"/>
    <w:rsid w:val="00C43198"/>
    <w:rsid w:val="00C46888"/>
    <w:rsid w:val="00C4776B"/>
    <w:rsid w:val="00C50088"/>
    <w:rsid w:val="00C50235"/>
    <w:rsid w:val="00C52170"/>
    <w:rsid w:val="00C52DA7"/>
    <w:rsid w:val="00C54C4E"/>
    <w:rsid w:val="00C55DA1"/>
    <w:rsid w:val="00C56988"/>
    <w:rsid w:val="00C57BA7"/>
    <w:rsid w:val="00C61D76"/>
    <w:rsid w:val="00C61DC0"/>
    <w:rsid w:val="00C622F1"/>
    <w:rsid w:val="00C651FA"/>
    <w:rsid w:val="00C65704"/>
    <w:rsid w:val="00C659F0"/>
    <w:rsid w:val="00C66854"/>
    <w:rsid w:val="00C7080F"/>
    <w:rsid w:val="00C70907"/>
    <w:rsid w:val="00C71031"/>
    <w:rsid w:val="00C71E28"/>
    <w:rsid w:val="00C7592B"/>
    <w:rsid w:val="00C77239"/>
    <w:rsid w:val="00C813AB"/>
    <w:rsid w:val="00C83AD7"/>
    <w:rsid w:val="00C84AA3"/>
    <w:rsid w:val="00C84F01"/>
    <w:rsid w:val="00C86C04"/>
    <w:rsid w:val="00C902F2"/>
    <w:rsid w:val="00C906C9"/>
    <w:rsid w:val="00C91C0F"/>
    <w:rsid w:val="00C92465"/>
    <w:rsid w:val="00C93C6D"/>
    <w:rsid w:val="00C944AC"/>
    <w:rsid w:val="00C94EDF"/>
    <w:rsid w:val="00C963D8"/>
    <w:rsid w:val="00C96639"/>
    <w:rsid w:val="00C97494"/>
    <w:rsid w:val="00CA39F1"/>
    <w:rsid w:val="00CA6253"/>
    <w:rsid w:val="00CB0112"/>
    <w:rsid w:val="00CB04D7"/>
    <w:rsid w:val="00CB1927"/>
    <w:rsid w:val="00CB1EEE"/>
    <w:rsid w:val="00CB2AF2"/>
    <w:rsid w:val="00CB3A37"/>
    <w:rsid w:val="00CB3A58"/>
    <w:rsid w:val="00CB5C68"/>
    <w:rsid w:val="00CC0639"/>
    <w:rsid w:val="00CC1098"/>
    <w:rsid w:val="00CC2030"/>
    <w:rsid w:val="00CC3826"/>
    <w:rsid w:val="00CD0802"/>
    <w:rsid w:val="00CD0BEA"/>
    <w:rsid w:val="00CD549C"/>
    <w:rsid w:val="00CD6815"/>
    <w:rsid w:val="00CD7AD0"/>
    <w:rsid w:val="00CE0279"/>
    <w:rsid w:val="00CE2A43"/>
    <w:rsid w:val="00CE2CA7"/>
    <w:rsid w:val="00CE3991"/>
    <w:rsid w:val="00CE78CD"/>
    <w:rsid w:val="00CF1033"/>
    <w:rsid w:val="00CF2910"/>
    <w:rsid w:val="00D04121"/>
    <w:rsid w:val="00D06595"/>
    <w:rsid w:val="00D10B34"/>
    <w:rsid w:val="00D116F4"/>
    <w:rsid w:val="00D14639"/>
    <w:rsid w:val="00D14DF1"/>
    <w:rsid w:val="00D20B95"/>
    <w:rsid w:val="00D2202A"/>
    <w:rsid w:val="00D223CF"/>
    <w:rsid w:val="00D26A20"/>
    <w:rsid w:val="00D274F1"/>
    <w:rsid w:val="00D304E6"/>
    <w:rsid w:val="00D31A50"/>
    <w:rsid w:val="00D35352"/>
    <w:rsid w:val="00D354BA"/>
    <w:rsid w:val="00D3554E"/>
    <w:rsid w:val="00D35E67"/>
    <w:rsid w:val="00D3700E"/>
    <w:rsid w:val="00D40A4D"/>
    <w:rsid w:val="00D41C9B"/>
    <w:rsid w:val="00D42EE9"/>
    <w:rsid w:val="00D44B4B"/>
    <w:rsid w:val="00D46659"/>
    <w:rsid w:val="00D5115A"/>
    <w:rsid w:val="00D521F8"/>
    <w:rsid w:val="00D52D8D"/>
    <w:rsid w:val="00D5431A"/>
    <w:rsid w:val="00D5541E"/>
    <w:rsid w:val="00D55F52"/>
    <w:rsid w:val="00D57B11"/>
    <w:rsid w:val="00D6129E"/>
    <w:rsid w:val="00D63A40"/>
    <w:rsid w:val="00D6526D"/>
    <w:rsid w:val="00D661B6"/>
    <w:rsid w:val="00D73780"/>
    <w:rsid w:val="00D750B3"/>
    <w:rsid w:val="00D7513D"/>
    <w:rsid w:val="00D752F6"/>
    <w:rsid w:val="00D75CA4"/>
    <w:rsid w:val="00D81954"/>
    <w:rsid w:val="00D82247"/>
    <w:rsid w:val="00D82FDC"/>
    <w:rsid w:val="00D836EB"/>
    <w:rsid w:val="00D8704D"/>
    <w:rsid w:val="00D9429B"/>
    <w:rsid w:val="00D94744"/>
    <w:rsid w:val="00D95236"/>
    <w:rsid w:val="00D95C34"/>
    <w:rsid w:val="00DA00EF"/>
    <w:rsid w:val="00DA0208"/>
    <w:rsid w:val="00DA2651"/>
    <w:rsid w:val="00DA2CC7"/>
    <w:rsid w:val="00DA447E"/>
    <w:rsid w:val="00DA44F4"/>
    <w:rsid w:val="00DA535D"/>
    <w:rsid w:val="00DA5AA4"/>
    <w:rsid w:val="00DA5F1D"/>
    <w:rsid w:val="00DA6465"/>
    <w:rsid w:val="00DA6E15"/>
    <w:rsid w:val="00DA7BDD"/>
    <w:rsid w:val="00DB1583"/>
    <w:rsid w:val="00DB3D75"/>
    <w:rsid w:val="00DB3F85"/>
    <w:rsid w:val="00DB42E4"/>
    <w:rsid w:val="00DB435A"/>
    <w:rsid w:val="00DB501F"/>
    <w:rsid w:val="00DB62FE"/>
    <w:rsid w:val="00DC05C5"/>
    <w:rsid w:val="00DC0AAD"/>
    <w:rsid w:val="00DC10C3"/>
    <w:rsid w:val="00DC2E1D"/>
    <w:rsid w:val="00DC7B2D"/>
    <w:rsid w:val="00DC7E54"/>
    <w:rsid w:val="00DD13D7"/>
    <w:rsid w:val="00DD2C10"/>
    <w:rsid w:val="00DD2C61"/>
    <w:rsid w:val="00DD4325"/>
    <w:rsid w:val="00DD537E"/>
    <w:rsid w:val="00DE0931"/>
    <w:rsid w:val="00DE0A8C"/>
    <w:rsid w:val="00DE0C51"/>
    <w:rsid w:val="00DE27D8"/>
    <w:rsid w:val="00DE3457"/>
    <w:rsid w:val="00DE674E"/>
    <w:rsid w:val="00DE6961"/>
    <w:rsid w:val="00DF03E6"/>
    <w:rsid w:val="00DF151E"/>
    <w:rsid w:val="00DF5196"/>
    <w:rsid w:val="00DF618A"/>
    <w:rsid w:val="00E01E8C"/>
    <w:rsid w:val="00E01E96"/>
    <w:rsid w:val="00E10AA0"/>
    <w:rsid w:val="00E10C01"/>
    <w:rsid w:val="00E1162D"/>
    <w:rsid w:val="00E13CB0"/>
    <w:rsid w:val="00E146F2"/>
    <w:rsid w:val="00E15A7B"/>
    <w:rsid w:val="00E15CF9"/>
    <w:rsid w:val="00E15E16"/>
    <w:rsid w:val="00E163E4"/>
    <w:rsid w:val="00E17D52"/>
    <w:rsid w:val="00E205CB"/>
    <w:rsid w:val="00E21747"/>
    <w:rsid w:val="00E21A15"/>
    <w:rsid w:val="00E21F4B"/>
    <w:rsid w:val="00E22135"/>
    <w:rsid w:val="00E228AB"/>
    <w:rsid w:val="00E23C06"/>
    <w:rsid w:val="00E2442C"/>
    <w:rsid w:val="00E26B3B"/>
    <w:rsid w:val="00E3078F"/>
    <w:rsid w:val="00E315AB"/>
    <w:rsid w:val="00E32DF4"/>
    <w:rsid w:val="00E331A5"/>
    <w:rsid w:val="00E34E1B"/>
    <w:rsid w:val="00E360F7"/>
    <w:rsid w:val="00E41815"/>
    <w:rsid w:val="00E531BE"/>
    <w:rsid w:val="00E54E63"/>
    <w:rsid w:val="00E55B5A"/>
    <w:rsid w:val="00E56391"/>
    <w:rsid w:val="00E601AD"/>
    <w:rsid w:val="00E60413"/>
    <w:rsid w:val="00E63303"/>
    <w:rsid w:val="00E63435"/>
    <w:rsid w:val="00E64255"/>
    <w:rsid w:val="00E65A95"/>
    <w:rsid w:val="00E65DB3"/>
    <w:rsid w:val="00E66588"/>
    <w:rsid w:val="00E668B9"/>
    <w:rsid w:val="00E66B67"/>
    <w:rsid w:val="00E6756A"/>
    <w:rsid w:val="00E70BBC"/>
    <w:rsid w:val="00E74F75"/>
    <w:rsid w:val="00E750A2"/>
    <w:rsid w:val="00E75669"/>
    <w:rsid w:val="00E75F55"/>
    <w:rsid w:val="00E77F25"/>
    <w:rsid w:val="00E80119"/>
    <w:rsid w:val="00E811DC"/>
    <w:rsid w:val="00E81532"/>
    <w:rsid w:val="00E8245E"/>
    <w:rsid w:val="00E82681"/>
    <w:rsid w:val="00E83AF3"/>
    <w:rsid w:val="00E86B24"/>
    <w:rsid w:val="00E870AE"/>
    <w:rsid w:val="00E87CCB"/>
    <w:rsid w:val="00E90B79"/>
    <w:rsid w:val="00E91220"/>
    <w:rsid w:val="00E91541"/>
    <w:rsid w:val="00E91974"/>
    <w:rsid w:val="00E94FC3"/>
    <w:rsid w:val="00E95873"/>
    <w:rsid w:val="00E962C5"/>
    <w:rsid w:val="00E96BC2"/>
    <w:rsid w:val="00E97854"/>
    <w:rsid w:val="00EA109C"/>
    <w:rsid w:val="00EA233E"/>
    <w:rsid w:val="00EA38FE"/>
    <w:rsid w:val="00EA54C0"/>
    <w:rsid w:val="00EA5E52"/>
    <w:rsid w:val="00EA75E6"/>
    <w:rsid w:val="00EB2914"/>
    <w:rsid w:val="00EC0F00"/>
    <w:rsid w:val="00EC4661"/>
    <w:rsid w:val="00EC61A5"/>
    <w:rsid w:val="00EC7CD1"/>
    <w:rsid w:val="00ED0601"/>
    <w:rsid w:val="00ED1A4D"/>
    <w:rsid w:val="00ED2B92"/>
    <w:rsid w:val="00ED6E9B"/>
    <w:rsid w:val="00ED77EC"/>
    <w:rsid w:val="00ED78F5"/>
    <w:rsid w:val="00EE055D"/>
    <w:rsid w:val="00EE1055"/>
    <w:rsid w:val="00EE2A62"/>
    <w:rsid w:val="00EE2FB7"/>
    <w:rsid w:val="00EE3712"/>
    <w:rsid w:val="00EE5D46"/>
    <w:rsid w:val="00EE6E0A"/>
    <w:rsid w:val="00EE7396"/>
    <w:rsid w:val="00EF3616"/>
    <w:rsid w:val="00EF365B"/>
    <w:rsid w:val="00EF386A"/>
    <w:rsid w:val="00EF416B"/>
    <w:rsid w:val="00F01CC6"/>
    <w:rsid w:val="00F02841"/>
    <w:rsid w:val="00F04598"/>
    <w:rsid w:val="00F0524C"/>
    <w:rsid w:val="00F06587"/>
    <w:rsid w:val="00F07307"/>
    <w:rsid w:val="00F10588"/>
    <w:rsid w:val="00F11419"/>
    <w:rsid w:val="00F11806"/>
    <w:rsid w:val="00F124D9"/>
    <w:rsid w:val="00F12EEA"/>
    <w:rsid w:val="00F12FA8"/>
    <w:rsid w:val="00F13EF3"/>
    <w:rsid w:val="00F158E3"/>
    <w:rsid w:val="00F16489"/>
    <w:rsid w:val="00F17147"/>
    <w:rsid w:val="00F23211"/>
    <w:rsid w:val="00F24956"/>
    <w:rsid w:val="00F24F2D"/>
    <w:rsid w:val="00F2609B"/>
    <w:rsid w:val="00F263D8"/>
    <w:rsid w:val="00F27CA3"/>
    <w:rsid w:val="00F30BED"/>
    <w:rsid w:val="00F31202"/>
    <w:rsid w:val="00F32CF0"/>
    <w:rsid w:val="00F377D2"/>
    <w:rsid w:val="00F41377"/>
    <w:rsid w:val="00F43A15"/>
    <w:rsid w:val="00F43F19"/>
    <w:rsid w:val="00F45BBC"/>
    <w:rsid w:val="00F50788"/>
    <w:rsid w:val="00F53C8D"/>
    <w:rsid w:val="00F53E41"/>
    <w:rsid w:val="00F5505B"/>
    <w:rsid w:val="00F611BA"/>
    <w:rsid w:val="00F6140E"/>
    <w:rsid w:val="00F6188D"/>
    <w:rsid w:val="00F61B15"/>
    <w:rsid w:val="00F63772"/>
    <w:rsid w:val="00F64A4E"/>
    <w:rsid w:val="00F64BE7"/>
    <w:rsid w:val="00F6501F"/>
    <w:rsid w:val="00F70A3F"/>
    <w:rsid w:val="00F72E59"/>
    <w:rsid w:val="00F77125"/>
    <w:rsid w:val="00F801E2"/>
    <w:rsid w:val="00F81F34"/>
    <w:rsid w:val="00F82B78"/>
    <w:rsid w:val="00F83768"/>
    <w:rsid w:val="00F92F92"/>
    <w:rsid w:val="00F95E9A"/>
    <w:rsid w:val="00F9661A"/>
    <w:rsid w:val="00F96DA8"/>
    <w:rsid w:val="00F979E5"/>
    <w:rsid w:val="00F97E5F"/>
    <w:rsid w:val="00FA1677"/>
    <w:rsid w:val="00FA2D43"/>
    <w:rsid w:val="00FA6A4F"/>
    <w:rsid w:val="00FA6F17"/>
    <w:rsid w:val="00FA708D"/>
    <w:rsid w:val="00FA7A3C"/>
    <w:rsid w:val="00FA7E95"/>
    <w:rsid w:val="00FB09B5"/>
    <w:rsid w:val="00FB2B4C"/>
    <w:rsid w:val="00FB6AB2"/>
    <w:rsid w:val="00FB7792"/>
    <w:rsid w:val="00FC1436"/>
    <w:rsid w:val="00FC3559"/>
    <w:rsid w:val="00FC43B0"/>
    <w:rsid w:val="00FC5407"/>
    <w:rsid w:val="00FC58A5"/>
    <w:rsid w:val="00FC62A0"/>
    <w:rsid w:val="00FD07F7"/>
    <w:rsid w:val="00FD1465"/>
    <w:rsid w:val="00FD177F"/>
    <w:rsid w:val="00FD2B94"/>
    <w:rsid w:val="00FD2DDD"/>
    <w:rsid w:val="00FD41C2"/>
    <w:rsid w:val="00FD4975"/>
    <w:rsid w:val="00FD7135"/>
    <w:rsid w:val="00FE057C"/>
    <w:rsid w:val="00FE07C4"/>
    <w:rsid w:val="00FE0E99"/>
    <w:rsid w:val="00FE152B"/>
    <w:rsid w:val="00FE1845"/>
    <w:rsid w:val="00FE1BCA"/>
    <w:rsid w:val="00FE1F60"/>
    <w:rsid w:val="00FE4473"/>
    <w:rsid w:val="00FE6E70"/>
    <w:rsid w:val="00FE7626"/>
    <w:rsid w:val="00FF2732"/>
    <w:rsid w:val="00FF4464"/>
    <w:rsid w:val="17AE36E8"/>
    <w:rsid w:val="1D007F79"/>
    <w:rsid w:val="221D1D4F"/>
    <w:rsid w:val="2CAC034A"/>
    <w:rsid w:val="33DB3329"/>
    <w:rsid w:val="37BF7B7C"/>
    <w:rsid w:val="3A867332"/>
    <w:rsid w:val="3E973D29"/>
    <w:rsid w:val="403743AD"/>
    <w:rsid w:val="47FF48B4"/>
    <w:rsid w:val="49697739"/>
    <w:rsid w:val="4C4D68EC"/>
    <w:rsid w:val="51FF0EC7"/>
    <w:rsid w:val="5354430A"/>
    <w:rsid w:val="58A7447B"/>
    <w:rsid w:val="5DDE2653"/>
    <w:rsid w:val="61A953AD"/>
    <w:rsid w:val="62245EA1"/>
    <w:rsid w:val="67591FDE"/>
    <w:rsid w:val="6ABF7CF3"/>
    <w:rsid w:val="6EBB8DB6"/>
    <w:rsid w:val="6EF38850"/>
    <w:rsid w:val="772336E7"/>
    <w:rsid w:val="77FE37E9"/>
    <w:rsid w:val="7C7424EF"/>
    <w:rsid w:val="7CFF339C"/>
    <w:rsid w:val="7F3F3B90"/>
    <w:rsid w:val="7FFF0EF6"/>
    <w:rsid w:val="BEFDA8AC"/>
    <w:rsid w:val="D5BFE51C"/>
    <w:rsid w:val="E97DB6FD"/>
    <w:rsid w:val="F9FDBC7B"/>
    <w:rsid w:val="FBFB78E8"/>
    <w:rsid w:val="FDDE7CE7"/>
    <w:rsid w:val="FE4DC33F"/>
    <w:rsid w:val="FEFBE3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99" w:semiHidden="0" w:name="caption"/>
    <w:lsdException w:qFormat="1" w:unhideWhenUsed="0" w:uiPriority="0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qFormat="1" w:unhideWhenUsed="0" w:uiPriority="99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11" w:semiHidden="0" w:name="Subtitle"/>
    <w:lsdException w:qFormat="1" w:unhideWhenUsed="0" w:uiPriority="99" w:semiHidden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nhideWhenUsed="0" w:uiPriority="0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qFormat="1" w:unhideWhenUsed="0" w:uiPriority="99" w:semiHidden="0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qFormat="1"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80"/>
      <w:jc w:val="both"/>
    </w:pPr>
    <w:rPr>
      <w:rFonts w:ascii="Calibri" w:hAnsi="Calibri" w:eastAsia="黑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link w:val="86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8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88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2">
    <w:name w:val="heading 4"/>
    <w:basedOn w:val="1"/>
    <w:next w:val="1"/>
    <w:link w:val="8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90"/>
    <w:qFormat/>
    <w:uiPriority w:val="99"/>
    <w:pPr>
      <w:keepNext/>
      <w:keepLines/>
      <w:snapToGrid w:val="0"/>
      <w:spacing w:before="280" w:after="290" w:line="376" w:lineRule="auto"/>
      <w:outlineLvl w:val="4"/>
    </w:pPr>
    <w:rPr>
      <w:rFonts w:ascii="Arial Narrow" w:hAnsi="Arial Narrow" w:eastAsia="仿宋_GB2312"/>
      <w:b/>
      <w:bCs/>
      <w:color w:val="000000"/>
      <w:szCs w:val="28"/>
    </w:rPr>
  </w:style>
  <w:style w:type="paragraph" w:styleId="7">
    <w:name w:val="heading 6"/>
    <w:basedOn w:val="1"/>
    <w:next w:val="1"/>
    <w:link w:val="91"/>
    <w:qFormat/>
    <w:uiPriority w:val="99"/>
    <w:pPr>
      <w:keepNext/>
      <w:keepLines/>
      <w:spacing w:before="240" w:after="64" w:line="320" w:lineRule="auto"/>
      <w:outlineLvl w:val="5"/>
    </w:pPr>
    <w:rPr>
      <w:rFonts w:ascii="Arial" w:hAnsi="Arial"/>
      <w:b/>
      <w:bCs/>
      <w:sz w:val="24"/>
      <w:szCs w:val="24"/>
    </w:rPr>
  </w:style>
  <w:style w:type="paragraph" w:styleId="8">
    <w:name w:val="heading 7"/>
    <w:basedOn w:val="1"/>
    <w:next w:val="1"/>
    <w:link w:val="92"/>
    <w:qFormat/>
    <w:uiPriority w:val="99"/>
    <w:pPr>
      <w:keepNext/>
      <w:keepLines/>
      <w:spacing w:before="240" w:after="64" w:line="320" w:lineRule="auto"/>
      <w:outlineLvl w:val="6"/>
    </w:pPr>
    <w:rPr>
      <w:rFonts w:ascii="Times New Roman" w:hAnsi="Times New Roman" w:eastAsia="宋体"/>
      <w:b/>
      <w:bCs/>
      <w:sz w:val="24"/>
      <w:szCs w:val="24"/>
    </w:rPr>
  </w:style>
  <w:style w:type="paragraph" w:styleId="9">
    <w:name w:val="heading 8"/>
    <w:basedOn w:val="1"/>
    <w:next w:val="1"/>
    <w:link w:val="93"/>
    <w:qFormat/>
    <w:uiPriority w:val="99"/>
    <w:pPr>
      <w:keepNext/>
      <w:keepLines/>
      <w:spacing w:before="240" w:after="64" w:line="320" w:lineRule="auto"/>
      <w:outlineLvl w:val="7"/>
    </w:pPr>
    <w:rPr>
      <w:rFonts w:ascii="Arial" w:hAnsi="Arial"/>
      <w:sz w:val="24"/>
      <w:szCs w:val="24"/>
    </w:rPr>
  </w:style>
  <w:style w:type="paragraph" w:styleId="10">
    <w:name w:val="heading 9"/>
    <w:basedOn w:val="1"/>
    <w:next w:val="1"/>
    <w:link w:val="94"/>
    <w:qFormat/>
    <w:uiPriority w:val="99"/>
    <w:pPr>
      <w:keepNext/>
      <w:keepLines/>
      <w:spacing w:before="240" w:after="64" w:line="320" w:lineRule="auto"/>
      <w:outlineLvl w:val="8"/>
    </w:pPr>
    <w:rPr>
      <w:rFonts w:ascii="Arial" w:hAnsi="Arial"/>
      <w:sz w:val="21"/>
      <w:szCs w:val="21"/>
    </w:rPr>
  </w:style>
  <w:style w:type="character" w:default="1" w:styleId="78">
    <w:name w:val="Default Paragraph Font"/>
    <w:semiHidden/>
    <w:unhideWhenUsed/>
    <w:qFormat/>
    <w:uiPriority w:val="1"/>
  </w:style>
  <w:style w:type="table" w:default="1" w:styleId="7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3"/>
    <w:basedOn w:val="1"/>
    <w:qFormat/>
    <w:uiPriority w:val="99"/>
    <w:pPr>
      <w:ind w:left="100" w:leftChars="400" w:hanging="200" w:hangingChars="200"/>
    </w:pPr>
    <w:rPr>
      <w:rFonts w:ascii="Times New Roman" w:hAnsi="Times New Roman" w:eastAsia="宋体"/>
      <w:sz w:val="21"/>
      <w:szCs w:val="21"/>
    </w:rPr>
  </w:style>
  <w:style w:type="paragraph" w:styleId="12">
    <w:name w:val="toc 7"/>
    <w:basedOn w:val="1"/>
    <w:next w:val="1"/>
    <w:qFormat/>
    <w:uiPriority w:val="39"/>
    <w:pPr>
      <w:ind w:left="1260"/>
      <w:jc w:val="left"/>
    </w:pPr>
    <w:rPr>
      <w:rFonts w:eastAsia="宋体" w:asciiTheme="minorHAnsi" w:hAnsiTheme="minorHAnsi"/>
      <w:sz w:val="18"/>
      <w:szCs w:val="18"/>
    </w:rPr>
  </w:style>
  <w:style w:type="paragraph" w:styleId="13">
    <w:name w:val="List Number 2"/>
    <w:basedOn w:val="1"/>
    <w:qFormat/>
    <w:uiPriority w:val="99"/>
    <w:pPr>
      <w:tabs>
        <w:tab w:val="left" w:pos="720"/>
        <w:tab w:val="left" w:pos="780"/>
        <w:tab w:val="left" w:pos="1110"/>
        <w:tab w:val="left" w:pos="1755"/>
      </w:tabs>
      <w:ind w:left="780" w:leftChars="200" w:hanging="1755" w:hangingChars="200"/>
    </w:pPr>
    <w:rPr>
      <w:rFonts w:ascii="Times New Roman" w:hAnsi="Times New Roman" w:eastAsia="宋体"/>
      <w:sz w:val="21"/>
      <w:szCs w:val="21"/>
    </w:rPr>
  </w:style>
  <w:style w:type="paragraph" w:styleId="14">
    <w:name w:val="Note Heading"/>
    <w:basedOn w:val="1"/>
    <w:next w:val="1"/>
    <w:link w:val="185"/>
    <w:qFormat/>
    <w:uiPriority w:val="99"/>
    <w:pPr>
      <w:jc w:val="center"/>
    </w:pPr>
    <w:rPr>
      <w:rFonts w:ascii="Times New Roman" w:hAnsi="Times New Roman" w:eastAsia="宋体"/>
      <w:sz w:val="21"/>
      <w:szCs w:val="21"/>
    </w:rPr>
  </w:style>
  <w:style w:type="paragraph" w:styleId="15">
    <w:name w:val="List Bullet 4"/>
    <w:basedOn w:val="1"/>
    <w:qFormat/>
    <w:uiPriority w:val="99"/>
    <w:pPr>
      <w:tabs>
        <w:tab w:val="left" w:pos="720"/>
        <w:tab w:val="left" w:pos="842"/>
        <w:tab w:val="left" w:pos="1620"/>
      </w:tabs>
      <w:ind w:left="1620" w:leftChars="600" w:hanging="360" w:hangingChars="200"/>
    </w:pPr>
    <w:rPr>
      <w:rFonts w:ascii="Times New Roman" w:hAnsi="Times New Roman" w:eastAsia="宋体"/>
      <w:sz w:val="21"/>
      <w:szCs w:val="21"/>
    </w:rPr>
  </w:style>
  <w:style w:type="paragraph" w:styleId="16">
    <w:name w:val="E-mail Signature"/>
    <w:basedOn w:val="1"/>
    <w:link w:val="176"/>
    <w:qFormat/>
    <w:uiPriority w:val="99"/>
    <w:rPr>
      <w:rFonts w:ascii="Times New Roman" w:hAnsi="Times New Roman" w:eastAsia="宋体"/>
      <w:sz w:val="21"/>
      <w:szCs w:val="21"/>
    </w:rPr>
  </w:style>
  <w:style w:type="paragraph" w:styleId="17">
    <w:name w:val="List Number"/>
    <w:basedOn w:val="1"/>
    <w:qFormat/>
    <w:uiPriority w:val="99"/>
    <w:pPr>
      <w:tabs>
        <w:tab w:val="left" w:pos="645"/>
        <w:tab w:val="left" w:pos="886"/>
        <w:tab w:val="left" w:pos="1618"/>
      </w:tabs>
      <w:ind w:left="360" w:hanging="360" w:hangingChars="200"/>
    </w:pPr>
    <w:rPr>
      <w:rFonts w:ascii="Times New Roman" w:hAnsi="Times New Roman" w:eastAsia="宋体"/>
      <w:sz w:val="21"/>
      <w:szCs w:val="21"/>
    </w:rPr>
  </w:style>
  <w:style w:type="paragraph" w:styleId="18">
    <w:name w:val="Normal Indent"/>
    <w:basedOn w:val="1"/>
    <w:qFormat/>
    <w:uiPriority w:val="0"/>
    <w:pPr>
      <w:adjustRightInd w:val="0"/>
      <w:spacing w:before="156" w:afterLines="50" w:line="480" w:lineRule="exact"/>
      <w:ind w:firstLine="560" w:firstLineChars="200"/>
      <w:textAlignment w:val="baseline"/>
    </w:pPr>
    <w:rPr>
      <w:rFonts w:ascii="Times New Roman" w:hAnsi="Times New Roman" w:eastAsia="宋体"/>
      <w:kern w:val="0"/>
      <w:szCs w:val="20"/>
    </w:rPr>
  </w:style>
  <w:style w:type="paragraph" w:styleId="19">
    <w:name w:val="caption"/>
    <w:basedOn w:val="1"/>
    <w:next w:val="1"/>
    <w:unhideWhenUsed/>
    <w:qFormat/>
    <w:uiPriority w:val="99"/>
    <w:rPr>
      <w:rFonts w:ascii="Cambria" w:hAnsi="Cambria"/>
      <w:sz w:val="20"/>
      <w:szCs w:val="20"/>
    </w:rPr>
  </w:style>
  <w:style w:type="paragraph" w:styleId="20">
    <w:name w:val="List Bullet"/>
    <w:basedOn w:val="1"/>
    <w:qFormat/>
    <w:uiPriority w:val="99"/>
    <w:pPr>
      <w:tabs>
        <w:tab w:val="left" w:pos="883"/>
        <w:tab w:val="left" w:pos="1110"/>
        <w:tab w:val="left" w:pos="1575"/>
      </w:tabs>
      <w:ind w:left="360" w:hanging="360" w:hangingChars="200"/>
    </w:pPr>
    <w:rPr>
      <w:rFonts w:ascii="Times New Roman" w:hAnsi="Times New Roman" w:eastAsia="宋体"/>
      <w:sz w:val="21"/>
      <w:szCs w:val="21"/>
    </w:rPr>
  </w:style>
  <w:style w:type="paragraph" w:styleId="21">
    <w:name w:val="envelope address"/>
    <w:basedOn w:val="1"/>
    <w:qFormat/>
    <w:uiPriority w:val="99"/>
    <w:pPr>
      <w:framePr w:w="7920" w:h="1980" w:hRule="exact" w:hSpace="180" w:wrap="around" w:vAnchor="margin" w:hAnchor="page" w:xAlign="center" w:yAlign="bottom"/>
      <w:snapToGrid w:val="0"/>
      <w:ind w:left="100" w:leftChars="1400"/>
    </w:pPr>
    <w:rPr>
      <w:rFonts w:ascii="Arial" w:hAnsi="Arial" w:eastAsia="宋体" w:cs="Arial"/>
      <w:sz w:val="24"/>
      <w:szCs w:val="24"/>
    </w:rPr>
  </w:style>
  <w:style w:type="paragraph" w:styleId="22">
    <w:name w:val="Document Map"/>
    <w:basedOn w:val="1"/>
    <w:link w:val="107"/>
    <w:qFormat/>
    <w:uiPriority w:val="99"/>
    <w:pPr>
      <w:shd w:val="clear" w:color="auto" w:fill="000080"/>
    </w:pPr>
    <w:rPr>
      <w:rFonts w:ascii="Times New Roman" w:hAnsi="Times New Roman" w:eastAsia="宋体"/>
      <w:sz w:val="21"/>
      <w:szCs w:val="24"/>
    </w:rPr>
  </w:style>
  <w:style w:type="paragraph" w:styleId="23">
    <w:name w:val="annotation text"/>
    <w:basedOn w:val="1"/>
    <w:link w:val="172"/>
    <w:qFormat/>
    <w:uiPriority w:val="0"/>
    <w:pPr>
      <w:jc w:val="left"/>
    </w:pPr>
    <w:rPr>
      <w:rFonts w:ascii="Times New Roman" w:hAnsi="Times New Roman" w:eastAsia="宋体"/>
      <w:sz w:val="21"/>
      <w:szCs w:val="21"/>
    </w:rPr>
  </w:style>
  <w:style w:type="paragraph" w:styleId="24">
    <w:name w:val="Salutation"/>
    <w:basedOn w:val="1"/>
    <w:next w:val="1"/>
    <w:link w:val="175"/>
    <w:qFormat/>
    <w:uiPriority w:val="99"/>
    <w:rPr>
      <w:rFonts w:ascii="Times New Roman" w:hAnsi="Times New Roman" w:eastAsia="宋体"/>
      <w:sz w:val="21"/>
      <w:szCs w:val="21"/>
    </w:rPr>
  </w:style>
  <w:style w:type="paragraph" w:styleId="25">
    <w:name w:val="Body Text 3"/>
    <w:basedOn w:val="1"/>
    <w:link w:val="184"/>
    <w:qFormat/>
    <w:uiPriority w:val="99"/>
    <w:pPr>
      <w:spacing w:after="120"/>
    </w:pPr>
    <w:rPr>
      <w:rFonts w:ascii="Times New Roman" w:hAnsi="Times New Roman" w:eastAsia="宋体"/>
      <w:sz w:val="16"/>
      <w:szCs w:val="16"/>
    </w:rPr>
  </w:style>
  <w:style w:type="paragraph" w:styleId="26">
    <w:name w:val="Closing"/>
    <w:basedOn w:val="1"/>
    <w:link w:val="177"/>
    <w:qFormat/>
    <w:uiPriority w:val="99"/>
    <w:pPr>
      <w:ind w:left="100" w:leftChars="2100"/>
    </w:pPr>
    <w:rPr>
      <w:rFonts w:ascii="Times New Roman" w:hAnsi="Times New Roman" w:eastAsia="宋体"/>
      <w:sz w:val="21"/>
      <w:szCs w:val="21"/>
    </w:rPr>
  </w:style>
  <w:style w:type="paragraph" w:styleId="27">
    <w:name w:val="List Bullet 3"/>
    <w:basedOn w:val="1"/>
    <w:qFormat/>
    <w:uiPriority w:val="99"/>
    <w:pPr>
      <w:tabs>
        <w:tab w:val="left" w:pos="720"/>
        <w:tab w:val="left" w:pos="1200"/>
        <w:tab w:val="left" w:pos="1232"/>
      </w:tabs>
      <w:ind w:left="1200" w:leftChars="400" w:hanging="360" w:hangingChars="200"/>
    </w:pPr>
    <w:rPr>
      <w:rFonts w:ascii="Times New Roman" w:hAnsi="Times New Roman" w:eastAsia="宋体"/>
      <w:sz w:val="21"/>
      <w:szCs w:val="21"/>
    </w:rPr>
  </w:style>
  <w:style w:type="paragraph" w:styleId="28">
    <w:name w:val="Body Text"/>
    <w:basedOn w:val="1"/>
    <w:link w:val="123"/>
    <w:qFormat/>
    <w:uiPriority w:val="99"/>
    <w:pPr>
      <w:spacing w:line="400" w:lineRule="atLeast"/>
    </w:pPr>
    <w:rPr>
      <w:rFonts w:ascii="Arial Narrow" w:hAnsi="Arial Narrow" w:eastAsia="方正楷体简体" w:cstheme="minorBidi"/>
      <w:color w:val="000000"/>
      <w:szCs w:val="24"/>
    </w:rPr>
  </w:style>
  <w:style w:type="paragraph" w:styleId="29">
    <w:name w:val="Body Text Indent"/>
    <w:basedOn w:val="1"/>
    <w:link w:val="181"/>
    <w:qFormat/>
    <w:uiPriority w:val="99"/>
    <w:pPr>
      <w:spacing w:after="120"/>
      <w:ind w:left="420" w:leftChars="200"/>
    </w:pPr>
    <w:rPr>
      <w:rFonts w:ascii="Times New Roman" w:hAnsi="Times New Roman" w:eastAsia="宋体"/>
      <w:sz w:val="21"/>
      <w:szCs w:val="21"/>
    </w:rPr>
  </w:style>
  <w:style w:type="paragraph" w:styleId="30">
    <w:name w:val="List Number 3"/>
    <w:basedOn w:val="1"/>
    <w:qFormat/>
    <w:uiPriority w:val="99"/>
    <w:pPr>
      <w:tabs>
        <w:tab w:val="left" w:pos="722"/>
        <w:tab w:val="left" w:pos="887"/>
        <w:tab w:val="left" w:pos="1200"/>
        <w:tab w:val="left" w:pos="2076"/>
      </w:tabs>
      <w:ind w:left="1200" w:leftChars="400" w:hanging="360" w:hangingChars="200"/>
    </w:pPr>
    <w:rPr>
      <w:rFonts w:ascii="Times New Roman" w:hAnsi="Times New Roman" w:eastAsia="宋体"/>
      <w:sz w:val="21"/>
      <w:szCs w:val="21"/>
    </w:rPr>
  </w:style>
  <w:style w:type="paragraph" w:styleId="31">
    <w:name w:val="List 2"/>
    <w:basedOn w:val="1"/>
    <w:qFormat/>
    <w:uiPriority w:val="99"/>
    <w:pPr>
      <w:ind w:left="100" w:leftChars="200" w:hanging="200" w:hangingChars="200"/>
    </w:pPr>
    <w:rPr>
      <w:rFonts w:ascii="Times New Roman" w:hAnsi="Times New Roman" w:eastAsia="宋体"/>
      <w:sz w:val="21"/>
      <w:szCs w:val="21"/>
    </w:rPr>
  </w:style>
  <w:style w:type="paragraph" w:styleId="32">
    <w:name w:val="List Continue"/>
    <w:basedOn w:val="1"/>
    <w:qFormat/>
    <w:uiPriority w:val="99"/>
    <w:pPr>
      <w:spacing w:after="120"/>
      <w:ind w:left="420" w:leftChars="200"/>
    </w:pPr>
    <w:rPr>
      <w:rFonts w:ascii="Times New Roman" w:hAnsi="Times New Roman" w:eastAsia="宋体"/>
      <w:sz w:val="21"/>
      <w:szCs w:val="21"/>
    </w:rPr>
  </w:style>
  <w:style w:type="paragraph" w:styleId="33">
    <w:name w:val="Block Text"/>
    <w:basedOn w:val="1"/>
    <w:qFormat/>
    <w:uiPriority w:val="99"/>
    <w:pPr>
      <w:spacing w:after="120"/>
      <w:ind w:left="1440" w:leftChars="700" w:right="1440" w:rightChars="700"/>
    </w:pPr>
    <w:rPr>
      <w:rFonts w:ascii="Times New Roman" w:hAnsi="Times New Roman" w:eastAsia="宋体"/>
      <w:sz w:val="21"/>
      <w:szCs w:val="21"/>
    </w:rPr>
  </w:style>
  <w:style w:type="paragraph" w:styleId="34">
    <w:name w:val="List Bullet 2"/>
    <w:basedOn w:val="1"/>
    <w:qFormat/>
    <w:uiPriority w:val="99"/>
    <w:pPr>
      <w:tabs>
        <w:tab w:val="left" w:pos="720"/>
        <w:tab w:val="left" w:pos="780"/>
        <w:tab w:val="left" w:pos="1425"/>
      </w:tabs>
      <w:ind w:left="780" w:leftChars="200" w:hanging="720" w:hangingChars="200"/>
    </w:pPr>
    <w:rPr>
      <w:rFonts w:ascii="Times New Roman" w:hAnsi="Times New Roman" w:eastAsia="宋体"/>
      <w:sz w:val="21"/>
      <w:szCs w:val="21"/>
    </w:rPr>
  </w:style>
  <w:style w:type="paragraph" w:styleId="35">
    <w:name w:val="toc 5"/>
    <w:basedOn w:val="1"/>
    <w:next w:val="1"/>
    <w:qFormat/>
    <w:uiPriority w:val="39"/>
    <w:pPr>
      <w:ind w:left="840"/>
      <w:jc w:val="left"/>
    </w:pPr>
    <w:rPr>
      <w:rFonts w:eastAsia="宋体" w:asciiTheme="minorHAnsi" w:hAnsiTheme="minorHAnsi"/>
      <w:sz w:val="18"/>
      <w:szCs w:val="18"/>
    </w:rPr>
  </w:style>
  <w:style w:type="paragraph" w:styleId="36">
    <w:name w:val="toc 3"/>
    <w:basedOn w:val="1"/>
    <w:next w:val="1"/>
    <w:qFormat/>
    <w:uiPriority w:val="39"/>
    <w:pPr>
      <w:tabs>
        <w:tab w:val="right" w:leader="dot" w:pos="8302"/>
      </w:tabs>
      <w:ind w:left="420"/>
    </w:pPr>
    <w:rPr>
      <w:rFonts w:eastAsia="宋体" w:asciiTheme="minorHAnsi" w:hAnsiTheme="minorHAnsi"/>
      <w:i/>
      <w:iCs/>
      <w:sz w:val="20"/>
      <w:szCs w:val="20"/>
    </w:rPr>
  </w:style>
  <w:style w:type="paragraph" w:styleId="37">
    <w:name w:val="Plain Text"/>
    <w:basedOn w:val="1"/>
    <w:link w:val="121"/>
    <w:qFormat/>
    <w:uiPriority w:val="0"/>
    <w:pPr>
      <w:spacing w:line="400" w:lineRule="atLeast"/>
    </w:pPr>
    <w:rPr>
      <w:rFonts w:ascii="宋体" w:hAnsi="Courier New" w:eastAsia="方正楷体简体" w:cs="宋体"/>
      <w:color w:val="000000"/>
      <w:sz w:val="24"/>
      <w:szCs w:val="24"/>
    </w:rPr>
  </w:style>
  <w:style w:type="paragraph" w:styleId="38">
    <w:name w:val="List Bullet 5"/>
    <w:basedOn w:val="1"/>
    <w:qFormat/>
    <w:uiPriority w:val="99"/>
    <w:pPr>
      <w:tabs>
        <w:tab w:val="left" w:pos="1346"/>
        <w:tab w:val="left" w:pos="1374"/>
        <w:tab w:val="left" w:pos="1755"/>
        <w:tab w:val="left" w:pos="2040"/>
      </w:tabs>
      <w:ind w:left="2040" w:leftChars="800" w:hanging="360" w:hangingChars="200"/>
    </w:pPr>
    <w:rPr>
      <w:rFonts w:ascii="Times New Roman" w:hAnsi="Times New Roman" w:eastAsia="宋体"/>
      <w:sz w:val="21"/>
      <w:szCs w:val="21"/>
    </w:rPr>
  </w:style>
  <w:style w:type="paragraph" w:styleId="39">
    <w:name w:val="List Number 4"/>
    <w:basedOn w:val="1"/>
    <w:qFormat/>
    <w:uiPriority w:val="99"/>
    <w:pPr>
      <w:tabs>
        <w:tab w:val="left" w:pos="722"/>
        <w:tab w:val="left" w:pos="886"/>
        <w:tab w:val="left" w:pos="1298"/>
        <w:tab w:val="left" w:pos="1620"/>
      </w:tabs>
      <w:ind w:left="1620" w:leftChars="600" w:hanging="720" w:hangingChars="200"/>
    </w:pPr>
    <w:rPr>
      <w:rFonts w:ascii="Times New Roman" w:hAnsi="Times New Roman" w:eastAsia="宋体"/>
      <w:sz w:val="21"/>
      <w:szCs w:val="21"/>
    </w:rPr>
  </w:style>
  <w:style w:type="paragraph" w:styleId="40">
    <w:name w:val="toc 8"/>
    <w:basedOn w:val="1"/>
    <w:next w:val="1"/>
    <w:qFormat/>
    <w:uiPriority w:val="39"/>
    <w:pPr>
      <w:ind w:left="1470"/>
      <w:jc w:val="left"/>
    </w:pPr>
    <w:rPr>
      <w:rFonts w:eastAsia="宋体" w:asciiTheme="minorHAnsi" w:hAnsiTheme="minorHAnsi"/>
      <w:sz w:val="18"/>
      <w:szCs w:val="18"/>
    </w:rPr>
  </w:style>
  <w:style w:type="paragraph" w:styleId="41">
    <w:name w:val="Date"/>
    <w:basedOn w:val="1"/>
    <w:next w:val="1"/>
    <w:link w:val="112"/>
    <w:qFormat/>
    <w:uiPriority w:val="0"/>
    <w:pPr>
      <w:ind w:left="100" w:leftChars="2500"/>
    </w:pPr>
    <w:rPr>
      <w:rFonts w:ascii="Times New Roman" w:hAnsi="Times New Roman" w:eastAsia="宋体"/>
      <w:sz w:val="21"/>
      <w:szCs w:val="24"/>
    </w:rPr>
  </w:style>
  <w:style w:type="paragraph" w:styleId="42">
    <w:name w:val="Body Text Indent 2"/>
    <w:basedOn w:val="1"/>
    <w:link w:val="111"/>
    <w:qFormat/>
    <w:uiPriority w:val="99"/>
    <w:pPr>
      <w:spacing w:after="120" w:line="480" w:lineRule="auto"/>
      <w:ind w:left="420" w:leftChars="200"/>
    </w:pPr>
    <w:rPr>
      <w:rFonts w:ascii="Times New Roman" w:hAnsi="Times New Roman" w:eastAsia="宋体"/>
      <w:sz w:val="21"/>
      <w:szCs w:val="24"/>
    </w:rPr>
  </w:style>
  <w:style w:type="paragraph" w:styleId="43">
    <w:name w:val="List Continue 5"/>
    <w:basedOn w:val="1"/>
    <w:qFormat/>
    <w:uiPriority w:val="99"/>
    <w:pPr>
      <w:spacing w:after="120"/>
      <w:ind w:left="2100" w:leftChars="1000"/>
    </w:pPr>
    <w:rPr>
      <w:rFonts w:ascii="Times New Roman" w:hAnsi="Times New Roman" w:eastAsia="宋体"/>
      <w:sz w:val="21"/>
      <w:szCs w:val="21"/>
    </w:rPr>
  </w:style>
  <w:style w:type="paragraph" w:styleId="44">
    <w:name w:val="Balloon Text"/>
    <w:basedOn w:val="1"/>
    <w:link w:val="105"/>
    <w:unhideWhenUsed/>
    <w:qFormat/>
    <w:uiPriority w:val="99"/>
    <w:rPr>
      <w:rFonts w:eastAsia="宋体"/>
      <w:sz w:val="18"/>
      <w:szCs w:val="18"/>
    </w:rPr>
  </w:style>
  <w:style w:type="paragraph" w:styleId="45">
    <w:name w:val="footer"/>
    <w:basedOn w:val="1"/>
    <w:link w:val="9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6">
    <w:name w:val="envelope return"/>
    <w:basedOn w:val="1"/>
    <w:qFormat/>
    <w:uiPriority w:val="99"/>
    <w:pPr>
      <w:snapToGrid w:val="0"/>
    </w:pPr>
    <w:rPr>
      <w:rFonts w:ascii="Arial" w:hAnsi="Arial" w:eastAsia="宋体" w:cs="Arial"/>
      <w:sz w:val="21"/>
      <w:szCs w:val="21"/>
    </w:rPr>
  </w:style>
  <w:style w:type="paragraph" w:styleId="47">
    <w:name w:val="header"/>
    <w:basedOn w:val="1"/>
    <w:link w:val="9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8">
    <w:name w:val="Signature"/>
    <w:basedOn w:val="1"/>
    <w:link w:val="178"/>
    <w:qFormat/>
    <w:uiPriority w:val="99"/>
    <w:pPr>
      <w:ind w:left="100" w:leftChars="2100"/>
    </w:pPr>
    <w:rPr>
      <w:rFonts w:ascii="Times New Roman" w:hAnsi="Times New Roman" w:eastAsia="宋体"/>
      <w:sz w:val="21"/>
      <w:szCs w:val="21"/>
    </w:rPr>
  </w:style>
  <w:style w:type="paragraph" w:styleId="49">
    <w:name w:val="toc 1"/>
    <w:basedOn w:val="1"/>
    <w:next w:val="1"/>
    <w:qFormat/>
    <w:uiPriority w:val="39"/>
    <w:pPr>
      <w:tabs>
        <w:tab w:val="right" w:leader="dot" w:pos="8302"/>
      </w:tabs>
      <w:spacing w:line="440" w:lineRule="exact"/>
      <w:jc w:val="center"/>
    </w:pPr>
    <w:rPr>
      <w:rFonts w:ascii="Times New Roman" w:hAnsi="Times New Roman" w:eastAsia="宋体"/>
      <w:b/>
      <w:bCs/>
      <w:caps/>
      <w:sz w:val="24"/>
      <w:szCs w:val="24"/>
    </w:rPr>
  </w:style>
  <w:style w:type="paragraph" w:styleId="50">
    <w:name w:val="List Continue 4"/>
    <w:basedOn w:val="1"/>
    <w:qFormat/>
    <w:uiPriority w:val="99"/>
    <w:pPr>
      <w:spacing w:after="120"/>
      <w:ind w:left="1680" w:leftChars="800"/>
    </w:pPr>
    <w:rPr>
      <w:rFonts w:ascii="Times New Roman" w:hAnsi="Times New Roman" w:eastAsia="宋体"/>
      <w:sz w:val="21"/>
      <w:szCs w:val="21"/>
    </w:rPr>
  </w:style>
  <w:style w:type="paragraph" w:styleId="51">
    <w:name w:val="toc 4"/>
    <w:basedOn w:val="1"/>
    <w:next w:val="1"/>
    <w:qFormat/>
    <w:uiPriority w:val="39"/>
    <w:pPr>
      <w:ind w:left="630"/>
      <w:jc w:val="left"/>
    </w:pPr>
    <w:rPr>
      <w:rFonts w:eastAsia="宋体" w:asciiTheme="minorHAnsi" w:hAnsiTheme="minorHAnsi"/>
      <w:sz w:val="18"/>
      <w:szCs w:val="18"/>
    </w:rPr>
  </w:style>
  <w:style w:type="paragraph" w:styleId="52">
    <w:name w:val="Subtitle"/>
    <w:basedOn w:val="1"/>
    <w:next w:val="1"/>
    <w:link w:val="132"/>
    <w:qFormat/>
    <w:uiPriority w:val="11"/>
    <w:pPr>
      <w:spacing w:before="240" w:after="60" w:line="312" w:lineRule="atLeast"/>
      <w:jc w:val="center"/>
      <w:outlineLvl w:val="1"/>
    </w:pPr>
    <w:rPr>
      <w:rFonts w:asciiTheme="majorHAnsi" w:hAnsiTheme="majorHAnsi" w:eastAsiaTheme="minorEastAsia" w:cstheme="majorBidi"/>
      <w:b/>
      <w:bCs/>
      <w:kern w:val="28"/>
      <w:sz w:val="32"/>
      <w:szCs w:val="32"/>
    </w:rPr>
  </w:style>
  <w:style w:type="paragraph" w:styleId="53">
    <w:name w:val="List Number 5"/>
    <w:basedOn w:val="1"/>
    <w:qFormat/>
    <w:uiPriority w:val="99"/>
    <w:pPr>
      <w:tabs>
        <w:tab w:val="left" w:pos="648"/>
        <w:tab w:val="left" w:pos="722"/>
        <w:tab w:val="left" w:pos="1704"/>
        <w:tab w:val="left" w:pos="2040"/>
      </w:tabs>
      <w:ind w:left="2040" w:leftChars="800" w:hanging="648" w:hangingChars="200"/>
    </w:pPr>
    <w:rPr>
      <w:rFonts w:ascii="Times New Roman" w:hAnsi="Times New Roman" w:eastAsia="宋体"/>
      <w:sz w:val="21"/>
      <w:szCs w:val="21"/>
    </w:rPr>
  </w:style>
  <w:style w:type="paragraph" w:styleId="54">
    <w:name w:val="List"/>
    <w:basedOn w:val="1"/>
    <w:qFormat/>
    <w:uiPriority w:val="99"/>
    <w:pPr>
      <w:ind w:left="200" w:hanging="200" w:hangingChars="200"/>
    </w:pPr>
    <w:rPr>
      <w:rFonts w:ascii="Times New Roman" w:hAnsi="Times New Roman" w:eastAsia="宋体"/>
      <w:sz w:val="21"/>
      <w:szCs w:val="21"/>
    </w:rPr>
  </w:style>
  <w:style w:type="paragraph" w:styleId="55">
    <w:name w:val="footnote text"/>
    <w:basedOn w:val="1"/>
    <w:link w:val="258"/>
    <w:qFormat/>
    <w:uiPriority w:val="0"/>
    <w:pPr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56">
    <w:name w:val="toc 6"/>
    <w:basedOn w:val="1"/>
    <w:next w:val="1"/>
    <w:qFormat/>
    <w:uiPriority w:val="39"/>
    <w:pPr>
      <w:ind w:left="1050"/>
      <w:jc w:val="left"/>
    </w:pPr>
    <w:rPr>
      <w:rFonts w:eastAsia="宋体" w:asciiTheme="minorHAnsi" w:hAnsiTheme="minorHAnsi"/>
      <w:sz w:val="18"/>
      <w:szCs w:val="18"/>
    </w:rPr>
  </w:style>
  <w:style w:type="paragraph" w:styleId="57">
    <w:name w:val="List 5"/>
    <w:basedOn w:val="1"/>
    <w:qFormat/>
    <w:uiPriority w:val="99"/>
    <w:pPr>
      <w:ind w:left="100" w:leftChars="800" w:hanging="200" w:hangingChars="200"/>
    </w:pPr>
    <w:rPr>
      <w:rFonts w:ascii="Times New Roman" w:hAnsi="Times New Roman" w:eastAsia="宋体"/>
      <w:sz w:val="21"/>
      <w:szCs w:val="21"/>
    </w:rPr>
  </w:style>
  <w:style w:type="paragraph" w:styleId="58">
    <w:name w:val="Body Text Indent 3"/>
    <w:basedOn w:val="1"/>
    <w:link w:val="154"/>
    <w:qFormat/>
    <w:uiPriority w:val="99"/>
    <w:pPr>
      <w:spacing w:after="120"/>
      <w:ind w:left="420" w:leftChars="200"/>
    </w:pPr>
    <w:rPr>
      <w:rFonts w:ascii="Times New Roman" w:hAnsi="Times New Roman" w:eastAsia="宋体"/>
      <w:sz w:val="16"/>
      <w:szCs w:val="16"/>
    </w:rPr>
  </w:style>
  <w:style w:type="paragraph" w:styleId="59">
    <w:name w:val="table of figures"/>
    <w:basedOn w:val="1"/>
    <w:next w:val="1"/>
    <w:qFormat/>
    <w:uiPriority w:val="0"/>
    <w:pPr>
      <w:ind w:left="420" w:hanging="420"/>
      <w:jc w:val="left"/>
    </w:pPr>
    <w:rPr>
      <w:rFonts w:ascii="Times New Roman" w:hAnsi="Times New Roman" w:eastAsia="宋体"/>
      <w:smallCaps/>
      <w:sz w:val="20"/>
      <w:szCs w:val="20"/>
    </w:rPr>
  </w:style>
  <w:style w:type="paragraph" w:styleId="60">
    <w:name w:val="toc 2"/>
    <w:basedOn w:val="1"/>
    <w:next w:val="1"/>
    <w:qFormat/>
    <w:uiPriority w:val="39"/>
    <w:pPr>
      <w:tabs>
        <w:tab w:val="right" w:leader="dot" w:pos="8302"/>
      </w:tabs>
      <w:spacing w:line="400" w:lineRule="exact"/>
      <w:ind w:left="210"/>
      <w:jc w:val="left"/>
    </w:pPr>
    <w:rPr>
      <w:rFonts w:eastAsia="宋体" w:asciiTheme="minorHAnsi" w:hAnsiTheme="minorHAnsi"/>
      <w:smallCaps/>
      <w:sz w:val="20"/>
      <w:szCs w:val="20"/>
    </w:rPr>
  </w:style>
  <w:style w:type="paragraph" w:styleId="61">
    <w:name w:val="toc 9"/>
    <w:basedOn w:val="1"/>
    <w:next w:val="1"/>
    <w:qFormat/>
    <w:uiPriority w:val="39"/>
    <w:pPr>
      <w:ind w:left="1680"/>
      <w:jc w:val="left"/>
    </w:pPr>
    <w:rPr>
      <w:rFonts w:eastAsia="宋体" w:asciiTheme="minorHAnsi" w:hAnsiTheme="minorHAnsi"/>
      <w:sz w:val="18"/>
      <w:szCs w:val="18"/>
    </w:rPr>
  </w:style>
  <w:style w:type="paragraph" w:styleId="62">
    <w:name w:val="Body Text 2"/>
    <w:basedOn w:val="1"/>
    <w:link w:val="183"/>
    <w:qFormat/>
    <w:uiPriority w:val="99"/>
    <w:pPr>
      <w:spacing w:after="120" w:line="480" w:lineRule="auto"/>
    </w:pPr>
    <w:rPr>
      <w:rFonts w:ascii="Times New Roman" w:hAnsi="Times New Roman" w:eastAsia="宋体"/>
      <w:sz w:val="21"/>
      <w:szCs w:val="21"/>
    </w:rPr>
  </w:style>
  <w:style w:type="paragraph" w:styleId="63">
    <w:name w:val="List 4"/>
    <w:basedOn w:val="1"/>
    <w:qFormat/>
    <w:uiPriority w:val="99"/>
    <w:pPr>
      <w:ind w:left="100" w:leftChars="600" w:hanging="200" w:hangingChars="200"/>
    </w:pPr>
    <w:rPr>
      <w:rFonts w:ascii="Times New Roman" w:hAnsi="Times New Roman" w:eastAsia="宋体"/>
      <w:sz w:val="21"/>
      <w:szCs w:val="21"/>
    </w:rPr>
  </w:style>
  <w:style w:type="paragraph" w:styleId="64">
    <w:name w:val="List Continue 2"/>
    <w:basedOn w:val="1"/>
    <w:qFormat/>
    <w:uiPriority w:val="99"/>
    <w:pPr>
      <w:spacing w:after="120"/>
      <w:ind w:left="840" w:leftChars="400"/>
    </w:pPr>
    <w:rPr>
      <w:rFonts w:ascii="Times New Roman" w:hAnsi="Times New Roman" w:eastAsia="宋体"/>
      <w:sz w:val="21"/>
      <w:szCs w:val="21"/>
    </w:rPr>
  </w:style>
  <w:style w:type="paragraph" w:styleId="65">
    <w:name w:val="Message Header"/>
    <w:basedOn w:val="1"/>
    <w:link w:val="179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eastAsia="宋体" w:cs="Arial"/>
      <w:sz w:val="24"/>
      <w:szCs w:val="24"/>
    </w:rPr>
  </w:style>
  <w:style w:type="paragraph" w:styleId="6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7">
    <w:name w:val="List Continue 3"/>
    <w:basedOn w:val="1"/>
    <w:qFormat/>
    <w:uiPriority w:val="99"/>
    <w:pPr>
      <w:spacing w:after="120"/>
      <w:ind w:left="1260" w:leftChars="600"/>
    </w:pPr>
    <w:rPr>
      <w:rFonts w:ascii="Times New Roman" w:hAnsi="Times New Roman" w:eastAsia="宋体"/>
      <w:sz w:val="21"/>
      <w:szCs w:val="21"/>
    </w:rPr>
  </w:style>
  <w:style w:type="paragraph" w:styleId="68">
    <w:name w:val="Title"/>
    <w:basedOn w:val="1"/>
    <w:next w:val="1"/>
    <w:link w:val="130"/>
    <w:qFormat/>
    <w:uiPriority w:val="10"/>
    <w:pPr>
      <w:spacing w:before="240" w:after="60" w:line="440" w:lineRule="exact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</w:rPr>
  </w:style>
  <w:style w:type="paragraph" w:styleId="69">
    <w:name w:val="annotation subject"/>
    <w:basedOn w:val="23"/>
    <w:next w:val="23"/>
    <w:link w:val="259"/>
    <w:qFormat/>
    <w:uiPriority w:val="0"/>
    <w:rPr>
      <w:b/>
      <w:bCs/>
      <w:szCs w:val="24"/>
    </w:rPr>
  </w:style>
  <w:style w:type="paragraph" w:styleId="70">
    <w:name w:val="Body Text First Indent"/>
    <w:basedOn w:val="28"/>
    <w:link w:val="180"/>
    <w:qFormat/>
    <w:uiPriority w:val="99"/>
    <w:pPr>
      <w:spacing w:after="120" w:line="240" w:lineRule="auto"/>
      <w:ind w:firstLine="420" w:firstLineChars="100"/>
    </w:pPr>
    <w:rPr>
      <w:rFonts w:ascii="Times New Roman" w:hAnsi="Times New Roman" w:eastAsia="宋体"/>
      <w:color w:val="auto"/>
      <w:sz w:val="21"/>
      <w:szCs w:val="21"/>
    </w:rPr>
  </w:style>
  <w:style w:type="paragraph" w:styleId="71">
    <w:name w:val="Body Text First Indent 2"/>
    <w:basedOn w:val="29"/>
    <w:link w:val="182"/>
    <w:qFormat/>
    <w:uiPriority w:val="99"/>
    <w:pPr>
      <w:ind w:firstLine="420" w:firstLineChars="200"/>
    </w:pPr>
  </w:style>
  <w:style w:type="table" w:styleId="73">
    <w:name w:val="Table Grid"/>
    <w:basedOn w:val="7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74">
    <w:name w:val="Table Theme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75">
    <w:name w:val="Table Simple 1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76">
    <w:name w:val="Table Simple 2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77">
    <w:name w:val="Table Grid 5"/>
    <w:basedOn w:val="72"/>
    <w:qFormat/>
    <w:uiPriority w:val="99"/>
    <w:pPr>
      <w:spacing w:after="200" w:line="252" w:lineRule="auto"/>
    </w:pPr>
    <w:rPr>
      <w:rFonts w:ascii="Times New Roman" w:hAnsi="Times New Roman" w:eastAsia="宋体" w:cs="Times New Roman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character" w:styleId="79">
    <w:name w:val="Strong"/>
    <w:basedOn w:val="78"/>
    <w:qFormat/>
    <w:uiPriority w:val="0"/>
    <w:rPr>
      <w:b/>
      <w:bCs/>
    </w:rPr>
  </w:style>
  <w:style w:type="character" w:styleId="80">
    <w:name w:val="page number"/>
    <w:basedOn w:val="78"/>
    <w:qFormat/>
    <w:uiPriority w:val="0"/>
  </w:style>
  <w:style w:type="character" w:styleId="81">
    <w:name w:val="FollowedHyperlink"/>
    <w:qFormat/>
    <w:uiPriority w:val="99"/>
    <w:rPr>
      <w:color w:val="800080"/>
      <w:u w:val="single"/>
    </w:rPr>
  </w:style>
  <w:style w:type="character" w:styleId="82">
    <w:name w:val="Emphasis"/>
    <w:basedOn w:val="78"/>
    <w:qFormat/>
    <w:uiPriority w:val="0"/>
    <w:rPr>
      <w:i/>
      <w:iCs/>
    </w:rPr>
  </w:style>
  <w:style w:type="character" w:styleId="83">
    <w:name w:val="Hyperlink"/>
    <w:basedOn w:val="78"/>
    <w:qFormat/>
    <w:uiPriority w:val="99"/>
    <w:rPr>
      <w:color w:val="0000FF"/>
      <w:u w:val="single"/>
    </w:rPr>
  </w:style>
  <w:style w:type="character" w:styleId="84">
    <w:name w:val="annotation reference"/>
    <w:basedOn w:val="78"/>
    <w:qFormat/>
    <w:uiPriority w:val="0"/>
    <w:rPr>
      <w:sz w:val="21"/>
    </w:rPr>
  </w:style>
  <w:style w:type="character" w:styleId="85">
    <w:name w:val="footnote reference"/>
    <w:qFormat/>
    <w:uiPriority w:val="0"/>
    <w:rPr>
      <w:vertAlign w:val="superscript"/>
    </w:rPr>
  </w:style>
  <w:style w:type="character" w:customStyle="1" w:styleId="86">
    <w:name w:val="标题 1 Char"/>
    <w:basedOn w:val="78"/>
    <w:link w:val="3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87">
    <w:name w:val="标题 2 Char"/>
    <w:basedOn w:val="78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8">
    <w:name w:val="标题 3 Char"/>
    <w:basedOn w:val="78"/>
    <w:link w:val="5"/>
    <w:qFormat/>
    <w:uiPriority w:val="0"/>
    <w:rPr>
      <w:rFonts w:ascii="Calibri" w:hAnsi="Calibri" w:eastAsia="黑体" w:cs="Times New Roman"/>
      <w:b/>
      <w:bCs/>
      <w:sz w:val="32"/>
      <w:szCs w:val="32"/>
    </w:rPr>
  </w:style>
  <w:style w:type="character" w:customStyle="1" w:styleId="89">
    <w:name w:val="标题 4 Char"/>
    <w:basedOn w:val="78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90">
    <w:name w:val="标题 5 Char"/>
    <w:basedOn w:val="78"/>
    <w:link w:val="6"/>
    <w:qFormat/>
    <w:uiPriority w:val="99"/>
    <w:rPr>
      <w:rFonts w:ascii="Arial Narrow" w:hAnsi="Arial Narrow" w:eastAsia="仿宋_GB2312" w:cs="Times New Roman"/>
      <w:b/>
      <w:bCs/>
      <w:color w:val="000000"/>
      <w:sz w:val="28"/>
      <w:szCs w:val="28"/>
    </w:rPr>
  </w:style>
  <w:style w:type="character" w:customStyle="1" w:styleId="91">
    <w:name w:val="标题 6 Char"/>
    <w:basedOn w:val="78"/>
    <w:link w:val="7"/>
    <w:qFormat/>
    <w:uiPriority w:val="99"/>
    <w:rPr>
      <w:rFonts w:ascii="Arial" w:hAnsi="Arial" w:eastAsia="黑体" w:cs="Times New Roman"/>
      <w:b/>
      <w:bCs/>
      <w:sz w:val="24"/>
      <w:szCs w:val="24"/>
    </w:rPr>
  </w:style>
  <w:style w:type="character" w:customStyle="1" w:styleId="92">
    <w:name w:val="标题 7 Char"/>
    <w:basedOn w:val="78"/>
    <w:link w:val="8"/>
    <w:qFormat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93">
    <w:name w:val="标题 8 Char"/>
    <w:basedOn w:val="78"/>
    <w:link w:val="9"/>
    <w:qFormat/>
    <w:uiPriority w:val="99"/>
    <w:rPr>
      <w:rFonts w:ascii="Arial" w:hAnsi="Arial" w:eastAsia="黑体" w:cs="Times New Roman"/>
      <w:sz w:val="24"/>
      <w:szCs w:val="24"/>
    </w:rPr>
  </w:style>
  <w:style w:type="character" w:customStyle="1" w:styleId="94">
    <w:name w:val="标题 9 Char"/>
    <w:basedOn w:val="78"/>
    <w:link w:val="10"/>
    <w:qFormat/>
    <w:uiPriority w:val="99"/>
    <w:rPr>
      <w:rFonts w:ascii="Arial" w:hAnsi="Arial" w:eastAsia="黑体" w:cs="Times New Roman"/>
      <w:szCs w:val="21"/>
    </w:rPr>
  </w:style>
  <w:style w:type="character" w:customStyle="1" w:styleId="95">
    <w:name w:val="页眉 Char"/>
    <w:basedOn w:val="78"/>
    <w:link w:val="47"/>
    <w:qFormat/>
    <w:uiPriority w:val="0"/>
    <w:rPr>
      <w:sz w:val="18"/>
      <w:szCs w:val="18"/>
    </w:rPr>
  </w:style>
  <w:style w:type="character" w:customStyle="1" w:styleId="96">
    <w:name w:val="页脚 Char"/>
    <w:basedOn w:val="78"/>
    <w:link w:val="45"/>
    <w:qFormat/>
    <w:uiPriority w:val="99"/>
    <w:rPr>
      <w:sz w:val="18"/>
      <w:szCs w:val="18"/>
    </w:rPr>
  </w:style>
  <w:style w:type="paragraph" w:customStyle="1" w:styleId="97">
    <w:name w:val="bt1"/>
    <w:basedOn w:val="1"/>
    <w:link w:val="98"/>
    <w:qFormat/>
    <w:uiPriority w:val="0"/>
    <w:pPr>
      <w:adjustRightInd w:val="0"/>
      <w:snapToGrid w:val="0"/>
      <w:spacing w:beforeLines="75" w:line="500" w:lineRule="exact"/>
      <w:jc w:val="center"/>
    </w:pPr>
    <w:rPr>
      <w:rFonts w:ascii="Arial Narrow" w:hAnsi="Arial Narrow" w:cs="Arial Narrow"/>
      <w:color w:val="000000"/>
      <w:kern w:val="27"/>
      <w:sz w:val="26"/>
      <w:szCs w:val="26"/>
    </w:rPr>
  </w:style>
  <w:style w:type="character" w:customStyle="1" w:styleId="98">
    <w:name w:val="bt1 Char"/>
    <w:basedOn w:val="78"/>
    <w:link w:val="97"/>
    <w:qFormat/>
    <w:uiPriority w:val="0"/>
    <w:rPr>
      <w:rFonts w:ascii="Arial Narrow" w:hAnsi="Arial Narrow" w:eastAsia="黑体" w:cs="Arial Narrow"/>
      <w:color w:val="000000"/>
      <w:kern w:val="27"/>
      <w:sz w:val="26"/>
      <w:szCs w:val="26"/>
    </w:rPr>
  </w:style>
  <w:style w:type="paragraph" w:customStyle="1" w:styleId="99">
    <w:name w:val="2级标题（报告书）"/>
    <w:basedOn w:val="4"/>
    <w:qFormat/>
    <w:uiPriority w:val="99"/>
    <w:pPr>
      <w:spacing w:before="240" w:after="240" w:line="240" w:lineRule="auto"/>
    </w:pPr>
    <w:rPr>
      <w:rFonts w:ascii="Times New Roman" w:hAnsi="Times New Roman" w:eastAsia="黑体" w:cs="Times New Roman"/>
      <w:b w:val="0"/>
      <w:sz w:val="28"/>
      <w:szCs w:val="28"/>
    </w:rPr>
  </w:style>
  <w:style w:type="paragraph" w:customStyle="1" w:styleId="100">
    <w:name w:val="1级标题（报告书）"/>
    <w:basedOn w:val="1"/>
    <w:qFormat/>
    <w:uiPriority w:val="0"/>
    <w:pPr>
      <w:keepNext/>
      <w:widowControl/>
      <w:spacing w:before="360" w:after="240"/>
      <w:jc w:val="center"/>
      <w:outlineLvl w:val="0"/>
    </w:pPr>
    <w:rPr>
      <w:rFonts w:ascii="Times New Roman" w:hAnsi="Times New Roman"/>
      <w:bCs/>
      <w:kern w:val="44"/>
      <w:sz w:val="32"/>
      <w:szCs w:val="32"/>
    </w:rPr>
  </w:style>
  <w:style w:type="paragraph" w:customStyle="1" w:styleId="101">
    <w:name w:val="3级标题"/>
    <w:basedOn w:val="5"/>
    <w:qFormat/>
    <w:uiPriority w:val="99"/>
    <w:pPr>
      <w:spacing w:before="240" w:after="240" w:line="240" w:lineRule="auto"/>
    </w:pPr>
    <w:rPr>
      <w:rFonts w:ascii="Times New Roman" w:hAnsi="Times New Roman"/>
      <w:b w:val="0"/>
      <w:sz w:val="28"/>
      <w:szCs w:val="28"/>
    </w:rPr>
  </w:style>
  <w:style w:type="paragraph" w:customStyle="1" w:styleId="102">
    <w:name w:val="正文（报告书）"/>
    <w:basedOn w:val="1"/>
    <w:qFormat/>
    <w:uiPriority w:val="99"/>
    <w:pPr>
      <w:spacing w:line="440" w:lineRule="exact"/>
      <w:ind w:firstLine="560" w:firstLineChars="200"/>
    </w:pPr>
    <w:rPr>
      <w:rFonts w:ascii="Times New Roman" w:hAnsi="Times New Roman" w:eastAsia="仿宋_GB2312"/>
      <w:szCs w:val="28"/>
    </w:rPr>
  </w:style>
  <w:style w:type="paragraph" w:customStyle="1" w:styleId="103">
    <w:name w:val="6级表内容"/>
    <w:basedOn w:val="1"/>
    <w:qFormat/>
    <w:uiPriority w:val="99"/>
    <w:pPr>
      <w:widowControl/>
      <w:jc w:val="center"/>
    </w:pPr>
    <w:rPr>
      <w:rFonts w:ascii="Times New Roman" w:hAnsi="Times New Roman" w:eastAsia="仿宋_GB2312"/>
      <w:bCs/>
      <w:kern w:val="0"/>
      <w:szCs w:val="21"/>
    </w:rPr>
  </w:style>
  <w:style w:type="table" w:customStyle="1" w:styleId="104">
    <w:name w:val="网格型12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5">
    <w:name w:val="批注框文本 Char"/>
    <w:basedOn w:val="78"/>
    <w:link w:val="44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06">
    <w:name w:val="列出段落1"/>
    <w:basedOn w:val="1"/>
    <w:qFormat/>
    <w:uiPriority w:val="99"/>
    <w:pPr>
      <w:ind w:firstLine="420" w:firstLineChars="200"/>
    </w:pPr>
    <w:rPr>
      <w:rFonts w:eastAsia="宋体"/>
      <w:sz w:val="21"/>
    </w:rPr>
  </w:style>
  <w:style w:type="character" w:customStyle="1" w:styleId="107">
    <w:name w:val="文档结构图 Char"/>
    <w:basedOn w:val="78"/>
    <w:link w:val="22"/>
    <w:qFormat/>
    <w:uiPriority w:val="99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108">
    <w:name w:val="Char"/>
    <w:basedOn w:val="1"/>
    <w:qFormat/>
    <w:uiPriority w:val="0"/>
    <w:pPr>
      <w:tabs>
        <w:tab w:val="left" w:pos="840"/>
      </w:tabs>
      <w:ind w:left="840" w:hanging="420"/>
    </w:pPr>
    <w:rPr>
      <w:rFonts w:ascii="Times New Roman" w:hAnsi="Times New Roman" w:eastAsia="宋体"/>
      <w:sz w:val="24"/>
      <w:szCs w:val="24"/>
    </w:rPr>
  </w:style>
  <w:style w:type="paragraph" w:customStyle="1" w:styleId="109">
    <w:name w:val="nr"/>
    <w:basedOn w:val="1"/>
    <w:qFormat/>
    <w:uiPriority w:val="99"/>
    <w:pPr>
      <w:widowControl/>
      <w:spacing w:before="100" w:beforeAutospacing="1" w:after="100" w:afterAutospacing="1" w:line="360" w:lineRule="atLeast"/>
      <w:jc w:val="left"/>
    </w:pPr>
    <w:rPr>
      <w:rFonts w:ascii="宋体" w:hAnsi="宋体" w:eastAsia="宋体" w:cs="宋体"/>
      <w:color w:val="6F7D8A"/>
      <w:spacing w:val="24"/>
      <w:kern w:val="0"/>
      <w:sz w:val="21"/>
      <w:szCs w:val="21"/>
    </w:rPr>
  </w:style>
  <w:style w:type="paragraph" w:customStyle="1" w:styleId="110">
    <w:name w:val="封面标准名称"/>
    <w:qFormat/>
    <w:uiPriority w:val="99"/>
    <w:pPr>
      <w:framePr w:w="9638" w:h="6917" w:hRule="exact" w:wrap="around" w:vAnchor="margin" w:hAnchor="margin" w:xAlign="center" w:y="5955" w:anchorLock="1"/>
      <w:widowControl w:val="0"/>
      <w:spacing w:after="80"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character" w:customStyle="1" w:styleId="111">
    <w:name w:val="正文文本缩进 2 Char"/>
    <w:basedOn w:val="78"/>
    <w:link w:val="42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2">
    <w:name w:val="日期 Char"/>
    <w:basedOn w:val="78"/>
    <w:link w:val="4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13">
    <w:name w:val="zw1"/>
    <w:basedOn w:val="1"/>
    <w:link w:val="114"/>
    <w:qFormat/>
    <w:uiPriority w:val="0"/>
    <w:pPr>
      <w:adjustRightInd w:val="0"/>
      <w:snapToGrid w:val="0"/>
      <w:spacing w:line="520" w:lineRule="atLeast"/>
      <w:ind w:firstLine="200" w:firstLineChars="200"/>
    </w:pPr>
    <w:rPr>
      <w:rFonts w:ascii="Arial Narrow" w:hAnsi="Arial Narrow" w:eastAsia="仿宋_GB2312"/>
      <w:szCs w:val="28"/>
    </w:rPr>
  </w:style>
  <w:style w:type="character" w:customStyle="1" w:styleId="114">
    <w:name w:val="zw1 Char"/>
    <w:basedOn w:val="78"/>
    <w:link w:val="113"/>
    <w:qFormat/>
    <w:uiPriority w:val="0"/>
    <w:rPr>
      <w:rFonts w:ascii="Arial Narrow" w:hAnsi="Arial Narrow" w:eastAsia="仿宋_GB2312" w:cs="Times New Roman"/>
      <w:sz w:val="28"/>
      <w:szCs w:val="28"/>
    </w:rPr>
  </w:style>
  <w:style w:type="character" w:customStyle="1" w:styleId="115">
    <w:name w:val="标题 3 Char1"/>
    <w:basedOn w:val="78"/>
    <w:qFormat/>
    <w:uiPriority w:val="99"/>
    <w:rPr>
      <w:rFonts w:ascii="Arial Narrow" w:hAnsi="Arial Narrow" w:eastAsia="黑体"/>
      <w:color w:val="000000"/>
      <w:kern w:val="2"/>
      <w:sz w:val="28"/>
      <w:szCs w:val="28"/>
    </w:rPr>
  </w:style>
  <w:style w:type="paragraph" w:customStyle="1" w:styleId="116">
    <w:name w:val="zwBZ1"/>
    <w:basedOn w:val="1"/>
    <w:qFormat/>
    <w:uiPriority w:val="99"/>
    <w:pPr>
      <w:snapToGrid w:val="0"/>
      <w:spacing w:line="240" w:lineRule="atLeast"/>
    </w:pPr>
    <w:rPr>
      <w:rFonts w:ascii="仿宋_GB2312" w:hAnsi="Arial Narrow" w:eastAsia="仿宋_GB2312"/>
      <w:color w:val="000000"/>
      <w:sz w:val="22"/>
    </w:rPr>
  </w:style>
  <w:style w:type="paragraph" w:customStyle="1" w:styleId="117">
    <w:name w:val="bw1 Char"/>
    <w:basedOn w:val="1"/>
    <w:qFormat/>
    <w:uiPriority w:val="99"/>
    <w:pPr>
      <w:snapToGrid w:val="0"/>
      <w:spacing w:line="240" w:lineRule="atLeast"/>
      <w:jc w:val="center"/>
    </w:pPr>
    <w:rPr>
      <w:rFonts w:ascii="Arial Narrow" w:hAnsi="Arial Narrow" w:eastAsia="仿宋_GB2312" w:cs="Arial Narrow"/>
      <w:color w:val="000000"/>
      <w:spacing w:val="4"/>
      <w:sz w:val="20"/>
      <w:szCs w:val="20"/>
    </w:rPr>
  </w:style>
  <w:style w:type="paragraph" w:customStyle="1" w:styleId="118">
    <w:name w:val="tbbt1"/>
    <w:basedOn w:val="1"/>
    <w:qFormat/>
    <w:uiPriority w:val="99"/>
    <w:pPr>
      <w:snapToGrid w:val="0"/>
      <w:spacing w:afterLines="100" w:line="440" w:lineRule="exact"/>
      <w:jc w:val="center"/>
    </w:pPr>
    <w:rPr>
      <w:rFonts w:ascii="Arial Narrow" w:hAnsi="Arial Narrow" w:cs="Arial Narrow"/>
      <w:color w:val="000000"/>
      <w:spacing w:val="4"/>
      <w:szCs w:val="28"/>
    </w:rPr>
  </w:style>
  <w:style w:type="paragraph" w:customStyle="1" w:styleId="119">
    <w:name w:val="zwBT1"/>
    <w:basedOn w:val="113"/>
    <w:qFormat/>
    <w:uiPriority w:val="99"/>
    <w:pPr>
      <w:tabs>
        <w:tab w:val="left" w:pos="7800"/>
      </w:tabs>
      <w:topLinePunct/>
      <w:spacing w:line="240" w:lineRule="atLeast"/>
      <w:jc w:val="right"/>
    </w:pPr>
    <w:rPr>
      <w:color w:val="000000"/>
      <w:spacing w:val="-2"/>
      <w:w w:val="98"/>
      <w:kern w:val="0"/>
      <w:sz w:val="22"/>
      <w:szCs w:val="22"/>
    </w:rPr>
  </w:style>
  <w:style w:type="paragraph" w:customStyle="1" w:styleId="120">
    <w:name w:val="bw1"/>
    <w:basedOn w:val="117"/>
    <w:qFormat/>
    <w:uiPriority w:val="0"/>
    <w:rPr>
      <w:szCs w:val="24"/>
    </w:rPr>
  </w:style>
  <w:style w:type="character" w:customStyle="1" w:styleId="121">
    <w:name w:val="纯文本 Char"/>
    <w:basedOn w:val="78"/>
    <w:link w:val="37"/>
    <w:qFormat/>
    <w:uiPriority w:val="0"/>
    <w:rPr>
      <w:rFonts w:ascii="宋体" w:hAnsi="Courier New" w:eastAsia="方正楷体简体" w:cs="宋体"/>
      <w:color w:val="000000"/>
      <w:sz w:val="24"/>
      <w:szCs w:val="24"/>
    </w:rPr>
  </w:style>
  <w:style w:type="character" w:customStyle="1" w:styleId="122">
    <w:name w:val="纯文本 Char1"/>
    <w:basedOn w:val="78"/>
    <w:qFormat/>
    <w:uiPriority w:val="99"/>
    <w:rPr>
      <w:rFonts w:ascii="宋体" w:hAnsi="Courier New" w:eastAsia="宋体" w:cs="Courier New"/>
      <w:szCs w:val="21"/>
    </w:rPr>
  </w:style>
  <w:style w:type="character" w:customStyle="1" w:styleId="123">
    <w:name w:val="正文文本 Char"/>
    <w:basedOn w:val="78"/>
    <w:link w:val="28"/>
    <w:qFormat/>
    <w:uiPriority w:val="99"/>
    <w:rPr>
      <w:rFonts w:ascii="Arial Narrow" w:hAnsi="Arial Narrow" w:eastAsia="方正楷体简体"/>
      <w:color w:val="000000"/>
      <w:sz w:val="28"/>
      <w:szCs w:val="24"/>
    </w:rPr>
  </w:style>
  <w:style w:type="character" w:customStyle="1" w:styleId="124">
    <w:name w:val="正文文本 Char1"/>
    <w:basedOn w:val="78"/>
    <w:qFormat/>
    <w:uiPriority w:val="99"/>
    <w:rPr>
      <w:rFonts w:ascii="Calibri" w:hAnsi="Calibri" w:eastAsia="黑体" w:cs="Times New Roman"/>
      <w:sz w:val="28"/>
    </w:rPr>
  </w:style>
  <w:style w:type="paragraph" w:customStyle="1" w:styleId="125">
    <w:name w:val="无间隔1"/>
    <w:link w:val="152"/>
    <w:qFormat/>
    <w:uiPriority w:val="99"/>
    <w:pPr>
      <w:widowControl w:val="0"/>
      <w:spacing w:after="8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6">
    <w:name w:val="Char Char Char Char Char Char Char"/>
    <w:basedOn w:val="1"/>
    <w:qFormat/>
    <w:uiPriority w:val="99"/>
    <w:rPr>
      <w:rFonts w:ascii="Tahoma" w:hAnsi="Tahoma" w:eastAsia="仿宋_GB2312"/>
      <w:sz w:val="24"/>
      <w:szCs w:val="20"/>
    </w:rPr>
  </w:style>
  <w:style w:type="table" w:customStyle="1" w:styleId="127">
    <w:name w:val="表格样式1"/>
    <w:basedOn w:val="76"/>
    <w:qFormat/>
    <w:uiPriority w:val="99"/>
    <w:tblPr>
      <w:tblBorders>
        <w:top w:val="single" w:color="auto" w:sz="12" w:space="0"/>
        <w:bottom w:val="single" w:color="auto" w:sz="12" w:space="0"/>
        <w:insideV w:val="single" w:color="auto" w:sz="12" w:space="0"/>
      </w:tblBorders>
    </w:tblPr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128">
    <w:name w:val="表格样式2"/>
    <w:basedOn w:val="127"/>
    <w:qFormat/>
    <w:uiPriority w:val="99"/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paragraph" w:customStyle="1" w:styleId="129">
    <w:name w:val="默认段落字体 Para Char"/>
    <w:basedOn w:val="1"/>
    <w:qFormat/>
    <w:uiPriority w:val="99"/>
    <w:rPr>
      <w:rFonts w:ascii="Tahoma" w:hAnsi="Tahoma" w:eastAsia="仿宋_GB2312"/>
      <w:sz w:val="24"/>
      <w:szCs w:val="20"/>
    </w:rPr>
  </w:style>
  <w:style w:type="character" w:customStyle="1" w:styleId="130">
    <w:name w:val="标题 Char"/>
    <w:basedOn w:val="78"/>
    <w:link w:val="68"/>
    <w:qFormat/>
    <w:uiPriority w:val="10"/>
    <w:rPr>
      <w:rFonts w:asciiTheme="majorHAnsi" w:hAnsiTheme="majorHAnsi" w:cstheme="majorBidi"/>
      <w:b/>
      <w:bCs/>
      <w:sz w:val="32"/>
      <w:szCs w:val="32"/>
    </w:rPr>
  </w:style>
  <w:style w:type="character" w:customStyle="1" w:styleId="131">
    <w:name w:val="标题 Char1"/>
    <w:basedOn w:val="78"/>
    <w:qFormat/>
    <w:uiPriority w:val="9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2">
    <w:name w:val="副标题 Char"/>
    <w:basedOn w:val="78"/>
    <w:link w:val="52"/>
    <w:qFormat/>
    <w:uiPriority w:val="11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133">
    <w:name w:val="副标题 Char1"/>
    <w:basedOn w:val="78"/>
    <w:qFormat/>
    <w:uiPriority w:val="99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134">
    <w:name w:val="zww"/>
    <w:basedOn w:val="97"/>
    <w:qFormat/>
    <w:uiPriority w:val="99"/>
    <w:pPr>
      <w:spacing w:beforeLines="0" w:line="400" w:lineRule="atLeast"/>
      <w:ind w:firstLine="397"/>
      <w:jc w:val="both"/>
    </w:pPr>
    <w:rPr>
      <w:rFonts w:eastAsia="宋体"/>
      <w:color w:val="auto"/>
      <w:kern w:val="32"/>
      <w:sz w:val="22"/>
      <w:szCs w:val="22"/>
    </w:rPr>
  </w:style>
  <w:style w:type="paragraph" w:customStyle="1" w:styleId="135">
    <w:name w:val="kzw1"/>
    <w:basedOn w:val="1"/>
    <w:qFormat/>
    <w:uiPriority w:val="99"/>
    <w:pPr>
      <w:spacing w:line="360" w:lineRule="auto"/>
      <w:ind w:firstLine="200" w:firstLineChars="200"/>
    </w:pPr>
    <w:rPr>
      <w:rFonts w:ascii="Arial Narrow" w:hAnsi="Arial Narrow" w:eastAsia="宋体" w:cs="Arial"/>
      <w:sz w:val="24"/>
      <w:szCs w:val="24"/>
    </w:rPr>
  </w:style>
  <w:style w:type="paragraph" w:customStyle="1" w:styleId="136">
    <w:name w:val="Char1"/>
    <w:basedOn w:val="1"/>
    <w:qFormat/>
    <w:uiPriority w:val="0"/>
    <w:pPr>
      <w:spacing w:line="360" w:lineRule="auto"/>
    </w:pPr>
    <w:rPr>
      <w:rFonts w:ascii="仿宋_GB2312" w:hAnsi="Tahoma" w:eastAsia="仿宋_GB2312"/>
      <w:sz w:val="21"/>
      <w:szCs w:val="21"/>
    </w:rPr>
  </w:style>
  <w:style w:type="paragraph" w:customStyle="1" w:styleId="137">
    <w:name w:val="bw12"/>
    <w:basedOn w:val="120"/>
    <w:qFormat/>
    <w:uiPriority w:val="99"/>
    <w:rPr>
      <w:sz w:val="18"/>
      <w:szCs w:val="18"/>
    </w:rPr>
  </w:style>
  <w:style w:type="character" w:customStyle="1" w:styleId="138">
    <w:name w:val="超级链接"/>
    <w:qFormat/>
    <w:uiPriority w:val="99"/>
    <w:rPr>
      <w:color w:val="0000FF"/>
      <w:u w:val="single"/>
    </w:rPr>
  </w:style>
  <w:style w:type="paragraph" w:customStyle="1" w:styleId="139">
    <w:name w:val="样式"/>
    <w:basedOn w:val="1"/>
    <w:qFormat/>
    <w:uiPriority w:val="99"/>
    <w:pPr>
      <w:spacing w:line="400" w:lineRule="atLeast"/>
    </w:pPr>
    <w:rPr>
      <w:rFonts w:ascii="Arial Narrow" w:hAnsi="Arial Narrow" w:eastAsia="方正楷体简体"/>
      <w:color w:val="000000"/>
      <w:sz w:val="24"/>
      <w:szCs w:val="24"/>
    </w:rPr>
  </w:style>
  <w:style w:type="paragraph" w:customStyle="1" w:styleId="140">
    <w:name w:val="样式1"/>
    <w:basedOn w:val="1"/>
    <w:next w:val="37"/>
    <w:qFormat/>
    <w:uiPriority w:val="99"/>
    <w:pPr>
      <w:spacing w:line="400" w:lineRule="atLeast"/>
    </w:pPr>
    <w:rPr>
      <w:rFonts w:ascii="宋体" w:hAnsi="Courier New" w:eastAsia="方正楷体简体" w:cs="宋体"/>
      <w:color w:val="000000"/>
      <w:sz w:val="24"/>
      <w:szCs w:val="24"/>
    </w:rPr>
  </w:style>
  <w:style w:type="character" w:customStyle="1" w:styleId="141">
    <w:name w:val="已访问的超级链接"/>
    <w:qFormat/>
    <w:uiPriority w:val="99"/>
    <w:rPr>
      <w:color w:val="800080"/>
      <w:u w:val="single"/>
    </w:rPr>
  </w:style>
  <w:style w:type="paragraph" w:customStyle="1" w:styleId="142">
    <w:name w:val="tb1"/>
    <w:basedOn w:val="113"/>
    <w:qFormat/>
    <w:uiPriority w:val="99"/>
    <w:pPr>
      <w:tabs>
        <w:tab w:val="left" w:pos="7800"/>
      </w:tabs>
      <w:spacing w:after="360" w:line="420" w:lineRule="atLeast"/>
      <w:ind w:left="-120" w:leftChars="-50" w:right="-120" w:rightChars="-50" w:firstLine="765" w:firstLineChars="306"/>
      <w:jc w:val="center"/>
    </w:pPr>
    <w:rPr>
      <w:rFonts w:eastAsia="方正宋黑简体"/>
      <w:color w:val="000000"/>
      <w:spacing w:val="-2"/>
      <w:w w:val="98"/>
      <w:kern w:val="0"/>
      <w:sz w:val="26"/>
      <w:szCs w:val="24"/>
    </w:rPr>
  </w:style>
  <w:style w:type="paragraph" w:customStyle="1" w:styleId="143">
    <w:name w:val="bdw"/>
    <w:basedOn w:val="97"/>
    <w:qFormat/>
    <w:uiPriority w:val="99"/>
    <w:pPr>
      <w:spacing w:beforeLines="0" w:line="240" w:lineRule="auto"/>
      <w:ind w:right="637"/>
      <w:jc w:val="right"/>
    </w:pPr>
    <w:rPr>
      <w:rFonts w:eastAsia="方正楷体简体" w:cs="Times New Roman"/>
      <w:bCs/>
      <w:color w:val="auto"/>
      <w:spacing w:val="-2"/>
      <w:w w:val="98"/>
      <w:kern w:val="0"/>
      <w:sz w:val="21"/>
      <w:szCs w:val="24"/>
    </w:rPr>
  </w:style>
  <w:style w:type="paragraph" w:customStyle="1" w:styleId="144">
    <w:name w:val="标题4"/>
    <w:basedOn w:val="1"/>
    <w:qFormat/>
    <w:uiPriority w:val="99"/>
    <w:pPr>
      <w:spacing w:before="200" w:after="200" w:line="300" w:lineRule="auto"/>
      <w:outlineLvl w:val="3"/>
    </w:pPr>
    <w:rPr>
      <w:rFonts w:ascii="Times New Roman" w:hAnsi="Times New Roman" w:eastAsia="宋体"/>
      <w:b/>
      <w:bCs/>
      <w:sz w:val="30"/>
      <w:szCs w:val="24"/>
    </w:rPr>
  </w:style>
  <w:style w:type="paragraph" w:customStyle="1" w:styleId="145">
    <w:name w:val="font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6">
    <w:name w:val="xl2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16"/>
      <w:szCs w:val="16"/>
    </w:rPr>
  </w:style>
  <w:style w:type="paragraph" w:customStyle="1" w:styleId="147">
    <w:name w:val="xl2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16"/>
      <w:szCs w:val="16"/>
    </w:rPr>
  </w:style>
  <w:style w:type="paragraph" w:customStyle="1" w:styleId="148">
    <w:name w:val="xl2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" w:hAnsi="Arial" w:eastAsia="宋体" w:cs="Arial"/>
      <w:kern w:val="0"/>
      <w:sz w:val="16"/>
      <w:szCs w:val="16"/>
    </w:rPr>
  </w:style>
  <w:style w:type="paragraph" w:customStyle="1" w:styleId="149">
    <w:name w:val="xl2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Arial" w:hAnsi="Arial" w:eastAsia="宋体" w:cs="Arial"/>
      <w:kern w:val="0"/>
      <w:sz w:val="16"/>
      <w:szCs w:val="16"/>
    </w:rPr>
  </w:style>
  <w:style w:type="paragraph" w:customStyle="1" w:styleId="150">
    <w:name w:val="xl2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仿宋_GB2312" w:hAnsi="宋体" w:eastAsia="仿宋_GB2312" w:cs="宋体"/>
      <w:kern w:val="0"/>
      <w:sz w:val="16"/>
      <w:szCs w:val="16"/>
    </w:rPr>
  </w:style>
  <w:style w:type="table" w:customStyle="1" w:styleId="151">
    <w:name w:val="浅色底纹1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52">
    <w:name w:val="无间隔 字符"/>
    <w:basedOn w:val="78"/>
    <w:link w:val="125"/>
    <w:qFormat/>
    <w:uiPriority w:val="1"/>
    <w:rPr>
      <w:rFonts w:ascii="Calibri" w:hAnsi="Calibri" w:eastAsia="宋体" w:cs="Times New Roman"/>
    </w:rPr>
  </w:style>
  <w:style w:type="table" w:customStyle="1" w:styleId="153">
    <w:name w:val="浅色底纹11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54">
    <w:name w:val="正文文本缩进 3 Char"/>
    <w:basedOn w:val="78"/>
    <w:link w:val="58"/>
    <w:qFormat/>
    <w:uiPriority w:val="99"/>
    <w:rPr>
      <w:rFonts w:ascii="Times New Roman" w:hAnsi="Times New Roman" w:eastAsia="宋体" w:cs="Times New Roman"/>
      <w:sz w:val="16"/>
      <w:szCs w:val="16"/>
    </w:rPr>
  </w:style>
  <w:style w:type="paragraph" w:customStyle="1" w:styleId="155">
    <w:name w:val="论文正文"/>
    <w:basedOn w:val="1"/>
    <w:link w:val="156"/>
    <w:qFormat/>
    <w:uiPriority w:val="99"/>
    <w:pPr>
      <w:adjustRightInd w:val="0"/>
      <w:snapToGrid w:val="0"/>
      <w:spacing w:line="400" w:lineRule="exact"/>
      <w:ind w:firstLine="200" w:firstLineChars="200"/>
    </w:pPr>
    <w:rPr>
      <w:rFonts w:ascii="Times New Roman" w:hAnsi="Times New Roman" w:eastAsia="宋体"/>
      <w:sz w:val="24"/>
      <w:szCs w:val="24"/>
    </w:rPr>
  </w:style>
  <w:style w:type="character" w:customStyle="1" w:styleId="156">
    <w:name w:val="论文正文 Char"/>
    <w:basedOn w:val="78"/>
    <w:link w:val="155"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157">
    <w:name w:val="表格标题"/>
    <w:basedOn w:val="1"/>
    <w:qFormat/>
    <w:uiPriority w:val="99"/>
    <w:rPr>
      <w:rFonts w:ascii="Times New Roman" w:hAnsi="Times New Roman" w:eastAsia="仿宋_GB2312"/>
      <w:b/>
      <w:sz w:val="24"/>
      <w:szCs w:val="24"/>
    </w:rPr>
  </w:style>
  <w:style w:type="paragraph" w:customStyle="1" w:styleId="158">
    <w:name w:val="Char Char Char Char Char Char Char Char Char Char Char Char Char Char Char Char Char Char Char Char Char Char"/>
    <w:basedOn w:val="1"/>
    <w:qFormat/>
    <w:uiPriority w:val="99"/>
    <w:rPr>
      <w:rFonts w:ascii="宋体" w:hAnsi="宋体" w:eastAsia="仿宋_GB2312" w:cs="Courier New"/>
      <w:sz w:val="32"/>
      <w:szCs w:val="32"/>
    </w:rPr>
  </w:style>
  <w:style w:type="paragraph" w:customStyle="1" w:styleId="159">
    <w:name w:val="标题5"/>
    <w:basedOn w:val="1"/>
    <w:qFormat/>
    <w:uiPriority w:val="99"/>
    <w:pPr>
      <w:adjustRightInd w:val="0"/>
      <w:ind w:firstLine="200" w:firstLineChars="200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paragraph" w:customStyle="1" w:styleId="160">
    <w:name w:val="bw1_y"/>
    <w:basedOn w:val="120"/>
    <w:qFormat/>
    <w:uiPriority w:val="99"/>
    <w:pPr>
      <w:spacing w:line="240" w:lineRule="auto"/>
      <w:jc w:val="right"/>
    </w:pPr>
    <w:rPr>
      <w:rFonts w:ascii="Times New Roman" w:hAnsi="Times New Roman" w:eastAsia="楷体_GB2312" w:cs="Times New Roman"/>
      <w:color w:val="auto"/>
      <w:spacing w:val="-2"/>
      <w:w w:val="96"/>
      <w:szCs w:val="20"/>
    </w:rPr>
  </w:style>
  <w:style w:type="character" w:customStyle="1" w:styleId="161">
    <w:name w:val="tbt1 Char1"/>
    <w:basedOn w:val="78"/>
    <w:link w:val="162"/>
    <w:qFormat/>
    <w:uiPriority w:val="99"/>
    <w:rPr>
      <w:rFonts w:ascii="Arial Narrow" w:hAnsi="Arial Narrow" w:eastAsia="黑体"/>
      <w:color w:val="000000"/>
      <w:w w:val="95"/>
      <w:kern w:val="27"/>
      <w:sz w:val="26"/>
      <w:szCs w:val="27"/>
    </w:rPr>
  </w:style>
  <w:style w:type="paragraph" w:customStyle="1" w:styleId="162">
    <w:name w:val="tbt1"/>
    <w:basedOn w:val="1"/>
    <w:next w:val="1"/>
    <w:link w:val="161"/>
    <w:qFormat/>
    <w:uiPriority w:val="99"/>
    <w:pPr>
      <w:adjustRightInd w:val="0"/>
      <w:snapToGrid w:val="0"/>
      <w:spacing w:after="360" w:line="460" w:lineRule="atLeast"/>
      <w:jc w:val="center"/>
    </w:pPr>
    <w:rPr>
      <w:rFonts w:ascii="Arial Narrow" w:hAnsi="Arial Narrow" w:cstheme="minorBidi"/>
      <w:color w:val="000000"/>
      <w:w w:val="95"/>
      <w:kern w:val="27"/>
      <w:sz w:val="26"/>
      <w:szCs w:val="27"/>
    </w:rPr>
  </w:style>
  <w:style w:type="paragraph" w:customStyle="1" w:styleId="163">
    <w:name w:val="bw1 Char Char Char Char Char Char"/>
    <w:basedOn w:val="1"/>
    <w:link w:val="164"/>
    <w:qFormat/>
    <w:uiPriority w:val="99"/>
    <w:pPr>
      <w:adjustRightInd w:val="0"/>
      <w:snapToGrid w:val="0"/>
      <w:spacing w:line="240" w:lineRule="atLeast"/>
      <w:ind w:left="-57" w:right="-57"/>
      <w:jc w:val="center"/>
    </w:pPr>
    <w:rPr>
      <w:rFonts w:ascii="Arial Narrow" w:hAnsi="Arial Narrow" w:eastAsia="楷体_GB2312"/>
      <w:w w:val="90"/>
      <w:sz w:val="18"/>
      <w:szCs w:val="24"/>
    </w:rPr>
  </w:style>
  <w:style w:type="character" w:customStyle="1" w:styleId="164">
    <w:name w:val="bw1 Char Char Char Char Char Char Char"/>
    <w:basedOn w:val="78"/>
    <w:link w:val="163"/>
    <w:qFormat/>
    <w:uiPriority w:val="99"/>
    <w:rPr>
      <w:rFonts w:ascii="Arial Narrow" w:hAnsi="Arial Narrow" w:eastAsia="楷体_GB2312" w:cs="Times New Roman"/>
      <w:w w:val="90"/>
      <w:sz w:val="18"/>
      <w:szCs w:val="24"/>
    </w:rPr>
  </w:style>
  <w:style w:type="paragraph" w:customStyle="1" w:styleId="165">
    <w:name w:val="bw1 Char Char"/>
    <w:basedOn w:val="1"/>
    <w:link w:val="166"/>
    <w:qFormat/>
    <w:uiPriority w:val="99"/>
    <w:pPr>
      <w:snapToGrid w:val="0"/>
      <w:spacing w:line="240" w:lineRule="atLeast"/>
      <w:ind w:left="-57" w:right="-57"/>
      <w:jc w:val="center"/>
    </w:pPr>
    <w:rPr>
      <w:rFonts w:ascii="Arial Narrow" w:hAnsi="Arial Narrow" w:eastAsia="仿宋_GB2312"/>
      <w:spacing w:val="-4"/>
      <w:w w:val="98"/>
      <w:kern w:val="0"/>
      <w:sz w:val="21"/>
      <w:szCs w:val="21"/>
    </w:rPr>
  </w:style>
  <w:style w:type="character" w:customStyle="1" w:styleId="166">
    <w:name w:val="bw1 Char Char Char"/>
    <w:basedOn w:val="78"/>
    <w:link w:val="165"/>
    <w:qFormat/>
    <w:uiPriority w:val="99"/>
    <w:rPr>
      <w:rFonts w:ascii="Arial Narrow" w:hAnsi="Arial Narrow" w:eastAsia="仿宋_GB2312" w:cs="Times New Roman"/>
      <w:spacing w:val="-4"/>
      <w:w w:val="98"/>
      <w:kern w:val="0"/>
      <w:szCs w:val="21"/>
    </w:rPr>
  </w:style>
  <w:style w:type="paragraph" w:customStyle="1" w:styleId="167">
    <w:name w:val="样式 bw1 + (西文) 宋体 (中文) 宋体 (复杂脚本) 宋体"/>
    <w:basedOn w:val="165"/>
    <w:link w:val="168"/>
    <w:qFormat/>
    <w:uiPriority w:val="99"/>
  </w:style>
  <w:style w:type="character" w:customStyle="1" w:styleId="168">
    <w:name w:val="样式 bw1 + (西文) 宋体 (中文) 宋体 (复杂脚本) 宋体 Char"/>
    <w:basedOn w:val="166"/>
    <w:link w:val="167"/>
    <w:qFormat/>
    <w:uiPriority w:val="99"/>
    <w:rPr>
      <w:rFonts w:ascii="Arial Narrow" w:hAnsi="Arial Narrow" w:eastAsia="仿宋_GB2312" w:cs="Times New Roman"/>
      <w:spacing w:val="-4"/>
      <w:w w:val="98"/>
      <w:kern w:val="0"/>
      <w:szCs w:val="21"/>
    </w:rPr>
  </w:style>
  <w:style w:type="paragraph" w:customStyle="1" w:styleId="169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70">
    <w:name w:val="样式3"/>
    <w:basedOn w:val="1"/>
    <w:next w:val="37"/>
    <w:qFormat/>
    <w:uiPriority w:val="99"/>
    <w:rPr>
      <w:rFonts w:ascii="宋体" w:hAnsi="Courier New" w:eastAsia="宋体" w:cs="宋体"/>
      <w:sz w:val="21"/>
      <w:szCs w:val="21"/>
    </w:rPr>
  </w:style>
  <w:style w:type="paragraph" w:customStyle="1" w:styleId="171">
    <w:name w:val="样式2"/>
    <w:basedOn w:val="1"/>
    <w:qFormat/>
    <w:uiPriority w:val="99"/>
    <w:rPr>
      <w:rFonts w:ascii="Times New Roman" w:hAnsi="Times New Roman" w:eastAsia="宋体"/>
      <w:sz w:val="21"/>
      <w:szCs w:val="21"/>
    </w:rPr>
  </w:style>
  <w:style w:type="character" w:customStyle="1" w:styleId="172">
    <w:name w:val="批注文字 Char"/>
    <w:basedOn w:val="78"/>
    <w:link w:val="23"/>
    <w:qFormat/>
    <w:uiPriority w:val="0"/>
    <w:rPr>
      <w:rFonts w:ascii="Times New Roman" w:hAnsi="Times New Roman" w:eastAsia="宋体" w:cs="Times New Roman"/>
      <w:szCs w:val="21"/>
    </w:rPr>
  </w:style>
  <w:style w:type="paragraph" w:customStyle="1" w:styleId="173">
    <w:name w:val="bw1_dw"/>
    <w:basedOn w:val="1"/>
    <w:qFormat/>
    <w:uiPriority w:val="99"/>
    <w:pPr>
      <w:ind w:right="200" w:rightChars="200"/>
      <w:jc w:val="right"/>
    </w:pPr>
    <w:rPr>
      <w:rFonts w:ascii="Arial Narrow" w:hAnsi="Arial Narrow" w:eastAsia="仿宋_GB2312"/>
      <w:sz w:val="21"/>
      <w:szCs w:val="21"/>
    </w:rPr>
  </w:style>
  <w:style w:type="paragraph" w:customStyle="1" w:styleId="174">
    <w:name w:val="样式 bw1 +"/>
    <w:basedOn w:val="1"/>
    <w:qFormat/>
    <w:uiPriority w:val="99"/>
    <w:pPr>
      <w:snapToGrid w:val="0"/>
      <w:spacing w:line="240" w:lineRule="atLeast"/>
      <w:ind w:left="-30" w:leftChars="-30" w:right="-30" w:rightChars="-30"/>
      <w:jc w:val="center"/>
    </w:pPr>
    <w:rPr>
      <w:rFonts w:ascii="Arial Narrow" w:hAnsi="Arial Narrow" w:eastAsia="仿宋_GB2312" w:cs="Arial Narrow"/>
      <w:spacing w:val="4"/>
      <w:kern w:val="0"/>
      <w:sz w:val="20"/>
      <w:szCs w:val="20"/>
    </w:rPr>
  </w:style>
  <w:style w:type="character" w:customStyle="1" w:styleId="175">
    <w:name w:val="称呼 Char"/>
    <w:basedOn w:val="78"/>
    <w:link w:val="24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76">
    <w:name w:val="电子邮件签名 Char"/>
    <w:basedOn w:val="78"/>
    <w:link w:val="16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77">
    <w:name w:val="结束语 Char"/>
    <w:basedOn w:val="78"/>
    <w:link w:val="26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78">
    <w:name w:val="签名 Char"/>
    <w:basedOn w:val="78"/>
    <w:link w:val="48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79">
    <w:name w:val="信息标题 Char"/>
    <w:basedOn w:val="78"/>
    <w:link w:val="65"/>
    <w:qFormat/>
    <w:uiPriority w:val="99"/>
    <w:rPr>
      <w:rFonts w:ascii="Arial" w:hAnsi="Arial" w:eastAsia="宋体" w:cs="Arial"/>
      <w:sz w:val="24"/>
      <w:szCs w:val="24"/>
      <w:shd w:val="pct20" w:color="auto" w:fill="auto"/>
    </w:rPr>
  </w:style>
  <w:style w:type="character" w:customStyle="1" w:styleId="180">
    <w:name w:val="正文首行缩进 Char"/>
    <w:basedOn w:val="124"/>
    <w:link w:val="70"/>
    <w:qFormat/>
    <w:uiPriority w:val="99"/>
    <w:rPr>
      <w:rFonts w:ascii="Times New Roman" w:hAnsi="Times New Roman" w:eastAsia="宋体" w:cs="Times New Roman"/>
      <w:sz w:val="28"/>
      <w:szCs w:val="21"/>
    </w:rPr>
  </w:style>
  <w:style w:type="character" w:customStyle="1" w:styleId="181">
    <w:name w:val="正文文本缩进 Char"/>
    <w:basedOn w:val="78"/>
    <w:link w:val="29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82">
    <w:name w:val="正文首行缩进 2 Char"/>
    <w:basedOn w:val="181"/>
    <w:link w:val="71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83">
    <w:name w:val="正文文本 2 Char"/>
    <w:basedOn w:val="78"/>
    <w:link w:val="62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184">
    <w:name w:val="正文文本 3 Char"/>
    <w:basedOn w:val="78"/>
    <w:link w:val="25"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85">
    <w:name w:val="注释标题 Char"/>
    <w:basedOn w:val="78"/>
    <w:link w:val="14"/>
    <w:qFormat/>
    <w:uiPriority w:val="99"/>
    <w:rPr>
      <w:rFonts w:ascii="Times New Roman" w:hAnsi="Times New Roman" w:eastAsia="宋体" w:cs="Times New Roman"/>
      <w:szCs w:val="21"/>
    </w:rPr>
  </w:style>
  <w:style w:type="paragraph" w:customStyle="1" w:styleId="186">
    <w:name w:val="标题3-5"/>
    <w:basedOn w:val="1"/>
    <w:qFormat/>
    <w:uiPriority w:val="99"/>
    <w:pPr>
      <w:tabs>
        <w:tab w:val="left" w:pos="663"/>
      </w:tabs>
      <w:ind w:left="-652" w:firstLine="652"/>
    </w:pPr>
    <w:rPr>
      <w:rFonts w:ascii="Times New Roman" w:hAnsi="Times New Roman" w:eastAsia="宋体"/>
      <w:sz w:val="21"/>
      <w:szCs w:val="24"/>
    </w:rPr>
  </w:style>
  <w:style w:type="paragraph" w:customStyle="1" w:styleId="187">
    <w:name w:val="样式 zw1 + 首行缩进:  2 字符"/>
    <w:basedOn w:val="1"/>
    <w:qFormat/>
    <w:uiPriority w:val="99"/>
    <w:pPr>
      <w:spacing w:line="500" w:lineRule="exact"/>
      <w:ind w:firstLine="200" w:firstLineChars="200"/>
    </w:pPr>
    <w:rPr>
      <w:rFonts w:ascii="Arial Narrow" w:hAnsi="Arial Narrow" w:eastAsia="仿宋_GB2312" w:cs="宋体"/>
      <w:sz w:val="23"/>
      <w:szCs w:val="20"/>
    </w:rPr>
  </w:style>
  <w:style w:type="character" w:customStyle="1" w:styleId="188">
    <w:name w:val="Char16"/>
    <w:basedOn w:val="7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9">
    <w:name w:val="标题4 Char Char Char"/>
    <w:basedOn w:val="1"/>
    <w:link w:val="190"/>
    <w:qFormat/>
    <w:uiPriority w:val="99"/>
    <w:pPr>
      <w:adjustRightInd w:val="0"/>
      <w:spacing w:before="260"/>
      <w:ind w:firstLine="454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character" w:customStyle="1" w:styleId="190">
    <w:name w:val="标题4 Char Char Char Char"/>
    <w:basedOn w:val="78"/>
    <w:link w:val="189"/>
    <w:qFormat/>
    <w:uiPriority w:val="99"/>
    <w:rPr>
      <w:rFonts w:ascii="Arial Narrow" w:hAnsi="Arial Narrow" w:eastAsia="黑体" w:cs="Times New Roman"/>
      <w:bCs/>
      <w:color w:val="000000"/>
      <w:w w:val="95"/>
      <w:kern w:val="27"/>
      <w:sz w:val="26"/>
      <w:szCs w:val="26"/>
    </w:rPr>
  </w:style>
  <w:style w:type="paragraph" w:customStyle="1" w:styleId="191">
    <w:name w:val="样式 标题 4标题 4 Char Char Char标题 41 + Times New Roman"/>
    <w:basedOn w:val="2"/>
    <w:link w:val="192"/>
    <w:qFormat/>
    <w:uiPriority w:val="99"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="480" w:firstLineChars="200"/>
    </w:pPr>
    <w:rPr>
      <w:rFonts w:ascii="Times New Roman" w:hAnsi="Times New Roman" w:eastAsia="黑体" w:cs="Times New Roman"/>
      <w:bCs w:val="0"/>
      <w:color w:val="000000"/>
      <w:w w:val="98"/>
      <w:sz w:val="25"/>
    </w:rPr>
  </w:style>
  <w:style w:type="character" w:customStyle="1" w:styleId="192">
    <w:name w:val="样式 标题 4标题 4 Char Char Char标题 41 + Times New Roman Char"/>
    <w:basedOn w:val="89"/>
    <w:link w:val="191"/>
    <w:qFormat/>
    <w:uiPriority w:val="99"/>
    <w:rPr>
      <w:rFonts w:ascii="Times New Roman" w:hAnsi="Times New Roman" w:eastAsia="黑体" w:cs="Times New Roman"/>
      <w:bCs w:val="0"/>
      <w:color w:val="000000"/>
      <w:w w:val="98"/>
      <w:sz w:val="25"/>
      <w:szCs w:val="28"/>
    </w:rPr>
  </w:style>
  <w:style w:type="paragraph" w:customStyle="1" w:styleId="193">
    <w:name w:val="样式 标题 4标题 4 Char Char Char标题 41 + 宋体"/>
    <w:basedOn w:val="2"/>
    <w:link w:val="194"/>
    <w:qFormat/>
    <w:uiPriority w:val="99"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="480" w:firstLineChars="200"/>
    </w:pPr>
    <w:rPr>
      <w:rFonts w:ascii="宋体" w:hAnsi="宋体" w:eastAsia="黑体" w:cs="Times New Roman"/>
      <w:bCs w:val="0"/>
      <w:color w:val="000000"/>
      <w:w w:val="98"/>
      <w:sz w:val="25"/>
    </w:rPr>
  </w:style>
  <w:style w:type="character" w:customStyle="1" w:styleId="194">
    <w:name w:val="样式 标题 4标题 4 Char Char Char标题 41 + 宋体 Char"/>
    <w:basedOn w:val="89"/>
    <w:link w:val="193"/>
    <w:qFormat/>
    <w:uiPriority w:val="99"/>
    <w:rPr>
      <w:rFonts w:ascii="宋体" w:hAnsi="宋体" w:eastAsia="黑体" w:cs="Times New Roman"/>
      <w:bCs w:val="0"/>
      <w:color w:val="000000"/>
      <w:w w:val="98"/>
      <w:sz w:val="25"/>
      <w:szCs w:val="28"/>
    </w:rPr>
  </w:style>
  <w:style w:type="paragraph" w:customStyle="1" w:styleId="195">
    <w:name w:val="样式 标题 4标题 4 Char Char Char标题 41 + Times New Roman1"/>
    <w:basedOn w:val="2"/>
    <w:link w:val="196"/>
    <w:qFormat/>
    <w:uiPriority w:val="99"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="480" w:firstLineChars="200"/>
    </w:pPr>
    <w:rPr>
      <w:rFonts w:ascii="Times New Roman" w:hAnsi="Times New Roman" w:eastAsia="黑体" w:cs="Times New Roman"/>
      <w:bCs w:val="0"/>
      <w:color w:val="000000"/>
      <w:w w:val="98"/>
      <w:sz w:val="25"/>
    </w:rPr>
  </w:style>
  <w:style w:type="character" w:customStyle="1" w:styleId="196">
    <w:name w:val="样式 标题 4标题 4 Char Char Char标题 41 + Times New Roman1 Char"/>
    <w:basedOn w:val="89"/>
    <w:link w:val="195"/>
    <w:qFormat/>
    <w:uiPriority w:val="99"/>
    <w:rPr>
      <w:rFonts w:ascii="Times New Roman" w:hAnsi="Times New Roman" w:eastAsia="黑体" w:cs="Times New Roman"/>
      <w:bCs w:val="0"/>
      <w:color w:val="000000"/>
      <w:w w:val="98"/>
      <w:sz w:val="25"/>
      <w:szCs w:val="28"/>
    </w:rPr>
  </w:style>
  <w:style w:type="paragraph" w:customStyle="1" w:styleId="197">
    <w:name w:val="样式 标题 3 + (西文) Times New Roman (中文) 方正宋黑简体"/>
    <w:basedOn w:val="5"/>
    <w:qFormat/>
    <w:uiPriority w:val="99"/>
    <w:pPr>
      <w:snapToGrid w:val="0"/>
      <w:spacing w:before="240" w:after="120" w:line="540" w:lineRule="atLeast"/>
    </w:pPr>
    <w:rPr>
      <w:rFonts w:ascii="Times New Roman" w:hAnsi="Times New Roman" w:cs="Arial Unicode MS"/>
      <w:b w:val="0"/>
      <w:bCs w:val="0"/>
      <w:sz w:val="28"/>
      <w:szCs w:val="20"/>
    </w:rPr>
  </w:style>
  <w:style w:type="paragraph" w:customStyle="1" w:styleId="198">
    <w:name w:val="样式 样式 标题 1 + 首行缩进:  2 字符 + 首行缩进:  2 字符"/>
    <w:basedOn w:val="1"/>
    <w:qFormat/>
    <w:uiPriority w:val="99"/>
    <w:pPr>
      <w:keepNext/>
      <w:keepLines/>
      <w:adjustRightInd w:val="0"/>
      <w:snapToGrid w:val="0"/>
      <w:spacing w:before="240"/>
      <w:ind w:firstLine="200" w:firstLineChars="200"/>
      <w:outlineLvl w:val="0"/>
    </w:pPr>
    <w:rPr>
      <w:rFonts w:ascii="Arial Narrow" w:hAnsi="Arial Narrow" w:cs="Arial Narrow"/>
      <w:kern w:val="44"/>
      <w:sz w:val="30"/>
      <w:szCs w:val="30"/>
    </w:rPr>
  </w:style>
  <w:style w:type="paragraph" w:customStyle="1" w:styleId="199">
    <w:name w:val="char"/>
    <w:basedOn w:val="1"/>
    <w:qFormat/>
    <w:uiPriority w:val="99"/>
    <w:pPr>
      <w:widowControl/>
      <w:adjustRightInd w:val="0"/>
      <w:snapToGrid w:val="0"/>
      <w:spacing w:beforeLines="50" w:after="160" w:line="360" w:lineRule="exact"/>
      <w:ind w:firstLine="496" w:firstLineChars="200"/>
      <w:jc w:val="left"/>
    </w:pPr>
    <w:rPr>
      <w:rFonts w:ascii="宋体" w:hAnsi="宋体" w:eastAsia="宋体" w:cs="”“Times New Roman”“"/>
      <w:color w:val="000000"/>
      <w:spacing w:val="4"/>
      <w:kern w:val="0"/>
      <w:sz w:val="24"/>
      <w:szCs w:val="24"/>
      <w:lang w:eastAsia="en-US"/>
    </w:rPr>
  </w:style>
  <w:style w:type="paragraph" w:customStyle="1" w:styleId="200">
    <w:name w:val="zw1 Char Char Char Char"/>
    <w:basedOn w:val="1"/>
    <w:link w:val="201"/>
    <w:qFormat/>
    <w:uiPriority w:val="0"/>
    <w:pPr>
      <w:autoSpaceDE w:val="0"/>
      <w:autoSpaceDN w:val="0"/>
      <w:adjustRightInd w:val="0"/>
      <w:snapToGrid w:val="0"/>
      <w:spacing w:line="420" w:lineRule="atLeast"/>
      <w:ind w:firstLine="420"/>
    </w:pPr>
    <w:rPr>
      <w:rFonts w:ascii="Arial Narrow" w:hAnsi="Arial Narrow" w:eastAsia="楷体_GB2312"/>
      <w:spacing w:val="-4"/>
      <w:w w:val="95"/>
      <w:kern w:val="27"/>
      <w:sz w:val="24"/>
      <w:szCs w:val="20"/>
    </w:rPr>
  </w:style>
  <w:style w:type="character" w:customStyle="1" w:styleId="201">
    <w:name w:val="zw1 Char Char Char Char Char"/>
    <w:basedOn w:val="78"/>
    <w:link w:val="200"/>
    <w:qFormat/>
    <w:uiPriority w:val="0"/>
    <w:rPr>
      <w:rFonts w:ascii="Arial Narrow" w:hAnsi="Arial Narrow" w:eastAsia="楷体_GB2312" w:cs="Times New Roman"/>
      <w:spacing w:val="-4"/>
      <w:w w:val="95"/>
      <w:kern w:val="27"/>
      <w:sz w:val="24"/>
      <w:szCs w:val="20"/>
    </w:rPr>
  </w:style>
  <w:style w:type="character" w:customStyle="1" w:styleId="202">
    <w:name w:val="zw1 Char Char"/>
    <w:basedOn w:val="78"/>
    <w:qFormat/>
    <w:uiPriority w:val="99"/>
    <w:rPr>
      <w:rFonts w:ascii="Arial Narrow" w:hAnsi="Arial Narrow" w:eastAsia="楷体_GB2312"/>
      <w:spacing w:val="-4"/>
      <w:w w:val="95"/>
      <w:kern w:val="27"/>
      <w:sz w:val="24"/>
    </w:rPr>
  </w:style>
  <w:style w:type="paragraph" w:customStyle="1" w:styleId="203">
    <w:name w:val="bw2"/>
    <w:basedOn w:val="1"/>
    <w:qFormat/>
    <w:uiPriority w:val="99"/>
    <w:pPr>
      <w:autoSpaceDE w:val="0"/>
      <w:autoSpaceDN w:val="0"/>
      <w:adjustRightInd w:val="0"/>
      <w:jc w:val="center"/>
    </w:pPr>
    <w:rPr>
      <w:rFonts w:ascii="Arial Narrow" w:hAnsi="Arial Narrow" w:eastAsia="楷体_GB2312"/>
      <w:color w:val="000000"/>
      <w:sz w:val="18"/>
      <w:szCs w:val="20"/>
    </w:rPr>
  </w:style>
  <w:style w:type="character" w:customStyle="1" w:styleId="204">
    <w:name w:val="标题 41 Char Char"/>
    <w:basedOn w:val="78"/>
    <w:qFormat/>
    <w:uiPriority w:val="0"/>
    <w:rPr>
      <w:rFonts w:ascii="Arial Narrow" w:hAnsi="Arial Narrow" w:eastAsia="方正宋黑简体"/>
      <w:bCs/>
      <w:kern w:val="2"/>
      <w:sz w:val="28"/>
      <w:szCs w:val="28"/>
      <w:lang w:val="en-US" w:eastAsia="zh-CN" w:bidi="ar-SA"/>
    </w:rPr>
  </w:style>
  <w:style w:type="paragraph" w:customStyle="1" w:styleId="205">
    <w:name w:val="zww Char Char Char"/>
    <w:basedOn w:val="37"/>
    <w:link w:val="206"/>
    <w:qFormat/>
    <w:uiPriority w:val="99"/>
    <w:pPr>
      <w:adjustRightInd w:val="0"/>
      <w:snapToGrid w:val="0"/>
      <w:ind w:firstLine="397"/>
    </w:pPr>
    <w:rPr>
      <w:rFonts w:ascii="Arial Narrow" w:hAnsi="Arial Narrow" w:eastAsia="宋体" w:cs="Arial Narrow"/>
      <w:color w:val="auto"/>
      <w:kern w:val="32"/>
      <w:sz w:val="22"/>
      <w:szCs w:val="22"/>
    </w:rPr>
  </w:style>
  <w:style w:type="character" w:customStyle="1" w:styleId="206">
    <w:name w:val="zww Char Char Char Char"/>
    <w:basedOn w:val="78"/>
    <w:link w:val="205"/>
    <w:qFormat/>
    <w:uiPriority w:val="99"/>
    <w:rPr>
      <w:rFonts w:ascii="Arial Narrow" w:hAnsi="Arial Narrow" w:eastAsia="宋体" w:cs="Arial Narrow"/>
      <w:kern w:val="32"/>
      <w:sz w:val="22"/>
    </w:rPr>
  </w:style>
  <w:style w:type="paragraph" w:customStyle="1" w:styleId="207">
    <w:name w:val="样式 样式 标题 3 + 楷体_GB2312 (符号) 华文楷体 左侧:  0 厘米 + 首行缩进:  1.57 字符"/>
    <w:basedOn w:val="1"/>
    <w:qFormat/>
    <w:uiPriority w:val="99"/>
    <w:pPr>
      <w:keepNext/>
      <w:keepLines/>
      <w:spacing w:before="120"/>
      <w:ind w:firstLine="200" w:firstLineChars="200"/>
      <w:outlineLvl w:val="2"/>
    </w:pPr>
    <w:rPr>
      <w:rFonts w:ascii="楷体_GB2312" w:hAnsi="华文楷体" w:eastAsia="楷体_GB2312"/>
      <w:b/>
      <w:bCs/>
      <w:spacing w:val="-4"/>
      <w:w w:val="90"/>
      <w:sz w:val="26"/>
      <w:szCs w:val="20"/>
    </w:rPr>
  </w:style>
  <w:style w:type="paragraph" w:customStyle="1" w:styleId="208">
    <w:name w:val="Char Char Char Char Char Char"/>
    <w:basedOn w:val="1"/>
    <w:qFormat/>
    <w:uiPriority w:val="0"/>
    <w:rPr>
      <w:rFonts w:ascii="Tahoma" w:hAnsi="Tahoma" w:eastAsia="仿宋_GB2312"/>
      <w:sz w:val="24"/>
      <w:szCs w:val="20"/>
    </w:rPr>
  </w:style>
  <w:style w:type="character" w:customStyle="1" w:styleId="209">
    <w:name w:val="Char6"/>
    <w:basedOn w:val="78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customStyle="1" w:styleId="210">
    <w:name w:val="zw1 Char Char Char"/>
    <w:basedOn w:val="1"/>
    <w:qFormat/>
    <w:uiPriority w:val="0"/>
    <w:pPr>
      <w:tabs>
        <w:tab w:val="left" w:pos="7800"/>
      </w:tabs>
      <w:topLinePunct/>
      <w:adjustRightInd w:val="0"/>
      <w:snapToGrid w:val="0"/>
      <w:spacing w:line="420" w:lineRule="atLeast"/>
      <w:ind w:firstLine="480" w:firstLineChars="200"/>
    </w:pPr>
    <w:rPr>
      <w:rFonts w:ascii="Arial Narrow" w:hAnsi="Arial Narrow" w:eastAsia="仿宋_GB2312"/>
      <w:color w:val="000000"/>
      <w:spacing w:val="-2"/>
      <w:w w:val="98"/>
      <w:sz w:val="25"/>
    </w:rPr>
  </w:style>
  <w:style w:type="paragraph" w:customStyle="1" w:styleId="211">
    <w:name w:val="TOC 标题1"/>
    <w:basedOn w:val="3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2">
    <w:name w:val="样式 样式 zw1 + 首行缩进:  2 字符 + 首行缩进:  2 字符"/>
    <w:basedOn w:val="1"/>
    <w:qFormat/>
    <w:uiPriority w:val="0"/>
    <w:pPr>
      <w:snapToGrid w:val="0"/>
      <w:spacing w:line="500" w:lineRule="atLeast"/>
      <w:ind w:firstLine="200" w:firstLineChars="200"/>
    </w:pPr>
    <w:rPr>
      <w:rFonts w:ascii="Times New Roman" w:hAnsi="Times New Roman" w:eastAsia="仿宋_GB2312" w:cs="宋体"/>
      <w:szCs w:val="20"/>
    </w:rPr>
  </w:style>
  <w:style w:type="character" w:customStyle="1" w:styleId="213">
    <w:name w:val="Char Char26"/>
    <w:basedOn w:val="78"/>
    <w:qFormat/>
    <w:uiPriority w:val="99"/>
    <w:rPr>
      <w:rFonts w:ascii="Arial Narrow" w:hAnsi="Arial Narrow" w:eastAsia="宋体" w:cs="Arial Narrow"/>
      <w:b/>
      <w:bCs/>
      <w:kern w:val="2"/>
      <w:sz w:val="28"/>
      <w:szCs w:val="28"/>
      <w:lang w:val="en-US" w:eastAsia="zh-CN" w:bidi="ar-SA"/>
    </w:rPr>
  </w:style>
  <w:style w:type="character" w:customStyle="1" w:styleId="214">
    <w:name w:val="Char28"/>
    <w:basedOn w:val="78"/>
    <w:qFormat/>
    <w:uiPriority w:val="99"/>
    <w:rPr>
      <w:rFonts w:ascii="Arial" w:hAnsi="Arial" w:eastAsia="黑体" w:cs="Arial"/>
      <w:sz w:val="28"/>
      <w:szCs w:val="28"/>
    </w:rPr>
  </w:style>
  <w:style w:type="character" w:customStyle="1" w:styleId="215">
    <w:name w:val="Char29"/>
    <w:basedOn w:val="78"/>
    <w:qFormat/>
    <w:uiPriority w:val="99"/>
    <w:rPr>
      <w:rFonts w:ascii="Arial" w:hAnsi="Arial" w:eastAsia="黑体" w:cs="Arial"/>
      <w:sz w:val="30"/>
      <w:szCs w:val="30"/>
    </w:rPr>
  </w:style>
  <w:style w:type="character" w:customStyle="1" w:styleId="216">
    <w:name w:val="Char27"/>
    <w:basedOn w:val="78"/>
    <w:qFormat/>
    <w:uiPriority w:val="99"/>
    <w:rPr>
      <w:rFonts w:ascii="Arial Narrow" w:hAnsi="Arial Narrow" w:eastAsia="宋体" w:cs="Arial Narrow"/>
      <w:b/>
      <w:bCs/>
      <w:sz w:val="28"/>
      <w:szCs w:val="28"/>
    </w:rPr>
  </w:style>
  <w:style w:type="character" w:customStyle="1" w:styleId="217">
    <w:name w:val="Char Char29"/>
    <w:basedOn w:val="78"/>
    <w:qFormat/>
    <w:uiPriority w:val="99"/>
    <w:rPr>
      <w:rFonts w:eastAsia="黑体"/>
      <w:kern w:val="44"/>
      <w:sz w:val="44"/>
      <w:szCs w:val="44"/>
      <w:lang w:val="en-US" w:eastAsia="zh-CN" w:bidi="ar-SA"/>
    </w:rPr>
  </w:style>
  <w:style w:type="character" w:customStyle="1" w:styleId="218">
    <w:name w:val="Char20"/>
    <w:basedOn w:val="7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19">
    <w:name w:val="zw1 Char1"/>
    <w:basedOn w:val="1"/>
    <w:qFormat/>
    <w:uiPriority w:val="99"/>
    <w:pPr>
      <w:snapToGrid w:val="0"/>
      <w:spacing w:line="600" w:lineRule="exact"/>
      <w:ind w:firstLine="200" w:firstLineChars="200"/>
    </w:pPr>
    <w:rPr>
      <w:rFonts w:ascii="Arial Narrow" w:hAnsi="Arial Narrow" w:eastAsia="仿宋_GB2312" w:cs="Arial Narrow"/>
      <w:spacing w:val="4"/>
      <w:sz w:val="27"/>
      <w:szCs w:val="27"/>
    </w:rPr>
  </w:style>
  <w:style w:type="character" w:customStyle="1" w:styleId="220">
    <w:name w:val="Char Char1"/>
    <w:basedOn w:val="78"/>
    <w:qFormat/>
    <w:uiPriority w:val="0"/>
    <w:rPr>
      <w:rFonts w:ascii="Arial Narrow" w:hAnsi="Arial Narrow" w:eastAsia="方正宋黑简体"/>
      <w:bCs/>
      <w:kern w:val="2"/>
      <w:sz w:val="28"/>
      <w:szCs w:val="28"/>
      <w:lang w:val="en-US" w:eastAsia="zh-CN" w:bidi="ar-SA"/>
    </w:rPr>
  </w:style>
  <w:style w:type="character" w:customStyle="1" w:styleId="221">
    <w:name w:val="bt1 Char Char"/>
    <w:basedOn w:val="78"/>
    <w:qFormat/>
    <w:uiPriority w:val="99"/>
    <w:rPr>
      <w:rFonts w:ascii="Arial Narrow" w:hAnsi="Arial Narrow" w:eastAsia="黑体"/>
      <w:color w:val="000000"/>
      <w:kern w:val="27"/>
      <w:sz w:val="28"/>
      <w:szCs w:val="24"/>
      <w:lang w:val="en-US" w:eastAsia="zh-CN" w:bidi="ar-SA"/>
    </w:rPr>
  </w:style>
  <w:style w:type="paragraph" w:customStyle="1" w:styleId="222">
    <w:name w:val="1 Char Char Char Char"/>
    <w:basedOn w:val="1"/>
    <w:qFormat/>
    <w:uiPriority w:val="99"/>
    <w:pPr>
      <w:spacing w:line="360" w:lineRule="auto"/>
    </w:pPr>
    <w:rPr>
      <w:rFonts w:ascii="仿宋_GB2312" w:hAnsi="Tahoma" w:eastAsia="仿宋_GB2312"/>
      <w:sz w:val="32"/>
      <w:szCs w:val="21"/>
    </w:rPr>
  </w:style>
  <w:style w:type="table" w:customStyle="1" w:styleId="223">
    <w:name w:val="网格型11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4">
    <w:name w:val="简明型 11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cPr>
        <w:tcBorders>
          <w:top w:val="single" w:color="008000" w:sz="6" w:space="0"/>
          <w:tl2br w:val="nil"/>
          <w:tr2bl w:val="nil"/>
        </w:tcBorders>
      </w:tcPr>
    </w:tblStylePr>
  </w:style>
  <w:style w:type="table" w:customStyle="1" w:styleId="225">
    <w:name w:val="表格样式11"/>
    <w:basedOn w:val="76"/>
    <w:qFormat/>
    <w:uiPriority w:val="99"/>
    <w:tblPr>
      <w:tblBorders>
        <w:top w:val="single" w:color="auto" w:sz="12" w:space="0"/>
        <w:bottom w:val="single" w:color="auto" w:sz="12" w:space="0"/>
        <w:insideV w:val="single" w:color="auto" w:sz="12" w:space="0"/>
      </w:tblBorders>
    </w:tblPr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26">
    <w:name w:val="简明型 21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StylePr w:type="firstRow">
      <w:rPr>
        <w:b/>
        <w:b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27">
    <w:name w:val="表格样式21"/>
    <w:basedOn w:val="127"/>
    <w:qFormat/>
    <w:uiPriority w:val="99"/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28">
    <w:name w:val="表格主题1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9">
    <w:name w:val="网格型 51"/>
    <w:basedOn w:val="72"/>
    <w:qFormat/>
    <w:uiPriority w:val="99"/>
    <w:pPr>
      <w:spacing w:after="200" w:line="252" w:lineRule="auto"/>
    </w:pPr>
    <w:rPr>
      <w:rFonts w:ascii="Times New Roman" w:hAnsi="Times New Roman" w:eastAsia="宋体" w:cs="Times New Roman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cPr>
        <w:tcBorders>
          <w:tl2br w:val="nil"/>
          <w:tr2bl w:val="nil"/>
        </w:tcBorders>
      </w:tcPr>
    </w:tblStylePr>
    <w:tblStylePr w:type="lastCol">
      <w:rPr>
        <w:b/>
        <w:bCs/>
      </w:rPr>
      <w:tcPr>
        <w:tcBorders>
          <w:tl2br w:val="nil"/>
          <w:tr2bl w:val="nil"/>
        </w:tcBorders>
      </w:tcPr>
    </w:tblStylePr>
    <w:tblStylePr w:type="nwCell">
      <w:tcPr>
        <w:tcBorders>
          <w:tl2br w:val="single" w:color="000000" w:sz="6" w:space="0"/>
          <w:tr2bl w:val="nil"/>
        </w:tcBorders>
      </w:tcPr>
    </w:tblStylePr>
  </w:style>
  <w:style w:type="table" w:customStyle="1" w:styleId="230">
    <w:name w:val="浅色底纹12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1">
    <w:name w:val="浅色底纹111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232">
    <w:name w:val="Char4 Char Char Char"/>
    <w:basedOn w:val="1"/>
    <w:semiHidden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="宋体" w:hAnsi="宋体" w:eastAsia="宋体" w:cs="宋体"/>
      <w:sz w:val="24"/>
      <w:szCs w:val="26"/>
    </w:rPr>
  </w:style>
  <w:style w:type="table" w:customStyle="1" w:styleId="233">
    <w:name w:val="网格型2"/>
    <w:basedOn w:val="72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34">
    <w:name w:val="7级标题用"/>
    <w:basedOn w:val="1"/>
    <w:qFormat/>
    <w:uiPriority w:val="99"/>
    <w:pPr>
      <w:adjustRightInd w:val="0"/>
      <w:snapToGrid w:val="0"/>
      <w:spacing w:beforeLines="50" w:line="440" w:lineRule="exact"/>
      <w:jc w:val="center"/>
    </w:pPr>
    <w:rPr>
      <w:rFonts w:ascii="Times New Roman" w:hAnsi="Times New Roman"/>
      <w:color w:val="000000"/>
      <w:kern w:val="27"/>
      <w:sz w:val="24"/>
    </w:rPr>
  </w:style>
  <w:style w:type="table" w:customStyle="1" w:styleId="235">
    <w:name w:val="简明型 12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cPr>
        <w:tcBorders>
          <w:top w:val="single" w:color="008000" w:sz="6" w:space="0"/>
          <w:tl2br w:val="nil"/>
          <w:tr2bl w:val="nil"/>
        </w:tcBorders>
      </w:tcPr>
    </w:tblStylePr>
  </w:style>
  <w:style w:type="table" w:customStyle="1" w:styleId="236">
    <w:name w:val="表格样式12"/>
    <w:basedOn w:val="76"/>
    <w:qFormat/>
    <w:uiPriority w:val="99"/>
    <w:tblPr>
      <w:tblBorders>
        <w:top w:val="single" w:color="auto" w:sz="12" w:space="0"/>
        <w:bottom w:val="single" w:color="auto" w:sz="12" w:space="0"/>
        <w:insideV w:val="single" w:color="auto" w:sz="12" w:space="0"/>
      </w:tblBorders>
    </w:tblPr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37">
    <w:name w:val="简明型 22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StylePr w:type="firstRow">
      <w:rPr>
        <w:b/>
        <w:b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38">
    <w:name w:val="表格样式22"/>
    <w:basedOn w:val="127"/>
    <w:qFormat/>
    <w:uiPriority w:val="99"/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table" w:customStyle="1" w:styleId="239">
    <w:name w:val="表格主题2"/>
    <w:basedOn w:val="72"/>
    <w:qFormat/>
    <w:uiPriority w:val="99"/>
    <w:pPr>
      <w:widowControl w:val="0"/>
      <w:snapToGrid w:val="0"/>
      <w:spacing w:line="240" w:lineRule="atLeast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0">
    <w:name w:val="浅色底纹13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浅色底纹112"/>
    <w:basedOn w:val="72"/>
    <w:qFormat/>
    <w:uiPriority w:val="99"/>
    <w:rPr>
      <w:rFonts w:ascii="Times New Roman" w:hAnsi="Times New Roman" w:eastAsia="宋体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242">
    <w:name w:val="Char Char Char Char Char Char Char Char Char"/>
    <w:basedOn w:val="1"/>
    <w:qFormat/>
    <w:uiPriority w:val="99"/>
    <w:rPr>
      <w:rFonts w:ascii="Times New Roman" w:hAnsi="Times New Roman" w:eastAsia="仿宋_GB2312"/>
      <w:sz w:val="32"/>
      <w:szCs w:val="24"/>
    </w:rPr>
  </w:style>
  <w:style w:type="paragraph" w:customStyle="1" w:styleId="243">
    <w:name w:val="默认段落字体 Para Char Char Char Char Char Char Char Char Char Char Char Char Char1 Char"/>
    <w:basedOn w:val="22"/>
    <w:qFormat/>
    <w:uiPriority w:val="99"/>
    <w:rPr>
      <w:rFonts w:ascii="Tahoma" w:hAnsi="Tahoma"/>
      <w:sz w:val="24"/>
    </w:rPr>
  </w:style>
  <w:style w:type="paragraph" w:customStyle="1" w:styleId="244">
    <w:name w:val="xl39"/>
    <w:basedOn w:val="1"/>
    <w:qFormat/>
    <w:uiPriority w:val="99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 w:line="252" w:lineRule="auto"/>
      <w:jc w:val="center"/>
    </w:pPr>
    <w:rPr>
      <w:rFonts w:ascii="宋体" w:hAnsi="宋体" w:eastAsia="宋体"/>
      <w:kern w:val="0"/>
      <w:sz w:val="20"/>
      <w:szCs w:val="20"/>
      <w:lang w:eastAsia="en-US" w:bidi="en-US"/>
    </w:rPr>
  </w:style>
  <w:style w:type="paragraph" w:customStyle="1" w:styleId="245">
    <w:name w:val="样式4"/>
    <w:basedOn w:val="1"/>
    <w:qFormat/>
    <w:uiPriority w:val="99"/>
    <w:pPr>
      <w:widowControl/>
      <w:spacing w:line="360" w:lineRule="auto"/>
      <w:jc w:val="left"/>
    </w:pPr>
    <w:rPr>
      <w:rFonts w:ascii="Cambria" w:hAnsi="Cambria"/>
      <w:b/>
      <w:kern w:val="0"/>
      <w:sz w:val="24"/>
      <w:szCs w:val="24"/>
      <w:lang w:eastAsia="en-US" w:bidi="en-US"/>
    </w:rPr>
  </w:style>
  <w:style w:type="paragraph" w:customStyle="1" w:styleId="246">
    <w:name w:val="1级表格"/>
    <w:basedOn w:val="1"/>
    <w:qFormat/>
    <w:uiPriority w:val="99"/>
    <w:pPr>
      <w:snapToGrid w:val="0"/>
      <w:spacing w:line="312" w:lineRule="exact"/>
      <w:jc w:val="center"/>
    </w:pPr>
    <w:rPr>
      <w:rFonts w:ascii="Times New Roman" w:hAnsi="Times New Roman" w:eastAsia="仿宋_GB2312"/>
      <w:spacing w:val="4"/>
      <w:sz w:val="21"/>
      <w:szCs w:val="21"/>
    </w:rPr>
  </w:style>
  <w:style w:type="table" w:customStyle="1" w:styleId="247">
    <w:name w:val="表格样式13"/>
    <w:basedOn w:val="76"/>
    <w:qFormat/>
    <w:uiPriority w:val="99"/>
    <w:tblPr>
      <w:tblBorders>
        <w:top w:val="single" w:color="auto" w:sz="12" w:space="0"/>
        <w:bottom w:val="single" w:color="auto" w:sz="12" w:space="0"/>
        <w:insideV w:val="single" w:color="auto" w:sz="12" w:space="0"/>
      </w:tblBorders>
    </w:tblPr>
    <w:tblStylePr w:type="firstRow">
      <w:rPr>
        <w:b/>
        <w:bCs/>
        <w:i/>
        <w:iCs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cPr>
        <w:tcBorders>
          <w:top w:val="nil"/>
          <w:tl2br w:val="nil"/>
          <w:tr2bl w:val="nil"/>
        </w:tcBorders>
      </w:tcPr>
    </w:tblStylePr>
  </w:style>
  <w:style w:type="paragraph" w:customStyle="1" w:styleId="248">
    <w:name w:val="小标题"/>
    <w:basedOn w:val="3"/>
    <w:qFormat/>
    <w:uiPriority w:val="99"/>
    <w:pPr>
      <w:spacing w:before="0" w:after="0" w:line="500" w:lineRule="exact"/>
      <w:ind w:firstLine="540" w:firstLineChars="192"/>
    </w:pPr>
    <w:rPr>
      <w:rFonts w:ascii="Times New Roman" w:hAnsi="Times New Roman" w:cs="宋体"/>
      <w:sz w:val="28"/>
      <w:szCs w:val="20"/>
    </w:rPr>
  </w:style>
  <w:style w:type="paragraph" w:customStyle="1" w:styleId="249">
    <w:name w:val="p0"/>
    <w:basedOn w:val="1"/>
    <w:qFormat/>
    <w:uiPriority w:val="0"/>
    <w:pPr>
      <w:widowControl/>
    </w:pPr>
    <w:rPr>
      <w:rFonts w:ascii="Times New Roman" w:hAnsi="Times New Roman" w:eastAsia="宋体"/>
      <w:kern w:val="0"/>
      <w:sz w:val="21"/>
      <w:szCs w:val="21"/>
    </w:rPr>
  </w:style>
  <w:style w:type="paragraph" w:customStyle="1" w:styleId="250">
    <w:name w:val="报告书2"/>
    <w:basedOn w:val="1"/>
    <w:qFormat/>
    <w:uiPriority w:val="99"/>
    <w:pPr>
      <w:widowControl/>
      <w:jc w:val="left"/>
      <w:outlineLvl w:val="0"/>
    </w:pPr>
    <w:rPr>
      <w:rFonts w:ascii="黑体" w:hAnsi="黑体"/>
      <w:spacing w:val="20"/>
      <w:kern w:val="0"/>
      <w:sz w:val="30"/>
      <w:szCs w:val="28"/>
      <w:lang w:bidi="en-US"/>
    </w:rPr>
  </w:style>
  <w:style w:type="paragraph" w:customStyle="1" w:styleId="251">
    <w:name w:val="样式 列出段落 + Times New Roman"/>
    <w:basedOn w:val="1"/>
    <w:link w:val="252"/>
    <w:qFormat/>
    <w:uiPriority w:val="99"/>
    <w:pPr>
      <w:adjustRightInd w:val="0"/>
      <w:snapToGrid w:val="0"/>
      <w:ind w:firstLine="200" w:firstLineChars="200"/>
    </w:pPr>
    <w:rPr>
      <w:rFonts w:ascii="Times New Roman" w:hAnsi="Times New Roman" w:eastAsia="宋体"/>
      <w:kern w:val="0"/>
      <w:sz w:val="20"/>
      <w:szCs w:val="20"/>
    </w:rPr>
  </w:style>
  <w:style w:type="character" w:customStyle="1" w:styleId="252">
    <w:name w:val="样式 列出段落 + Times New Roman Char"/>
    <w:link w:val="251"/>
    <w:qFormat/>
    <w:uiPriority w:val="99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253">
    <w:name w:val="访问过的超链接1"/>
    <w:qFormat/>
    <w:uiPriority w:val="99"/>
    <w:rPr>
      <w:color w:val="800080"/>
      <w:u w:val="single"/>
    </w:rPr>
  </w:style>
  <w:style w:type="character" w:customStyle="1" w:styleId="254">
    <w:name w:val="Body Text Char"/>
    <w:qFormat/>
    <w:locked/>
    <w:uiPriority w:val="99"/>
    <w:rPr>
      <w:rFonts w:ascii="Arial Narrow" w:hAnsi="Arial Narrow" w:eastAsia="方正楷体简体" w:cs="Arial Narrow"/>
      <w:color w:val="000000"/>
      <w:sz w:val="24"/>
      <w:szCs w:val="24"/>
    </w:rPr>
  </w:style>
  <w:style w:type="character" w:customStyle="1" w:styleId="255">
    <w:name w:val="Title Char"/>
    <w:qFormat/>
    <w:locked/>
    <w:uiPriority w:val="99"/>
    <w:rPr>
      <w:rFonts w:ascii="Cambria" w:hAnsi="Cambria" w:cs="Cambria"/>
      <w:b/>
      <w:bCs/>
      <w:sz w:val="32"/>
      <w:szCs w:val="32"/>
    </w:rPr>
  </w:style>
  <w:style w:type="character" w:customStyle="1" w:styleId="256">
    <w:name w:val="Subtitle Char"/>
    <w:qFormat/>
    <w:locked/>
    <w:uiPriority w:val="99"/>
    <w:rPr>
      <w:rFonts w:ascii="Cambria" w:hAnsi="Cambria" w:cs="Cambria"/>
      <w:b/>
      <w:bCs/>
      <w:kern w:val="28"/>
      <w:sz w:val="32"/>
      <w:szCs w:val="32"/>
    </w:rPr>
  </w:style>
  <w:style w:type="table" w:customStyle="1" w:styleId="257">
    <w:name w:val="网格型3"/>
    <w:basedOn w:val="7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8">
    <w:name w:val="脚注文本 Char"/>
    <w:basedOn w:val="78"/>
    <w:link w:val="5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59">
    <w:name w:val="批注主题 Char"/>
    <w:basedOn w:val="172"/>
    <w:link w:val="69"/>
    <w:qFormat/>
    <w:uiPriority w:val="0"/>
    <w:rPr>
      <w:rFonts w:ascii="Times New Roman" w:hAnsi="Times New Roman" w:eastAsia="宋体" w:cs="Times New Roman"/>
      <w:b/>
      <w:bCs/>
      <w:szCs w:val="24"/>
    </w:rPr>
  </w:style>
  <w:style w:type="paragraph" w:customStyle="1" w:styleId="260">
    <w:name w:val="reporttit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Cs w:val="28"/>
    </w:rPr>
  </w:style>
  <w:style w:type="paragraph" w:customStyle="1" w:styleId="261">
    <w:name w:val="无间隔2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262">
    <w:name w:val="TOC 标题2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63">
    <w:name w:val="纯文本 Char2"/>
    <w:qFormat/>
    <w:uiPriority w:val="0"/>
    <w:rPr>
      <w:rFonts w:ascii="宋体" w:hAnsi="宋体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8" Type="http://schemas.openxmlformats.org/officeDocument/2006/relationships/chart" Target="charts/chart3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chart" Target="charts/chart13.xml"/><Relationship Id="rId17" Type="http://schemas.openxmlformats.org/officeDocument/2006/relationships/chart" Target="charts/chart12.xml"/><Relationship Id="rId16" Type="http://schemas.openxmlformats.org/officeDocument/2006/relationships/chart" Target="charts/chart11.xml"/><Relationship Id="rId15" Type="http://schemas.openxmlformats.org/officeDocument/2006/relationships/chart" Target="charts/chart10.xml"/><Relationship Id="rId14" Type="http://schemas.openxmlformats.org/officeDocument/2006/relationships/chart" Target="charts/chart9.xml"/><Relationship Id="rId13" Type="http://schemas.openxmlformats.org/officeDocument/2006/relationships/chart" Target="charts/chart8.xml"/><Relationship Id="rId12" Type="http://schemas.openxmlformats.org/officeDocument/2006/relationships/chart" Target="charts/chart7.xml"/><Relationship Id="rId11" Type="http://schemas.openxmlformats.org/officeDocument/2006/relationships/chart" Target="charts/chart6.xml"/><Relationship Id="rId10" Type="http://schemas.openxmlformats.org/officeDocument/2006/relationships/chart" Target="charts/chart5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2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5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4.xlsx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3.xlsx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Workbook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/>
      <c:pieChart>
        <c:varyColors val="true"/>
        <c:ser>
          <c:idx val="0"/>
          <c:order val="0"/>
          <c:explosion val="0"/>
          <c:dPt>
            <c:idx val="0"/>
            <c:bubble3D val="false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false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false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0911865704286964"/>
                  <c:y val="0.122615558471858"/>
                </c:manualLayout>
              </c:layout>
              <c:dLblPos val="bestFit"/>
              <c:showLegendKey val="false"/>
              <c:showVal val="false"/>
              <c:showCatName val="true"/>
              <c:showSerName val="false"/>
              <c:showPercent val="true"/>
              <c:showBubbleSize val="false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809280402449694"/>
                  <c:y val="-0.0237160979877515"/>
                </c:manualLayout>
              </c:layout>
              <c:dLblPos val="bestFit"/>
              <c:showLegendKey val="false"/>
              <c:showVal val="false"/>
              <c:showCatName val="true"/>
              <c:showSerName val="false"/>
              <c:showPercent val="true"/>
              <c:showBubbleSize val="false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false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bestFit"/>
            <c:showLegendKey val="false"/>
            <c:showVal val="false"/>
            <c:showCatName val="true"/>
            <c:showSerName val="false"/>
            <c:showPercent val="true"/>
            <c:showBubbleSize val="false"/>
            <c:showLeaderLines val="true"/>
            <c:extLst>
              <c:ext xmlns:c15="http://schemas.microsoft.com/office/drawing/2012/chart" uri="{CE6537A1-D6FC-4f65-9D91-7224C49458BB}">
                <c15:layout/>
                <c15:showLeaderLines val="true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Sheet5!$F$5:$F$7</c:f>
              <c:strCache>
                <c:ptCount val="3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</c:strCache>
            </c:strRef>
          </c:cat>
          <c:val>
            <c:numRef>
              <c:f>Sheet5!$G$5:$G$7</c:f>
              <c:numCache>
                <c:formatCode>General</c:formatCode>
                <c:ptCount val="3"/>
                <c:pt idx="0">
                  <c:v>15719.71</c:v>
                </c:pt>
                <c:pt idx="1" c:formatCode="0.00">
                  <c:v>133853.62</c:v>
                </c:pt>
                <c:pt idx="2">
                  <c:v>256.11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  <c:showLeaderLines val="true"/>
        </c:dLbls>
        <c:firstSliceAng val="0"/>
      </c:pieChart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true"/>
    <c:plotArea>
      <c:layout>
        <c:manualLayout>
          <c:layoutTarget val="inner"/>
          <c:xMode val="edge"/>
          <c:yMode val="edge"/>
          <c:x val="0.0831061730521903"/>
          <c:y val="0.0784376198914811"/>
          <c:w val="0.879625731737345"/>
          <c:h val="0.700149791135263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各区县固废产生量!$B$1</c:f>
              <c:strCache>
                <c:ptCount val="1"/>
                <c:pt idx="0">
                  <c:v>一般工业固体废物产生量（万吨）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各区县固废产生量!$A$2:$A$41</c:f>
              <c:strCache>
                <c:ptCount val="40"/>
                <c:pt idx="0">
                  <c:v>万州区</c:v>
                </c:pt>
                <c:pt idx="1">
                  <c:v>涪陵区</c:v>
                </c:pt>
                <c:pt idx="2">
                  <c:v>渝中区</c:v>
                </c:pt>
                <c:pt idx="3">
                  <c:v>大渡口区</c:v>
                </c:pt>
                <c:pt idx="4">
                  <c:v>江北区</c:v>
                </c:pt>
                <c:pt idx="5">
                  <c:v>沙坪坝区</c:v>
                </c:pt>
                <c:pt idx="6">
                  <c:v>九龙坡区</c:v>
                </c:pt>
                <c:pt idx="7">
                  <c:v>南岸区</c:v>
                </c:pt>
                <c:pt idx="8">
                  <c:v>北碚区</c:v>
                </c:pt>
                <c:pt idx="9">
                  <c:v>綦江区</c:v>
                </c:pt>
                <c:pt idx="10">
                  <c:v>大足区</c:v>
                </c:pt>
                <c:pt idx="11">
                  <c:v>渝北区</c:v>
                </c:pt>
                <c:pt idx="12">
                  <c:v>巴南区</c:v>
                </c:pt>
                <c:pt idx="13">
                  <c:v>黔江区</c:v>
                </c:pt>
                <c:pt idx="14">
                  <c:v>长寿区</c:v>
                </c:pt>
                <c:pt idx="15">
                  <c:v>江津区</c:v>
                </c:pt>
                <c:pt idx="16">
                  <c:v>合川区</c:v>
                </c:pt>
                <c:pt idx="17">
                  <c:v>永川区</c:v>
                </c:pt>
                <c:pt idx="18">
                  <c:v>南川区</c:v>
                </c:pt>
                <c:pt idx="19">
                  <c:v>璧山区</c:v>
                </c:pt>
                <c:pt idx="20">
                  <c:v>铜梁区</c:v>
                </c:pt>
                <c:pt idx="21">
                  <c:v>潼南区</c:v>
                </c:pt>
                <c:pt idx="22">
                  <c:v>荣昌区</c:v>
                </c:pt>
                <c:pt idx="23">
                  <c:v>开州区</c:v>
                </c:pt>
                <c:pt idx="24">
                  <c:v>梁平区</c:v>
                </c:pt>
                <c:pt idx="25">
                  <c:v>武隆区</c:v>
                </c:pt>
                <c:pt idx="26">
                  <c:v>两江新区</c:v>
                </c:pt>
                <c:pt idx="27">
                  <c:v>高新区</c:v>
                </c:pt>
                <c:pt idx="28">
                  <c:v>城口县</c:v>
                </c:pt>
                <c:pt idx="29">
                  <c:v>丰都县</c:v>
                </c:pt>
                <c:pt idx="30">
                  <c:v>垫江县</c:v>
                </c:pt>
                <c:pt idx="31">
                  <c:v>忠县</c:v>
                </c:pt>
                <c:pt idx="32">
                  <c:v>云阳县</c:v>
                </c:pt>
                <c:pt idx="33">
                  <c:v>奉节县</c:v>
                </c:pt>
                <c:pt idx="34">
                  <c:v>巫山县</c:v>
                </c:pt>
                <c:pt idx="35">
                  <c:v>巫溪县</c:v>
                </c:pt>
                <c:pt idx="36">
                  <c:v>石柱县</c:v>
                </c:pt>
                <c:pt idx="37">
                  <c:v>秀山县</c:v>
                </c:pt>
                <c:pt idx="38">
                  <c:v>酉阳县</c:v>
                </c:pt>
                <c:pt idx="39">
                  <c:v>彭水县</c:v>
                </c:pt>
              </c:strCache>
            </c:strRef>
          </c:cat>
          <c:val>
            <c:numRef>
              <c:f>各区县固废产生量!$B$2:$B$41</c:f>
              <c:numCache>
                <c:formatCode>General</c:formatCode>
                <c:ptCount val="40"/>
                <c:pt idx="0">
                  <c:v>339.684588</c:v>
                </c:pt>
                <c:pt idx="1">
                  <c:v>210.138635</c:v>
                </c:pt>
                <c:pt idx="2">
                  <c:v>0</c:v>
                </c:pt>
                <c:pt idx="3">
                  <c:v>2.897406</c:v>
                </c:pt>
                <c:pt idx="4">
                  <c:v>3.479939</c:v>
                </c:pt>
                <c:pt idx="5">
                  <c:v>1.269126</c:v>
                </c:pt>
                <c:pt idx="6">
                  <c:v>48.730106</c:v>
                </c:pt>
                <c:pt idx="7">
                  <c:v>2.651411</c:v>
                </c:pt>
                <c:pt idx="8">
                  <c:v>9.226492</c:v>
                </c:pt>
                <c:pt idx="9">
                  <c:v>262.876068</c:v>
                </c:pt>
                <c:pt idx="10">
                  <c:v>26.48206</c:v>
                </c:pt>
                <c:pt idx="11">
                  <c:v>19.819082</c:v>
                </c:pt>
                <c:pt idx="12">
                  <c:v>93.516189</c:v>
                </c:pt>
                <c:pt idx="13">
                  <c:v>5.38033</c:v>
                </c:pt>
                <c:pt idx="14">
                  <c:v>587.492912</c:v>
                </c:pt>
                <c:pt idx="15">
                  <c:v>259.655293</c:v>
                </c:pt>
                <c:pt idx="16">
                  <c:v>130.652585</c:v>
                </c:pt>
                <c:pt idx="17">
                  <c:v>104.5816</c:v>
                </c:pt>
                <c:pt idx="18">
                  <c:v>119.752284</c:v>
                </c:pt>
                <c:pt idx="19">
                  <c:v>5.412925</c:v>
                </c:pt>
                <c:pt idx="20">
                  <c:v>17.174921</c:v>
                </c:pt>
                <c:pt idx="21">
                  <c:v>2.311124</c:v>
                </c:pt>
                <c:pt idx="22">
                  <c:v>4.762124</c:v>
                </c:pt>
                <c:pt idx="23">
                  <c:v>25.875187</c:v>
                </c:pt>
                <c:pt idx="24">
                  <c:v>3.489762</c:v>
                </c:pt>
                <c:pt idx="25">
                  <c:v>4.742101</c:v>
                </c:pt>
                <c:pt idx="26">
                  <c:v>28.87705</c:v>
                </c:pt>
                <c:pt idx="27">
                  <c:v>8.63387</c:v>
                </c:pt>
                <c:pt idx="28">
                  <c:v>0.0001</c:v>
                </c:pt>
                <c:pt idx="29">
                  <c:v>0.88454</c:v>
                </c:pt>
                <c:pt idx="30">
                  <c:v>0.92445</c:v>
                </c:pt>
                <c:pt idx="31">
                  <c:v>1.559933</c:v>
                </c:pt>
                <c:pt idx="32">
                  <c:v>3.142659</c:v>
                </c:pt>
                <c:pt idx="33">
                  <c:v>68.135577</c:v>
                </c:pt>
                <c:pt idx="34">
                  <c:v>0.00662</c:v>
                </c:pt>
                <c:pt idx="35">
                  <c:v>0.59635</c:v>
                </c:pt>
                <c:pt idx="36">
                  <c:v>54.08383</c:v>
                </c:pt>
                <c:pt idx="37">
                  <c:v>7.71337</c:v>
                </c:pt>
                <c:pt idx="38">
                  <c:v>5.174174</c:v>
                </c:pt>
                <c:pt idx="39">
                  <c:v>0.45075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11842720"/>
        <c:axId val="811843112"/>
      </c:barChart>
      <c:catAx>
        <c:axId val="81184272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eaVert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3112"/>
        <c:crosses val="autoZero"/>
        <c:auto val="true"/>
        <c:lblAlgn val="ctr"/>
        <c:lblOffset val="100"/>
        <c:noMultiLvlLbl val="false"/>
      </c:catAx>
      <c:valAx>
        <c:axId val="811843112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一般工业固体废物产生量（万吨）</a:t>
                </a:r>
                <a:endParaRPr lang="zh-CN" altLang="en-US"/>
              </a:p>
            </c:rich>
          </c:tx>
          <c:layout/>
          <c:overlay val="false"/>
          <c:spPr>
            <a:noFill/>
            <a:ln>
              <a:noFill/>
            </a:ln>
            <a:effectLst/>
          </c:spPr>
        </c:title>
        <c:numFmt formatCode="General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272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7876781039386"/>
          <c:y val="0.077203344691938"/>
          <c:w val="0.254421202989206"/>
          <c:h val="0.0522045417176681"/>
        </c:manualLayout>
      </c:layout>
      <c:overlay val="false"/>
      <c:spPr>
        <a:noFill/>
        <a:ln>
          <a:noFill/>
        </a:ln>
        <a:effectLst/>
      </c:spPr>
      <c:txPr>
        <a:bodyPr rot="0" spcFirstLastPara="1" vertOverflow="ellipsis" vert="horz" wrap="square" anchor="ctr" anchorCtr="true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>
        <c:manualLayout>
          <c:layoutTarget val="inner"/>
          <c:xMode val="edge"/>
          <c:yMode val="edge"/>
          <c:x val="0.0861747078731915"/>
          <c:y val="0.0411985018726592"/>
          <c:w val="0.878940349633957"/>
          <c:h val="0.774686740546321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各区县危废产生量!$B$1</c:f>
              <c:strCache>
                <c:ptCount val="1"/>
                <c:pt idx="0">
                  <c:v>危险废物产生量（万吨）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各区县危废产生量!$A$2:$A$41</c:f>
              <c:strCache>
                <c:ptCount val="40"/>
                <c:pt idx="0">
                  <c:v>万州区</c:v>
                </c:pt>
                <c:pt idx="1">
                  <c:v>涪陵区</c:v>
                </c:pt>
                <c:pt idx="2">
                  <c:v>渝中区</c:v>
                </c:pt>
                <c:pt idx="3">
                  <c:v>大渡口区</c:v>
                </c:pt>
                <c:pt idx="4">
                  <c:v>江北区</c:v>
                </c:pt>
                <c:pt idx="5">
                  <c:v>沙坪坝区</c:v>
                </c:pt>
                <c:pt idx="6">
                  <c:v>九龙坡区</c:v>
                </c:pt>
                <c:pt idx="7">
                  <c:v>南岸区</c:v>
                </c:pt>
                <c:pt idx="8">
                  <c:v>北碚区</c:v>
                </c:pt>
                <c:pt idx="9">
                  <c:v>綦江区</c:v>
                </c:pt>
                <c:pt idx="10">
                  <c:v>大足区</c:v>
                </c:pt>
                <c:pt idx="11">
                  <c:v>渝北区</c:v>
                </c:pt>
                <c:pt idx="12">
                  <c:v>巴南区</c:v>
                </c:pt>
                <c:pt idx="13">
                  <c:v>黔江区</c:v>
                </c:pt>
                <c:pt idx="14">
                  <c:v>长寿区</c:v>
                </c:pt>
                <c:pt idx="15">
                  <c:v>江津区</c:v>
                </c:pt>
                <c:pt idx="16">
                  <c:v>合川区</c:v>
                </c:pt>
                <c:pt idx="17">
                  <c:v>永川区</c:v>
                </c:pt>
                <c:pt idx="18">
                  <c:v>南川区</c:v>
                </c:pt>
                <c:pt idx="19">
                  <c:v>璧山区</c:v>
                </c:pt>
                <c:pt idx="20">
                  <c:v>铜梁区</c:v>
                </c:pt>
                <c:pt idx="21">
                  <c:v>潼南区</c:v>
                </c:pt>
                <c:pt idx="22">
                  <c:v>荣昌区</c:v>
                </c:pt>
                <c:pt idx="23">
                  <c:v>开州区</c:v>
                </c:pt>
                <c:pt idx="24">
                  <c:v>梁平区</c:v>
                </c:pt>
                <c:pt idx="25">
                  <c:v>武隆区</c:v>
                </c:pt>
                <c:pt idx="26">
                  <c:v>两江新区</c:v>
                </c:pt>
                <c:pt idx="27">
                  <c:v>高新区</c:v>
                </c:pt>
                <c:pt idx="28">
                  <c:v>城口县</c:v>
                </c:pt>
                <c:pt idx="29">
                  <c:v>丰都县</c:v>
                </c:pt>
                <c:pt idx="30">
                  <c:v>垫江县</c:v>
                </c:pt>
                <c:pt idx="31">
                  <c:v>忠县</c:v>
                </c:pt>
                <c:pt idx="32">
                  <c:v>云阳县</c:v>
                </c:pt>
                <c:pt idx="33">
                  <c:v>奉节县</c:v>
                </c:pt>
                <c:pt idx="34">
                  <c:v>巫山县</c:v>
                </c:pt>
                <c:pt idx="35">
                  <c:v>巫溪县</c:v>
                </c:pt>
                <c:pt idx="36">
                  <c:v>石柱县</c:v>
                </c:pt>
                <c:pt idx="37">
                  <c:v>秀山县</c:v>
                </c:pt>
                <c:pt idx="38">
                  <c:v>酉阳县</c:v>
                </c:pt>
                <c:pt idx="39">
                  <c:v>彭水县</c:v>
                </c:pt>
              </c:strCache>
            </c:strRef>
          </c:cat>
          <c:val>
            <c:numRef>
              <c:f>各区县危废产生量!$B$2:$B$41</c:f>
              <c:numCache>
                <c:formatCode>General</c:formatCode>
                <c:ptCount val="40"/>
                <c:pt idx="0">
                  <c:v>2.01592</c:v>
                </c:pt>
                <c:pt idx="1">
                  <c:v>14.174406</c:v>
                </c:pt>
                <c:pt idx="2">
                  <c:v>0</c:v>
                </c:pt>
                <c:pt idx="3">
                  <c:v>0.166327</c:v>
                </c:pt>
                <c:pt idx="4">
                  <c:v>0.208562</c:v>
                </c:pt>
                <c:pt idx="5">
                  <c:v>0.24759</c:v>
                </c:pt>
                <c:pt idx="6">
                  <c:v>4.21095</c:v>
                </c:pt>
                <c:pt idx="7">
                  <c:v>0.657569</c:v>
                </c:pt>
                <c:pt idx="8">
                  <c:v>1.499858</c:v>
                </c:pt>
                <c:pt idx="9">
                  <c:v>3.111955</c:v>
                </c:pt>
                <c:pt idx="10">
                  <c:v>1.749281</c:v>
                </c:pt>
                <c:pt idx="11">
                  <c:v>3.713421</c:v>
                </c:pt>
                <c:pt idx="12">
                  <c:v>3.693675</c:v>
                </c:pt>
                <c:pt idx="13">
                  <c:v>0.013455</c:v>
                </c:pt>
                <c:pt idx="14">
                  <c:v>27.077199</c:v>
                </c:pt>
                <c:pt idx="15">
                  <c:v>4.879492</c:v>
                </c:pt>
                <c:pt idx="16">
                  <c:v>2.246293</c:v>
                </c:pt>
                <c:pt idx="17">
                  <c:v>4.419811</c:v>
                </c:pt>
                <c:pt idx="18">
                  <c:v>3.27473</c:v>
                </c:pt>
                <c:pt idx="19">
                  <c:v>0.725275</c:v>
                </c:pt>
                <c:pt idx="20">
                  <c:v>3.56338</c:v>
                </c:pt>
                <c:pt idx="21">
                  <c:v>16.390038</c:v>
                </c:pt>
                <c:pt idx="22">
                  <c:v>0.381809</c:v>
                </c:pt>
                <c:pt idx="23">
                  <c:v>0.866291</c:v>
                </c:pt>
                <c:pt idx="24">
                  <c:v>0.07695</c:v>
                </c:pt>
                <c:pt idx="25">
                  <c:v>0.599197</c:v>
                </c:pt>
                <c:pt idx="26">
                  <c:v>6.252233</c:v>
                </c:pt>
                <c:pt idx="27">
                  <c:v>1.372112</c:v>
                </c:pt>
                <c:pt idx="28">
                  <c:v>0.5</c:v>
                </c:pt>
                <c:pt idx="29">
                  <c:v>0.000184</c:v>
                </c:pt>
                <c:pt idx="30">
                  <c:v>0.455073</c:v>
                </c:pt>
                <c:pt idx="31">
                  <c:v>0.107283</c:v>
                </c:pt>
                <c:pt idx="32">
                  <c:v>0.00218</c:v>
                </c:pt>
                <c:pt idx="33">
                  <c:v>0.005096</c:v>
                </c:pt>
                <c:pt idx="34">
                  <c:v>0</c:v>
                </c:pt>
                <c:pt idx="35">
                  <c:v>0</c:v>
                </c:pt>
                <c:pt idx="36">
                  <c:v>0.177101</c:v>
                </c:pt>
                <c:pt idx="37">
                  <c:v>0.722186</c:v>
                </c:pt>
                <c:pt idx="38">
                  <c:v>0.001645</c:v>
                </c:pt>
                <c:pt idx="39">
                  <c:v>0.000252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11843896"/>
        <c:axId val="811844288"/>
      </c:barChart>
      <c:catAx>
        <c:axId val="81184389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4288"/>
        <c:crosses val="autoZero"/>
        <c:auto val="true"/>
        <c:lblAlgn val="ctr"/>
        <c:lblOffset val="100"/>
        <c:noMultiLvlLbl val="false"/>
      </c:catAx>
      <c:valAx>
        <c:axId val="811844288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危险废物产生量（万吨）</a:t>
                </a:r>
                <a:endParaRPr lang="zh-CN" altLang="en-US"/>
              </a:p>
            </c:rich>
          </c:tx>
          <c:layout/>
          <c:overlay val="false"/>
          <c:spPr>
            <a:noFill/>
            <a:ln>
              <a:noFill/>
            </a:ln>
            <a:effectLst/>
          </c:spPr>
        </c:title>
        <c:numFmt formatCode="General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3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0971628850934"/>
          <c:y val="0.0863761833141644"/>
          <c:w val="0.197018696979943"/>
          <c:h val="0.0520836978710995"/>
        </c:manualLayout>
      </c:layout>
      <c:overlay val="false"/>
      <c:spPr>
        <a:noFill/>
        <a:ln>
          <a:noFill/>
        </a:ln>
        <a:effectLst/>
      </c:spPr>
      <c:txPr>
        <a:bodyPr rot="0" spcFirstLastPara="1" vertOverflow="ellipsis" vert="horz" wrap="square" anchor="ctr" anchorCtr="true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>
        <c:manualLayout>
          <c:layoutTarget val="inner"/>
          <c:xMode val="edge"/>
          <c:yMode val="edge"/>
          <c:x val="0.0602771112838363"/>
          <c:y val="0.0293332862011777"/>
          <c:w val="0.665527356290764"/>
          <c:h val="0.905604619422572"/>
        </c:manualLayout>
      </c:layout>
      <c:barChart>
        <c:barDir val="col"/>
        <c:grouping val="stacked"/>
        <c:varyColors val="false"/>
        <c:ser>
          <c:idx val="0"/>
          <c:order val="0"/>
          <c:tx>
            <c:strRef>
              <c:f>固废行业分布情况!$G$6</c:f>
              <c:strCache>
                <c:ptCount val="1"/>
                <c:pt idx="0">
                  <c:v>电力、热力生产和供应业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固废行业分布情况!$H$6:$I$6</c:f>
              <c:numCache>
                <c:formatCode>General</c:formatCode>
                <c:ptCount val="2"/>
                <c:pt idx="0">
                  <c:v>910.136117</c:v>
                </c:pt>
                <c:pt idx="1">
                  <c:v>813.811783</c:v>
                </c:pt>
              </c:numCache>
            </c:numRef>
          </c:val>
        </c:ser>
        <c:ser>
          <c:idx val="1"/>
          <c:order val="1"/>
          <c:tx>
            <c:strRef>
              <c:f>固废行业分布情况!$G$7</c:f>
              <c:strCache>
                <c:ptCount val="1"/>
                <c:pt idx="0">
                  <c:v>黑色金属冶炼和压延加工业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固废行业分布情况!$H$7:$I$7</c:f>
              <c:numCache>
                <c:formatCode>General</c:formatCode>
                <c:ptCount val="2"/>
                <c:pt idx="0">
                  <c:v>568.968843</c:v>
                </c:pt>
                <c:pt idx="1">
                  <c:v>559.52911</c:v>
                </c:pt>
              </c:numCache>
            </c:numRef>
          </c:val>
        </c:ser>
        <c:ser>
          <c:idx val="2"/>
          <c:order val="2"/>
          <c:tx>
            <c:strRef>
              <c:f>固废行业分布情况!$G$8</c:f>
              <c:strCache>
                <c:ptCount val="1"/>
                <c:pt idx="0">
                  <c:v>有色金属冶炼和压延加工业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固废行业分布情况!$H$8:$I$8</c:f>
              <c:numCache>
                <c:formatCode>General</c:formatCode>
                <c:ptCount val="2"/>
                <c:pt idx="0">
                  <c:v>432.613251</c:v>
                </c:pt>
                <c:pt idx="1">
                  <c:v>138.476477</c:v>
                </c:pt>
              </c:numCache>
            </c:numRef>
          </c:val>
        </c:ser>
        <c:ser>
          <c:idx val="3"/>
          <c:order val="3"/>
          <c:tx>
            <c:strRef>
              <c:f>固废行业分布情况!$G$9</c:f>
              <c:strCache>
                <c:ptCount val="1"/>
                <c:pt idx="0">
                  <c:v>化学原料和化学制品制造业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固废行业分布情况!$H$9:$I$9</c:f>
              <c:numCache>
                <c:formatCode>General</c:formatCode>
                <c:ptCount val="2"/>
                <c:pt idx="0">
                  <c:v>237.524037</c:v>
                </c:pt>
                <c:pt idx="1">
                  <c:v>224.247529</c:v>
                </c:pt>
              </c:numCache>
            </c:numRef>
          </c:val>
        </c:ser>
        <c:ser>
          <c:idx val="4"/>
          <c:order val="4"/>
          <c:tx>
            <c:strRef>
              <c:f>固废行业分布情况!$G$10</c:f>
              <c:strCache>
                <c:ptCount val="1"/>
                <c:pt idx="0">
                  <c:v>造纸和纸制品业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固废行业分布情况!$H$10:$I$10</c:f>
              <c:numCache>
                <c:formatCode>General</c:formatCode>
                <c:ptCount val="2"/>
                <c:pt idx="0">
                  <c:v>87.04632</c:v>
                </c:pt>
                <c:pt idx="1">
                  <c:v>84.047627</c:v>
                </c:pt>
              </c:numCache>
            </c:numRef>
          </c:val>
        </c:ser>
        <c:ser>
          <c:idx val="5"/>
          <c:order val="5"/>
          <c:tx>
            <c:strRef>
              <c:f>固废行业分布情况!$G$11</c:f>
              <c:strCache>
                <c:ptCount val="1"/>
                <c:pt idx="0">
                  <c:v>非金属矿物制品业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固废行业分布情况!$H$11:$I$11</c:f>
              <c:numCache>
                <c:formatCode>General</c:formatCode>
                <c:ptCount val="2"/>
                <c:pt idx="0">
                  <c:v>44.286046</c:v>
                </c:pt>
                <c:pt idx="1">
                  <c:v>37.298972</c:v>
                </c:pt>
              </c:numCache>
            </c:numRef>
          </c:val>
        </c:ser>
        <c:ser>
          <c:idx val="6"/>
          <c:order val="6"/>
          <c:tx>
            <c:strRef>
              <c:f>固废行业分布情况!$G$12</c:f>
              <c:strCache>
                <c:ptCount val="1"/>
                <c:pt idx="0">
                  <c:v>汽车制造业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固废行业分布情况!$H$12:$I$12</c:f>
              <c:numCache>
                <c:formatCode>General</c:formatCode>
                <c:ptCount val="2"/>
                <c:pt idx="0">
                  <c:v>38.312135</c:v>
                </c:pt>
                <c:pt idx="1">
                  <c:v>30.10726</c:v>
                </c:pt>
              </c:numCache>
            </c:numRef>
          </c:val>
        </c:ser>
        <c:ser>
          <c:idx val="7"/>
          <c:order val="7"/>
          <c:tx>
            <c:strRef>
              <c:f>固废行业分布情况!$G$13</c:f>
              <c:strCache>
                <c:ptCount val="1"/>
                <c:pt idx="0">
                  <c:v>其它行业合计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固废行业分布情况!$H$5:$I$5</c:f>
              <c:strCache>
                <c:ptCount val="2"/>
                <c:pt idx="0">
                  <c:v>一般工业固体废物产生量（万吨）</c:v>
                </c:pt>
                <c:pt idx="1">
                  <c:v>一般工业固体废物综合利用量（万吨）</c:v>
                </c:pt>
              </c:strCache>
            </c:strRef>
          </c:cat>
          <c:val>
            <c:numRef>
              <c:f>固废行业分布情况!$H$13:$I$13</c:f>
              <c:numCache>
                <c:formatCode>General</c:formatCode>
                <c:ptCount val="2"/>
                <c:pt idx="0">
                  <c:v>153.350771</c:v>
                </c:pt>
                <c:pt idx="1">
                  <c:v>83.259661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350"/>
        <c:overlap val="100"/>
        <c:axId val="811845072"/>
        <c:axId val="811845464"/>
      </c:barChart>
      <c:catAx>
        <c:axId val="81184507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5464"/>
        <c:crosses val="autoZero"/>
        <c:auto val="true"/>
        <c:lblAlgn val="ctr"/>
        <c:lblOffset val="100"/>
        <c:noMultiLvlLbl val="false"/>
      </c:catAx>
      <c:valAx>
        <c:axId val="811845464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9153443004125"/>
          <c:y val="0.0639521259842519"/>
          <c:w val="0.29082148592073"/>
          <c:h val="0.861335853018372"/>
        </c:manualLayout>
      </c:layout>
      <c:overlay val="false"/>
      <c:spPr>
        <a:noFill/>
        <a:ln>
          <a:noFill/>
        </a:ln>
        <a:effectLst/>
      </c:spPr>
      <c:txPr>
        <a:bodyPr rot="0" spcFirstLastPara="1" vertOverflow="ellipsis" vert="horz" wrap="square" anchor="ctr" anchorCtr="true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/>
      <c:barChart>
        <c:barDir val="col"/>
        <c:grouping val="percentStacked"/>
        <c:varyColors val="false"/>
        <c:ser>
          <c:idx val="0"/>
          <c:order val="0"/>
          <c:tx>
            <c:strRef>
              <c:f>危废行业分布情况!$G$6</c:f>
              <c:strCache>
                <c:ptCount val="1"/>
                <c:pt idx="0">
                  <c:v>化学原料和化学制品制造业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危废行业分布情况!$H$6:$I$6</c:f>
              <c:numCache>
                <c:formatCode>General</c:formatCode>
                <c:ptCount val="2"/>
                <c:pt idx="0">
                  <c:v>32.081973</c:v>
                </c:pt>
                <c:pt idx="1">
                  <c:v>35.49585</c:v>
                </c:pt>
              </c:numCache>
            </c:numRef>
          </c:val>
        </c:ser>
        <c:ser>
          <c:idx val="1"/>
          <c:order val="1"/>
          <c:tx>
            <c:strRef>
              <c:f>危废行业分布情况!$G$7</c:f>
              <c:strCache>
                <c:ptCount val="1"/>
                <c:pt idx="0">
                  <c:v>黑色金属冶炼和压延加工业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危废行业分布情况!$H$7:$I$7</c:f>
              <c:numCache>
                <c:formatCode>General</c:formatCode>
                <c:ptCount val="2"/>
                <c:pt idx="0">
                  <c:v>15.497088</c:v>
                </c:pt>
                <c:pt idx="1">
                  <c:v>15.515338</c:v>
                </c:pt>
              </c:numCache>
            </c:numRef>
          </c:val>
        </c:ser>
        <c:ser>
          <c:idx val="2"/>
          <c:order val="2"/>
          <c:tx>
            <c:strRef>
              <c:f>危废行业分布情况!$G$8</c:f>
              <c:strCache>
                <c:ptCount val="1"/>
                <c:pt idx="0">
                  <c:v>电力、热力生产和供应业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危废行业分布情况!$H$8:$I$8</c:f>
              <c:numCache>
                <c:formatCode>General</c:formatCode>
                <c:ptCount val="2"/>
                <c:pt idx="0">
                  <c:v>15.926415</c:v>
                </c:pt>
                <c:pt idx="1">
                  <c:v>14.99722</c:v>
                </c:pt>
              </c:numCache>
            </c:numRef>
          </c:val>
        </c:ser>
        <c:ser>
          <c:idx val="3"/>
          <c:order val="3"/>
          <c:tx>
            <c:strRef>
              <c:f>危废行业分布情况!$G$9</c:f>
              <c:strCache>
                <c:ptCount val="1"/>
                <c:pt idx="0">
                  <c:v>计算机、通信和其他电子设备制造业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危废行业分布情况!$H$9:$I$9</c:f>
              <c:numCache>
                <c:formatCode>General</c:formatCode>
                <c:ptCount val="2"/>
                <c:pt idx="0">
                  <c:v>8.72536</c:v>
                </c:pt>
                <c:pt idx="1">
                  <c:v>8.760055</c:v>
                </c:pt>
              </c:numCache>
            </c:numRef>
          </c:val>
        </c:ser>
        <c:ser>
          <c:idx val="4"/>
          <c:order val="4"/>
          <c:tx>
            <c:strRef>
              <c:f>危废行业分布情况!$G$10</c:f>
              <c:strCache>
                <c:ptCount val="1"/>
                <c:pt idx="0">
                  <c:v>有色金属冶炼和压延加工业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危废行业分布情况!$H$10:$I$10</c:f>
              <c:numCache>
                <c:formatCode>General</c:formatCode>
                <c:ptCount val="2"/>
                <c:pt idx="0">
                  <c:v>9.070997</c:v>
                </c:pt>
                <c:pt idx="1">
                  <c:v>8.703904</c:v>
                </c:pt>
              </c:numCache>
            </c:numRef>
          </c:val>
        </c:ser>
        <c:ser>
          <c:idx val="5"/>
          <c:order val="5"/>
          <c:tx>
            <c:strRef>
              <c:f>危废行业分布情况!$G$11</c:f>
              <c:strCache>
                <c:ptCount val="1"/>
                <c:pt idx="0">
                  <c:v>石油和天然气开采业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危废行业分布情况!$H$11:$I$11</c:f>
              <c:numCache>
                <c:formatCode>General</c:formatCode>
                <c:ptCount val="2"/>
                <c:pt idx="0">
                  <c:v>8.5824</c:v>
                </c:pt>
                <c:pt idx="1">
                  <c:v>8.574713</c:v>
                </c:pt>
              </c:numCache>
            </c:numRef>
          </c:val>
        </c:ser>
        <c:ser>
          <c:idx val="6"/>
          <c:order val="6"/>
          <c:tx>
            <c:strRef>
              <c:f>危废行业分布情况!$G$12</c:f>
              <c:strCache>
                <c:ptCount val="1"/>
                <c:pt idx="0">
                  <c:v>汽车制造业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危废行业分布情况!$H$12:$I$12</c:f>
              <c:numCache>
                <c:formatCode>General</c:formatCode>
                <c:ptCount val="2"/>
                <c:pt idx="0">
                  <c:v>6.332426</c:v>
                </c:pt>
                <c:pt idx="1">
                  <c:v>6.410523</c:v>
                </c:pt>
              </c:numCache>
            </c:numRef>
          </c:val>
        </c:ser>
        <c:ser>
          <c:idx val="7"/>
          <c:order val="7"/>
          <c:tx>
            <c:strRef>
              <c:f>危废行业分布情况!$G$13</c:f>
              <c:strCache>
                <c:ptCount val="1"/>
                <c:pt idx="0">
                  <c:v>金属制品业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危废行业分布情况!$H$13:$I$13</c:f>
              <c:numCache>
                <c:formatCode>General</c:formatCode>
                <c:ptCount val="2"/>
                <c:pt idx="0">
                  <c:v>3.830666</c:v>
                </c:pt>
                <c:pt idx="1">
                  <c:v>3.883258</c:v>
                </c:pt>
              </c:numCache>
            </c:numRef>
          </c:val>
        </c:ser>
        <c:ser>
          <c:idx val="8"/>
          <c:order val="8"/>
          <c:tx>
            <c:strRef>
              <c:f>危废行业分布情况!$G$14</c:f>
              <c:strCache>
                <c:ptCount val="1"/>
                <c:pt idx="0">
                  <c:v>燃气生产和供应业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危废行业分布情况!$H$14:$I$14</c:f>
              <c:numCache>
                <c:formatCode>General</c:formatCode>
                <c:ptCount val="2"/>
                <c:pt idx="0">
                  <c:v>2.317008</c:v>
                </c:pt>
                <c:pt idx="1">
                  <c:v>2.316988</c:v>
                </c:pt>
              </c:numCache>
            </c:numRef>
          </c:val>
        </c:ser>
        <c:ser>
          <c:idx val="9"/>
          <c:order val="9"/>
          <c:tx>
            <c:strRef>
              <c:f>危废行业分布情况!$G$15</c:f>
              <c:strCache>
                <c:ptCount val="1"/>
                <c:pt idx="0">
                  <c:v>医药制造业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危废行业分布情况!$H$15:$I$15</c:f>
              <c:numCache>
                <c:formatCode>General</c:formatCode>
                <c:ptCount val="2"/>
                <c:pt idx="0">
                  <c:v>2.105354</c:v>
                </c:pt>
                <c:pt idx="1">
                  <c:v>2.148293</c:v>
                </c:pt>
              </c:numCache>
            </c:numRef>
          </c:val>
        </c:ser>
        <c:ser>
          <c:idx val="10"/>
          <c:order val="10"/>
          <c:tx>
            <c:strRef>
              <c:f>危废行业分布情况!$G$16</c:f>
              <c:strCache>
                <c:ptCount val="1"/>
                <c:pt idx="0">
                  <c:v>其他行业合计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危废行业分布情况!$H$5:$I$5</c:f>
              <c:strCache>
                <c:ptCount val="2"/>
                <c:pt idx="0">
                  <c:v>危险废物产生量（万吨）</c:v>
                </c:pt>
                <c:pt idx="1">
                  <c:v>危险废物利用处置量（万吨）</c:v>
                </c:pt>
              </c:strCache>
            </c:strRef>
          </c:cat>
          <c:val>
            <c:numRef>
              <c:f>危废行业分布情况!$H$16:$I$16</c:f>
              <c:numCache>
                <c:formatCode>General</c:formatCode>
                <c:ptCount val="2"/>
                <c:pt idx="0">
                  <c:v>5.089093</c:v>
                </c:pt>
                <c:pt idx="1">
                  <c:v>4.415555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50"/>
        <c:overlap val="100"/>
        <c:axId val="811846640"/>
        <c:axId val="811847032"/>
      </c:barChart>
      <c:catAx>
        <c:axId val="81184664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7032"/>
        <c:crosses val="autoZero"/>
        <c:auto val="true"/>
        <c:lblAlgn val="ctr"/>
        <c:lblOffset val="100"/>
        <c:noMultiLvlLbl val="false"/>
      </c:catAx>
      <c:valAx>
        <c:axId val="811847032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66666666667"/>
          <c:y val="0.0450546806649169"/>
          <c:w val="0.341666666666667"/>
          <c:h val="0.905099154272383"/>
        </c:manualLayout>
      </c:layout>
      <c:overlay val="false"/>
      <c:spPr>
        <a:noFill/>
        <a:ln>
          <a:noFill/>
        </a:ln>
        <a:effectLst/>
      </c:spPr>
      <c:txPr>
        <a:bodyPr rot="0" spcFirstLastPara="1" vertOverflow="ellipsis" vert="horz" wrap="square" anchor="ctr" anchorCtr="true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3979200927603"/>
          <c:y val="0.0323363681102362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废水COD!$D$5:$D$8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废水COD!$E$5:$E$8</c:f>
              <c:numCache>
                <c:formatCode>General</c:formatCode>
                <c:ptCount val="4"/>
                <c:pt idx="0">
                  <c:v>7750.636</c:v>
                </c:pt>
                <c:pt idx="1">
                  <c:v>120996.41</c:v>
                </c:pt>
                <c:pt idx="2">
                  <c:v>114.514</c:v>
                </c:pt>
                <c:pt idx="3" c:formatCode="0.00">
                  <c:v>196861.92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85696"/>
        <c:axId val="807186088"/>
      </c:barChart>
      <c:catAx>
        <c:axId val="80718569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6088"/>
        <c:crosses val="autoZero"/>
        <c:auto val="true"/>
        <c:lblAlgn val="ctr"/>
        <c:lblOffset val="100"/>
        <c:noMultiLvlLbl val="false"/>
      </c:catAx>
      <c:valAx>
        <c:axId val="807186088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5696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废水COD!$E$21</c:f>
              <c:strCache>
                <c:ptCount val="1"/>
                <c:pt idx="0">
                  <c:v>NH3-N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废水COD!$D$22:$D$25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废水COD!$E$22:$E$25</c:f>
              <c:numCache>
                <c:formatCode>0.000</c:formatCode>
                <c:ptCount val="4"/>
                <c:pt idx="0">
                  <c:v>288.244</c:v>
                </c:pt>
                <c:pt idx="1">
                  <c:v>13621.47</c:v>
                </c:pt>
                <c:pt idx="2">
                  <c:v>6.957</c:v>
                </c:pt>
                <c:pt idx="3">
                  <c:v>3632.56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86872"/>
        <c:axId val="807187264"/>
      </c:barChart>
      <c:catAx>
        <c:axId val="80718687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7264"/>
        <c:crosses val="autoZero"/>
        <c:auto val="true"/>
        <c:lblAlgn val="ctr"/>
        <c:lblOffset val="100"/>
        <c:noMultiLvlLbl val="false"/>
      </c:catAx>
      <c:valAx>
        <c:axId val="807187264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6872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废水废气源类分布!$E$37</c:f>
              <c:strCache>
                <c:ptCount val="1"/>
                <c:pt idx="0">
                  <c:v>总氮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废水废气源类分布!$D$38:$D$41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废水废气源类分布!$E$38:$E$41</c:f>
              <c:numCache>
                <c:formatCode>0.000</c:formatCode>
                <c:ptCount val="4"/>
                <c:pt idx="0">
                  <c:v>2296.167</c:v>
                </c:pt>
                <c:pt idx="1">
                  <c:v>27888.98</c:v>
                </c:pt>
                <c:pt idx="2">
                  <c:v>35.508</c:v>
                </c:pt>
                <c:pt idx="3">
                  <c:v>26742.78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88048"/>
        <c:axId val="807188440"/>
      </c:barChart>
      <c:catAx>
        <c:axId val="807188048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8440"/>
        <c:crosses val="autoZero"/>
        <c:auto val="true"/>
        <c:lblAlgn val="ctr"/>
        <c:lblOffset val="100"/>
        <c:noMultiLvlLbl val="false"/>
      </c:catAx>
      <c:valAx>
        <c:axId val="807188440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8048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87915204656203"/>
          <c:y val="0.0465622247903297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废水废气源类分布!$D$53:$D$56</c:f>
              <c:strCache>
                <c:ptCount val="1"/>
                <c:pt idx="0">
                  <c:v>工业源 生活源 集中式污染治理设施 农业源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废水废气源类分布!$D$38:$D$41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废水废气源类分布!$E$53:$E$56</c:f>
              <c:numCache>
                <c:formatCode>0.000</c:formatCode>
                <c:ptCount val="4"/>
                <c:pt idx="0">
                  <c:v>65.499</c:v>
                </c:pt>
                <c:pt idx="1" c:formatCode="General">
                  <c:v>967.35</c:v>
                </c:pt>
                <c:pt idx="2">
                  <c:v>1.948</c:v>
                </c:pt>
                <c:pt idx="3">
                  <c:v>3797.69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89224"/>
        <c:axId val="807189616"/>
      </c:barChart>
      <c:catAx>
        <c:axId val="80718922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9616"/>
        <c:crosses val="autoZero"/>
        <c:auto val="true"/>
        <c:lblAlgn val="ctr"/>
        <c:lblOffset val="100"/>
        <c:noMultiLvlLbl val="false"/>
      </c:catAx>
      <c:valAx>
        <c:axId val="807189616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89224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废水COD!$D$40:$D$42</c:f>
              <c:strCache>
                <c:ptCount val="3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</c:strCache>
            </c:strRef>
          </c:cat>
          <c:val>
            <c:numRef>
              <c:f>废水COD!$E$40:$E$42</c:f>
              <c:numCache>
                <c:formatCode>General</c:formatCode>
                <c:ptCount val="3"/>
                <c:pt idx="0">
                  <c:v>36836.585</c:v>
                </c:pt>
                <c:pt idx="1">
                  <c:v>9077.32</c:v>
                </c:pt>
                <c:pt idx="2">
                  <c:v>32.746548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90400"/>
        <c:axId val="807190792"/>
      </c:barChart>
      <c:catAx>
        <c:axId val="80719040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0792"/>
        <c:crosses val="autoZero"/>
        <c:auto val="true"/>
        <c:lblAlgn val="ctr"/>
        <c:lblOffset val="100"/>
        <c:noMultiLvlLbl val="false"/>
      </c:catAx>
      <c:valAx>
        <c:axId val="807190792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0400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废水废气源类分布!$D$67:$D$70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cat>
          <c:val>
            <c:numRef>
              <c:f>废水废气源类分布!$E$67:$E$70</c:f>
              <c:numCache>
                <c:formatCode>General</c:formatCode>
                <c:ptCount val="4"/>
                <c:pt idx="0">
                  <c:v>60858.608</c:v>
                </c:pt>
                <c:pt idx="1">
                  <c:v>7225.96</c:v>
                </c:pt>
                <c:pt idx="2">
                  <c:v>84721.75</c:v>
                </c:pt>
                <c:pt idx="3">
                  <c:v>190.506406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91576"/>
        <c:axId val="807191968"/>
      </c:barChart>
      <c:catAx>
        <c:axId val="80719157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1968"/>
        <c:crosses val="autoZero"/>
        <c:auto val="true"/>
        <c:lblAlgn val="ctr"/>
        <c:lblOffset val="100"/>
        <c:noMultiLvlLbl val="false"/>
      </c:catAx>
      <c:valAx>
        <c:axId val="807191968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1576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废水废气源类分布!$D$59:$D$62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cat>
          <c:val>
            <c:numRef>
              <c:f>废水废气源类分布!$E$59:$E$62</c:f>
              <c:numCache>
                <c:formatCode>General</c:formatCode>
                <c:ptCount val="4"/>
                <c:pt idx="0">
                  <c:v>37555.74</c:v>
                </c:pt>
                <c:pt idx="1">
                  <c:v>11230.73</c:v>
                </c:pt>
                <c:pt idx="2">
                  <c:v>752.7</c:v>
                </c:pt>
                <c:pt idx="3">
                  <c:v>24.839469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07192752"/>
        <c:axId val="807193144"/>
      </c:barChart>
      <c:catAx>
        <c:axId val="80719275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3144"/>
        <c:crosses val="autoZero"/>
        <c:auto val="true"/>
        <c:lblAlgn val="ctr"/>
        <c:lblOffset val="100"/>
        <c:noMultiLvlLbl val="false"/>
      </c:catAx>
      <c:valAx>
        <c:axId val="807193144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7192752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  <a:endParaRPr lang="zh-CN" altLang="en-US" sz="1000"/>
          </a:p>
        </c:rich>
      </c:tx>
      <c:layout>
        <c:manualLayout>
          <c:xMode val="edge"/>
          <c:yMode val="edge"/>
          <c:x val="0.813324345651158"/>
          <c:y val="0.04656216162234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03390407491164"/>
          <c:y val="0.0415048118985127"/>
          <c:w val="0.869665318167134"/>
          <c:h val="0.845540244969379"/>
        </c:manualLayout>
      </c:layout>
      <c:barChart>
        <c:barDir val="col"/>
        <c:grouping val="clustered"/>
        <c:varyColors val="false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false"/>
          <c:dLbls>
            <c:delete val="true"/>
          </c:dLbls>
          <c:cat>
            <c:strRef>
              <c:f>废水废气源类分布!$E$118:$E$120</c:f>
              <c:strCache>
                <c:ptCount val="3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</c:strCache>
            </c:strRef>
          </c:cat>
          <c:val>
            <c:numRef>
              <c:f>废水废气源类分布!$F$118:$F$120</c:f>
              <c:numCache>
                <c:formatCode>General</c:formatCode>
                <c:ptCount val="3"/>
                <c:pt idx="0">
                  <c:v>41975.970674</c:v>
                </c:pt>
                <c:pt idx="1">
                  <c:v>36943.25</c:v>
                </c:pt>
                <c:pt idx="2">
                  <c:v>32287.58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19"/>
        <c:overlap val="-27"/>
        <c:axId val="811841544"/>
        <c:axId val="811841936"/>
      </c:barChart>
      <c:catAx>
        <c:axId val="81184154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1936"/>
        <c:crosses val="autoZero"/>
        <c:auto val="true"/>
        <c:lblAlgn val="ctr"/>
        <c:lblOffset val="100"/>
        <c:noMultiLvlLbl val="false"/>
      </c:catAx>
      <c:valAx>
        <c:axId val="811841936"/>
        <c:scaling>
          <c:orientation val="minMax"/>
        </c:scaling>
        <c:delete val="false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false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11841544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1</Company>
  <Pages>30</Pages>
  <Words>2484</Words>
  <Characters>14164</Characters>
  <Lines>118</Lines>
  <Paragraphs>33</Paragraphs>
  <TotalTime>1194</TotalTime>
  <ScaleCrop>false</ScaleCrop>
  <LinksUpToDate>false</LinksUpToDate>
  <CharactersWithSpaces>16615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2023-10-10T07:41:00Z</dcterms:created>
  <dc:creator>limei</dc:creator>
  <cp:lastModifiedBy>user</cp:lastModifiedBy>
  <cp:lastPrinted>2022-01-26T01:44:00Z</cp:lastPrinted>
  <dcterms:modified xsi:type="dcterms:W3CDTF">2023-11-24T11:07:15Z</dcterms:modified>
  <dc:title>2017年重庆市环境统计年报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