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黑体_GBK" w:cs="Times New Roman"/>
          <w:kern w:val="0"/>
          <w:sz w:val="32"/>
          <w:szCs w:val="32"/>
          <w:lang w:val="zh-CN"/>
        </w:rPr>
      </w:pPr>
    </w:p>
    <w:p>
      <w:pPr>
        <w:rPr>
          <w:rFonts w:ascii="Times New Roman" w:hAnsi="Times New Roman" w:eastAsia="方正黑体_GBK" w:cs="Times New Roman"/>
          <w:kern w:val="0"/>
          <w:sz w:val="32"/>
          <w:szCs w:val="32"/>
          <w:lang w:val="zh-CN"/>
        </w:rPr>
      </w:pPr>
      <w:r>
        <w:rPr>
          <w:rFonts w:ascii="Times New Roman" w:hAnsi="Times New Roman" w:eastAsia="方正黑体_GBK" w:cs="Times New Roman"/>
          <w:kern w:val="0"/>
          <w:sz w:val="32"/>
          <w:szCs w:val="32"/>
          <w:lang w:val="zh-CN"/>
        </w:rPr>
        <w:t>附件</w:t>
      </w:r>
      <w:r>
        <w:rPr>
          <w:rFonts w:hint="eastAsia" w:ascii="Times New Roman" w:hAnsi="Times New Roman" w:eastAsia="方正黑体_GBK" w:cs="Times New Roman"/>
          <w:kern w:val="0"/>
          <w:sz w:val="32"/>
          <w:szCs w:val="32"/>
          <w:lang w:val="en-US" w:eastAsia="zh-CN"/>
        </w:rPr>
        <w:t>1</w:t>
      </w:r>
    </w:p>
    <w:p>
      <w:pPr>
        <w:rPr>
          <w:rFonts w:ascii="黑体" w:hAnsi="黑体" w:eastAsia="黑体" w:cs="Times New Roman"/>
          <w:kern w:val="0"/>
          <w:lang w:val="zh-CN"/>
        </w:rPr>
      </w:pPr>
    </w:p>
    <w:p>
      <w:pPr>
        <w:rPr>
          <w:rFonts w:ascii="黑体" w:hAnsi="黑体" w:eastAsia="黑体" w:cs="Times New Roman"/>
          <w:kern w:val="0"/>
          <w:lang w:val="zh-CN"/>
        </w:rPr>
      </w:pPr>
    </w:p>
    <w:p>
      <w:pPr>
        <w:rPr>
          <w:rFonts w:ascii="黑体" w:hAnsi="黑体" w:eastAsia="黑体" w:cs="Times New Roman"/>
          <w:kern w:val="0"/>
          <w:lang w:val="zh-CN"/>
        </w:rPr>
      </w:pPr>
      <w:r>
        <w:rPr>
          <w:rFonts w:ascii="黑体" w:hAnsi="黑体" w:eastAsia="黑体" w:cs="Times New Roman"/>
          <w:kern w:val="0"/>
          <w:sz w:val="24"/>
          <w:szCs w:val="24"/>
        </w:rPr>
        <mc:AlternateContent>
          <mc:Choice Requires="wps">
            <w:drawing>
              <wp:anchor distT="0" distB="0" distL="114300" distR="114300" simplePos="0" relativeHeight="251653120" behindDoc="0" locked="1" layoutInCell="1" allowOverlap="1">
                <wp:simplePos x="0" y="0"/>
                <wp:positionH relativeFrom="margin">
                  <wp:posOffset>3002280</wp:posOffset>
                </wp:positionH>
                <wp:positionV relativeFrom="margin">
                  <wp:posOffset>235585</wp:posOffset>
                </wp:positionV>
                <wp:extent cx="3175000" cy="720090"/>
                <wp:effectExtent l="0" t="0" r="0" b="0"/>
                <wp:wrapNone/>
                <wp:docPr id="7" name="文本框 8"/>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wps:spPr>
                      <wps:txbx>
                        <w:txbxContent>
                          <w:p>
                            <w:pPr>
                              <w:pStyle w:val="47"/>
                              <w:wordWrap w:val="0"/>
                              <w:rPr>
                                <w:rFonts w:ascii="黑体" w:hAnsi="黑体" w:eastAsia="黑体"/>
                              </w:rPr>
                            </w:pPr>
                            <w:r>
                              <w:rPr>
                                <w:rFonts w:ascii="黑体" w:hAnsi="黑体" w:eastAsia="黑体"/>
                              </w:rPr>
                              <w:t>DB50</w:t>
                            </w:r>
                          </w:p>
                        </w:txbxContent>
                      </wps:txbx>
                      <wps:bodyPr rot="0" vert="horz" wrap="square" lIns="0" tIns="0" rIns="0" bIns="0" anchor="t" anchorCtr="0" upright="1">
                        <a:noAutofit/>
                      </wps:bodyPr>
                    </wps:wsp>
                  </a:graphicData>
                </a:graphic>
              </wp:anchor>
            </w:drawing>
          </mc:Choice>
          <mc:Fallback>
            <w:pict>
              <v:shape id="文本框 8" o:spid="_x0000_s1026" o:spt="202" type="#_x0000_t202" style="position:absolute;left:0pt;margin-left:236.4pt;margin-top:18.55pt;height:56.7pt;width:250pt;mso-position-horizontal-relative:margin;mso-position-vertical-relative:margin;z-index:251653120;mso-width-relative:page;mso-height-relative:page;" fillcolor="#FFFFFF" filled="t" stroked="f" coordsize="21600,21600" o:gfxdata="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Hv+mNgAAAAKAQAADwAAAAAAAAABACAAAAAiAAAAZHJz&#10;L2Rvd25yZXYueG1sUEsBAhQAFAAAAAgAh07iQNa0oKUEAgAA4AMAAA4AAAAAAAAAAQAgAAAAJwEA&#10;AGRycy9lMm9Eb2MueG1sUEsFBgAAAAAGAAYAWQEAAJ0FAAAAAA==&#10;">
                <v:fill on="t" focussize="0,0"/>
                <v:stroke on="f"/>
                <v:imagedata o:title=""/>
                <o:lock v:ext="edit" aspectratio="f"/>
                <v:textbox inset="0mm,0mm,0mm,0mm">
                  <w:txbxContent>
                    <w:p>
                      <w:pPr>
                        <w:pStyle w:val="47"/>
                        <w:wordWrap w:val="0"/>
                        <w:rPr>
                          <w:rFonts w:ascii="黑体" w:hAnsi="黑体" w:eastAsia="黑体"/>
                        </w:rPr>
                      </w:pPr>
                      <w:r>
                        <w:rPr>
                          <w:rFonts w:ascii="黑体" w:hAnsi="黑体" w:eastAsia="黑体"/>
                        </w:rPr>
                        <w:t>DB50</w:t>
                      </w:r>
                    </w:p>
                  </w:txbxContent>
                </v:textbox>
                <w10:anchorlock/>
              </v:shape>
            </w:pict>
          </mc:Fallback>
        </mc:AlternateContent>
      </w:r>
      <w:r>
        <w:rPr>
          <w:rFonts w:ascii="黑体" w:hAnsi="黑体" w:eastAsia="黑体"/>
        </w:rPr>
        <w:t>ICS 13.030.20</w:t>
      </w:r>
    </w:p>
    <w:p>
      <w:pPr>
        <w:pStyle w:val="15"/>
        <w:spacing w:line="240" w:lineRule="auto"/>
        <w:rPr>
          <w:rFonts w:ascii="黑体" w:hAnsi="黑体" w:eastAsia="黑体"/>
          <w:sz w:val="21"/>
          <w:szCs w:val="21"/>
        </w:rPr>
      </w:pPr>
      <w:r>
        <w:rPr>
          <w:rFonts w:ascii="黑体" w:hAnsi="黑体" w:eastAsia="黑体"/>
          <w:sz w:val="21"/>
          <w:szCs w:val="21"/>
        </w:rPr>
        <w:t>Z 60</w:t>
      </w:r>
    </w:p>
    <w:p>
      <w:pPr>
        <w:rPr>
          <w:rFonts w:ascii="Times New Roman" w:hAnsi="Times New Roman" w:cs="Times New Roman"/>
          <w:kern w:val="0"/>
          <w:lang w:val="zh-CN"/>
        </w:rPr>
      </w:pPr>
    </w:p>
    <w:p>
      <w:pPr>
        <w:rPr>
          <w:rFonts w:ascii="Times New Roman" w:hAnsi="Times New Roman" w:cs="Times New Roman"/>
          <w:kern w:val="0"/>
          <w:sz w:val="15"/>
          <w:szCs w:val="15"/>
          <w:lang w:val="zh-CN"/>
        </w:rPr>
      </w:pPr>
    </w:p>
    <w:p>
      <w:pPr>
        <w:rPr>
          <w:rFonts w:ascii="Times New Roman" w:hAnsi="Times New Roman" w:cs="Times New Roman"/>
          <w:kern w:val="0"/>
          <w:lang w:val="zh-CN"/>
        </w:rPr>
      </w:pPr>
    </w:p>
    <w:p>
      <w:pPr>
        <w:rPr>
          <w:rFonts w:ascii="Times New Roman" w:hAnsi="Times New Roman" w:cs="Times New Roman"/>
          <w:kern w:val="0"/>
          <w:lang w:val="zh-CN"/>
        </w:rPr>
      </w:pPr>
    </w:p>
    <w:p>
      <w:pPr>
        <w:spacing w:before="600" w:beforeLines="250" w:line="360" w:lineRule="auto"/>
        <w:jc w:val="distribute"/>
        <w:rPr>
          <w:rFonts w:ascii="Times New Roman" w:hAnsi="Times New Roman" w:eastAsia="黑体" w:cs="Times New Roman"/>
          <w:kern w:val="0"/>
          <w:sz w:val="52"/>
          <w:szCs w:val="52"/>
          <w:lang w:val="zh-CN"/>
        </w:rPr>
      </w:pPr>
      <w:r>
        <w:rPr>
          <w:rFonts w:ascii="Times New Roman" w:hAnsi="Times New Roman" w:eastAsia="黑体" w:cs="Times New Roman"/>
          <w:kern w:val="0"/>
          <w:sz w:val="52"/>
          <w:szCs w:val="52"/>
          <w:lang w:val="zh-CN"/>
        </w:rPr>
        <w:t>重庆市地方标准</w:t>
      </w:r>
    </w:p>
    <w:p>
      <w:pPr>
        <w:spacing w:line="360" w:lineRule="auto"/>
        <w:jc w:val="right"/>
        <w:rPr>
          <w:rFonts w:ascii="Times New Roman" w:hAnsi="Times New Roman" w:cs="Times New Roman"/>
          <w:b/>
          <w:bCs/>
          <w:kern w:val="0"/>
          <w:sz w:val="13"/>
          <w:szCs w:val="13"/>
          <w:lang w:val="zh-CN"/>
        </w:rPr>
      </w:pPr>
    </w:p>
    <w:p>
      <w:pPr>
        <w:spacing w:line="360" w:lineRule="auto"/>
        <w:jc w:val="right"/>
        <w:rPr>
          <w:rFonts w:ascii="黑体" w:hAnsi="黑体" w:eastAsia="黑体" w:cs="Times New Roman"/>
          <w:bCs/>
          <w:kern w:val="0"/>
          <w:sz w:val="28"/>
          <w:szCs w:val="28"/>
          <w:lang w:val="zh-CN"/>
        </w:rPr>
      </w:pPr>
      <w:r>
        <w:rPr>
          <w:rFonts w:ascii="黑体" w:hAnsi="黑体" w:eastAsia="黑体" w:cs="Times New Roman"/>
          <w:bCs/>
          <w:kern w:val="0"/>
          <w:sz w:val="28"/>
          <w:szCs w:val="28"/>
          <w:lang w:val="zh-CN"/>
        </w:rPr>
        <w:t>DB 50</w:t>
      </w:r>
      <w:r>
        <w:rPr>
          <w:rFonts w:ascii="黑体" w:hAnsi="黑体" w:eastAsia="黑体" w:cs="Times New Roman"/>
          <w:kern w:val="0"/>
          <w:sz w:val="28"/>
          <w:szCs w:val="28"/>
          <w:lang w:val="zh-CN"/>
        </w:rPr>
        <w:t>/</w:t>
      </w:r>
      <w:r>
        <w:rPr>
          <w:rFonts w:ascii="黑体" w:hAnsi="黑体" w:eastAsia="黑体" w:cs="Times New Roman"/>
          <w:bCs/>
          <w:kern w:val="0"/>
          <w:sz w:val="28"/>
          <w:szCs w:val="28"/>
          <w:lang w:val="zh-CN"/>
        </w:rPr>
        <w:t xml:space="preserve"> </w:t>
      </w:r>
    </w:p>
    <w:p>
      <w:pPr>
        <w:spacing w:line="360" w:lineRule="auto"/>
        <w:jc w:val="right"/>
        <w:rPr>
          <w:rFonts w:ascii="Times New Roman" w:hAnsi="Times New Roman" w:eastAsia="黑体" w:cs="Times New Roman"/>
          <w:bCs/>
          <w:kern w:val="0"/>
          <w:sz w:val="28"/>
          <w:szCs w:val="28"/>
          <w:lang w:val="zh-CN"/>
        </w:rPr>
      </w:pPr>
    </w:p>
    <w:p>
      <w:pPr>
        <w:spacing w:line="360" w:lineRule="auto"/>
        <w:rPr>
          <w:rFonts w:ascii="Times New Roman" w:hAnsi="Times New Roman" w:cs="Times New Roman"/>
          <w:kern w:val="0"/>
          <w:lang w:val="zh-CN"/>
        </w:rPr>
      </w:pPr>
      <w:r>
        <w:rPr>
          <w:rFonts w:ascii="Times New Roman" w:hAnsi="Times New Roman" w:cs="Times New Roman"/>
          <w:kern w:val="0"/>
          <w:sz w:val="24"/>
          <w:szCs w:val="24"/>
        </w:rPr>
        <mc:AlternateContent>
          <mc:Choice Requires="wps">
            <w:drawing>
              <wp:anchor distT="0" distB="0" distL="114300" distR="114300" simplePos="0" relativeHeight="251655168" behindDoc="0" locked="1" layoutInCell="1" allowOverlap="1">
                <wp:simplePos x="0" y="0"/>
                <wp:positionH relativeFrom="column">
                  <wp:posOffset>-47625</wp:posOffset>
                </wp:positionH>
                <wp:positionV relativeFrom="paragraph">
                  <wp:posOffset>-99060</wp:posOffset>
                </wp:positionV>
                <wp:extent cx="6043295" cy="13335"/>
                <wp:effectExtent l="14605" t="13970" r="9525" b="10795"/>
                <wp:wrapNone/>
                <wp:docPr id="6"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6043295" cy="13335"/>
                        </a:xfrm>
                        <a:prstGeom prst="line">
                          <a:avLst/>
                        </a:prstGeom>
                        <a:noFill/>
                        <a:ln w="12700">
                          <a:solidFill>
                            <a:srgbClr val="000000"/>
                          </a:solidFill>
                          <a:round/>
                        </a:ln>
                      </wps:spPr>
                      <wps:bodyPr/>
                    </wps:wsp>
                  </a:graphicData>
                </a:graphic>
              </wp:anchor>
            </w:drawing>
          </mc:Choice>
          <mc:Fallback>
            <w:pict>
              <v:line id="直接连接符 7" o:spid="_x0000_s1026" o:spt="20" style="position:absolute;left:0pt;margin-left:-3.75pt;margin-top:-7.8pt;height:1.05pt;width:475.85pt;z-index:251655168;mso-width-relative:page;mso-height-relative:page;" filled="f" stroked="t" coordsize="21600,21600" o:gfxdata="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rbJm2gAAAAoBAAAPAAAAAAAAAAEAIAAAACIA&#10;AABkcnMvZG93bnJldi54bWxQSwECFAAUAAAACACHTuJAl1ILzM4BAABhAwAADgAAAAAAAAABACAA&#10;AAApAQAAZHJzL2Uyb0RvYy54bWxQSwUGAAAAAAYABgBZAQAAaQUAAAAA&#10;">
                <v:fill on="f" focussize="0,0"/>
                <v:stroke weight="1pt" color="#000000" joinstyle="round"/>
                <v:imagedata o:title=""/>
                <o:lock v:ext="edit" aspectratio="f"/>
                <w10:anchorlock/>
              </v:line>
            </w:pict>
          </mc:Fallback>
        </mc:AlternateContent>
      </w:r>
    </w:p>
    <w:p>
      <w:pPr>
        <w:spacing w:line="540" w:lineRule="exact"/>
        <w:jc w:val="center"/>
        <w:textAlignment w:val="center"/>
        <w:rPr>
          <w:rFonts w:ascii="Times New Roman" w:hAnsi="Times New Roman" w:eastAsia="黑体" w:cs="Times New Roman"/>
          <w:kern w:val="0"/>
          <w:sz w:val="4"/>
          <w:szCs w:val="52"/>
        </w:rPr>
      </w:pPr>
    </w:p>
    <w:p>
      <w:pPr>
        <w:spacing w:line="540" w:lineRule="exact"/>
        <w:jc w:val="center"/>
        <w:textAlignment w:val="center"/>
        <w:rPr>
          <w:rFonts w:ascii="Times New Roman" w:hAnsi="Times New Roman" w:eastAsia="黑体" w:cs="Times New Roman"/>
          <w:kern w:val="0"/>
          <w:sz w:val="13"/>
          <w:szCs w:val="52"/>
        </w:rPr>
      </w:pPr>
    </w:p>
    <w:p>
      <w:pPr>
        <w:spacing w:line="540" w:lineRule="exact"/>
        <w:jc w:val="center"/>
        <w:textAlignment w:val="center"/>
        <w:rPr>
          <w:rFonts w:ascii="Times New Roman" w:hAnsi="Times New Roman" w:eastAsia="黑体" w:cs="Times New Roman"/>
          <w:kern w:val="0"/>
          <w:sz w:val="13"/>
          <w:szCs w:val="52"/>
        </w:rPr>
      </w:pPr>
    </w:p>
    <w:p>
      <w:pPr>
        <w:spacing w:line="360" w:lineRule="auto"/>
        <w:jc w:val="center"/>
        <w:textAlignment w:val="center"/>
        <w:rPr>
          <w:rFonts w:ascii="Times New Roman" w:hAnsi="Times New Roman" w:cs="Times New Roman"/>
          <w:kern w:val="0"/>
          <w:sz w:val="2"/>
          <w:szCs w:val="28"/>
        </w:rPr>
      </w:pPr>
    </w:p>
    <w:p>
      <w:pPr>
        <w:adjustRightInd w:val="0"/>
        <w:snapToGrid w:val="0"/>
        <w:spacing w:line="360" w:lineRule="auto"/>
        <w:jc w:val="center"/>
        <w:rPr>
          <w:rFonts w:ascii="Times New Roman" w:hAnsi="Times New Roman" w:eastAsia="黑体" w:cs="Times New Roman"/>
          <w:kern w:val="0"/>
          <w:sz w:val="48"/>
          <w:szCs w:val="48"/>
        </w:rPr>
      </w:pPr>
      <w:r>
        <w:rPr>
          <w:rFonts w:hint="eastAsia" w:ascii="Times New Roman" w:hAnsi="Times New Roman" w:eastAsia="黑体" w:cs="Times New Roman"/>
          <w:kern w:val="0"/>
          <w:sz w:val="48"/>
          <w:szCs w:val="48"/>
        </w:rPr>
        <w:t>榨菜行业水污染物排放标准</w:t>
      </w:r>
    </w:p>
    <w:p>
      <w:pPr>
        <w:spacing w:line="480" w:lineRule="auto"/>
        <w:jc w:val="center"/>
        <w:rPr>
          <w:rFonts w:ascii="Times New Roman" w:hAnsi="Times New Roman" w:cs="Times New Roman"/>
          <w:kern w:val="0"/>
        </w:rPr>
      </w:pPr>
      <w:r>
        <w:rPr>
          <w:rFonts w:ascii="Times New Roman" w:hAnsi="Times New Roman" w:eastAsia="黑体" w:cs="Times New Roman"/>
          <w:b/>
          <w:kern w:val="0"/>
          <w:sz w:val="28"/>
          <w:szCs w:val="28"/>
        </w:rPr>
        <w:t>Discharge standard of water pollutants for mustard tuber industry</w:t>
      </w:r>
    </w:p>
    <w:p>
      <w:pPr>
        <w:spacing w:line="480" w:lineRule="auto"/>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w:t>
      </w:r>
      <w:r>
        <w:rPr>
          <w:rFonts w:hint="eastAsia" w:ascii="Times New Roman" w:hAnsi="Times New Roman" w:eastAsia="黑体" w:cs="Times New Roman"/>
          <w:kern w:val="0"/>
          <w:sz w:val="28"/>
          <w:szCs w:val="28"/>
          <w:lang w:val="zh-CN"/>
        </w:rPr>
        <w:t>征求意见稿</w:t>
      </w:r>
      <w:r>
        <w:rPr>
          <w:rFonts w:ascii="Times New Roman" w:hAnsi="Times New Roman" w:eastAsia="黑体" w:cs="Times New Roman"/>
          <w:kern w:val="0"/>
          <w:sz w:val="28"/>
          <w:szCs w:val="28"/>
        </w:rPr>
        <w:t>）</w:t>
      </w:r>
    </w:p>
    <w:p>
      <w:pPr>
        <w:spacing w:line="480" w:lineRule="auto"/>
        <w:rPr>
          <w:rFonts w:ascii="Times New Roman" w:hAnsi="Times New Roman" w:cs="Times New Roman"/>
          <w:kern w:val="0"/>
        </w:rPr>
      </w:pPr>
    </w:p>
    <w:p>
      <w:pPr>
        <w:spacing w:line="480" w:lineRule="auto"/>
        <w:rPr>
          <w:rFonts w:ascii="Times New Roman" w:hAnsi="Times New Roman" w:cs="Times New Roman"/>
          <w:kern w:val="0"/>
        </w:rPr>
      </w:pPr>
    </w:p>
    <w:p>
      <w:pPr>
        <w:spacing w:line="480" w:lineRule="auto"/>
        <w:rPr>
          <w:rFonts w:ascii="Times New Roman" w:hAnsi="Times New Roman" w:cs="Times New Roman"/>
          <w:kern w:val="0"/>
        </w:rPr>
      </w:pPr>
    </w:p>
    <w:p>
      <w:pPr>
        <w:spacing w:line="480" w:lineRule="auto"/>
        <w:rPr>
          <w:rFonts w:ascii="Times New Roman" w:hAnsi="Times New Roman" w:cs="Times New Roman"/>
          <w:kern w:val="0"/>
        </w:rPr>
      </w:pPr>
    </w:p>
    <w:p>
      <w:pPr>
        <w:spacing w:line="480" w:lineRule="auto"/>
        <w:rPr>
          <w:rFonts w:ascii="Times New Roman" w:hAnsi="Times New Roman" w:cs="Times New Roman"/>
          <w:kern w:val="0"/>
        </w:rPr>
      </w:pPr>
    </w:p>
    <w:p>
      <w:pPr>
        <w:spacing w:line="480" w:lineRule="auto"/>
        <w:rPr>
          <w:rFonts w:ascii="Times New Roman" w:hAnsi="Times New Roman" w:cs="Times New Roman"/>
          <w:kern w:val="0"/>
        </w:rPr>
      </w:pPr>
    </w:p>
    <w:p>
      <w:pPr>
        <w:spacing w:line="480" w:lineRule="auto"/>
        <w:rPr>
          <w:rFonts w:ascii="Times New Roman" w:hAnsi="Times New Roman" w:cs="Times New Roman"/>
          <w:kern w:val="0"/>
          <w:sz w:val="13"/>
          <w:szCs w:val="24"/>
        </w:rPr>
      </w:pPr>
    </w:p>
    <w:p>
      <w:pPr>
        <w:tabs>
          <w:tab w:val="left" w:pos="6655"/>
        </w:tabs>
        <w:spacing w:before="163"/>
        <w:ind w:left="254"/>
        <w:rPr>
          <w:rFonts w:ascii="Times New Roman" w:hAnsi="Times New Roman" w:eastAsia="黑体" w:cs="Times New Roman"/>
          <w:sz w:val="28"/>
        </w:rPr>
      </w:pPr>
      <w:r>
        <w:rPr>
          <w:rFonts w:ascii="黑体" w:hAnsi="黑体" w:eastAsia="黑体" w:cs="Times New Roman"/>
          <w:sz w:val="28"/>
        </w:rPr>
        <w:t>20XX - XX - XX</w:t>
      </w:r>
      <w:r>
        <w:rPr>
          <w:rFonts w:ascii="黑体" w:hAnsi="黑体" w:eastAsia="黑体" w:cs="Times New Roman"/>
          <w:spacing w:val="-5"/>
          <w:sz w:val="28"/>
        </w:rPr>
        <w:t xml:space="preserve"> </w:t>
      </w:r>
      <w:r>
        <w:rPr>
          <w:rFonts w:ascii="黑体" w:hAnsi="黑体" w:eastAsia="黑体" w:cs="Times New Roman"/>
          <w:sz w:val="28"/>
        </w:rPr>
        <w:t>发布</w:t>
      </w:r>
      <w:r>
        <w:rPr>
          <w:rFonts w:ascii="Times New Roman" w:hAnsi="Times New Roman" w:eastAsia="黑体" w:cs="Times New Roman"/>
          <w:sz w:val="28"/>
        </w:rPr>
        <w:tab/>
      </w:r>
      <w:r>
        <w:rPr>
          <w:rFonts w:ascii="黑体" w:hAnsi="黑体" w:eastAsia="黑体" w:cs="Times New Roman"/>
          <w:position w:val="-4"/>
          <w:sz w:val="28"/>
        </w:rPr>
        <w:t>20XX -</w:t>
      </w:r>
      <w:r>
        <w:rPr>
          <w:rFonts w:ascii="黑体" w:hAnsi="黑体" w:eastAsia="黑体" w:cs="Times New Roman"/>
          <w:spacing w:val="-1"/>
          <w:position w:val="-4"/>
          <w:sz w:val="28"/>
        </w:rPr>
        <w:t xml:space="preserve"> </w:t>
      </w:r>
      <w:r>
        <w:rPr>
          <w:rFonts w:ascii="黑体" w:hAnsi="黑体" w:eastAsia="黑体" w:cs="Times New Roman"/>
          <w:position w:val="-4"/>
          <w:sz w:val="28"/>
        </w:rPr>
        <w:t>XX -</w:t>
      </w:r>
      <w:r>
        <w:rPr>
          <w:rFonts w:ascii="黑体" w:hAnsi="黑体" w:eastAsia="黑体" w:cs="Times New Roman"/>
          <w:spacing w:val="-2"/>
          <w:position w:val="-4"/>
          <w:sz w:val="28"/>
        </w:rPr>
        <w:t xml:space="preserve"> </w:t>
      </w:r>
      <w:r>
        <w:rPr>
          <w:rFonts w:ascii="黑体" w:hAnsi="黑体" w:eastAsia="黑体" w:cs="Times New Roman"/>
          <w:position w:val="-4"/>
          <w:sz w:val="28"/>
        </w:rPr>
        <w:t>XX</w:t>
      </w:r>
      <w:r>
        <w:rPr>
          <w:rFonts w:ascii="黑体" w:hAnsi="黑体" w:eastAsia="黑体" w:cs="Times New Roman"/>
          <w:spacing w:val="-2"/>
          <w:position w:val="-4"/>
          <w:sz w:val="28"/>
        </w:rPr>
        <w:t xml:space="preserve"> </w:t>
      </w:r>
      <w:r>
        <w:rPr>
          <w:rFonts w:ascii="黑体" w:hAnsi="黑体" w:eastAsia="黑体" w:cs="Times New Roman"/>
          <w:position w:val="-4"/>
          <w:sz w:val="28"/>
        </w:rPr>
        <w:t>实施</w:t>
      </w:r>
    </w:p>
    <w:p>
      <w:pPr>
        <w:spacing w:line="480" w:lineRule="auto"/>
        <w:ind w:firstLine="880"/>
        <w:rPr>
          <w:rFonts w:ascii="Times New Roman" w:hAnsi="Times New Roman" w:cs="Times New Roman"/>
          <w:kern w:val="0"/>
          <w:sz w:val="24"/>
          <w:szCs w:val="24"/>
          <w:lang w:val="zh-CN"/>
        </w:rPr>
      </w:pPr>
      <w:r>
        <w:rPr>
          <w:rFonts w:ascii="Times New Roman" w:hAnsi="Times New Roman" w:eastAsia="黑体" w:cs="Times New Roman"/>
          <w:kern w:val="0"/>
          <w:sz w:val="44"/>
          <w:szCs w:val="44"/>
        </w:rPr>
        <mc:AlternateContent>
          <mc:Choice Requires="wps">
            <w:drawing>
              <wp:anchor distT="0" distB="0" distL="114300" distR="114300" simplePos="0" relativeHeight="251658240" behindDoc="0" locked="0" layoutInCell="1" allowOverlap="1">
                <wp:simplePos x="0" y="0"/>
                <wp:positionH relativeFrom="column">
                  <wp:posOffset>689610</wp:posOffset>
                </wp:positionH>
                <wp:positionV relativeFrom="paragraph">
                  <wp:posOffset>170815</wp:posOffset>
                </wp:positionV>
                <wp:extent cx="3952875" cy="693420"/>
                <wp:effectExtent l="0" t="0" r="9525" b="0"/>
                <wp:wrapNone/>
                <wp:docPr id="4"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952875" cy="693420"/>
                        </a:xfrm>
                        <a:prstGeom prst="rect">
                          <a:avLst/>
                        </a:prstGeom>
                        <a:solidFill>
                          <a:srgbClr val="FFFFFF"/>
                        </a:solidFill>
                        <a:ln>
                          <a:noFill/>
                        </a:ln>
                      </wps:spPr>
                      <wps:txbx>
                        <w:txbxContent>
                          <w:p>
                            <w:pPr>
                              <w:pStyle w:val="52"/>
                              <w:jc w:val="distribute"/>
                              <w:rPr>
                                <w:b/>
                                <w:bCs/>
                                <w:spacing w:val="0"/>
                              </w:rPr>
                            </w:pPr>
                            <w:r>
                              <w:rPr>
                                <w:rFonts w:hint="eastAsia"/>
                                <w:b/>
                                <w:bCs/>
                                <w:spacing w:val="0"/>
                              </w:rPr>
                              <w:t>重庆市生态环境局</w:t>
                            </w:r>
                          </w:p>
                          <w:p>
                            <w:pPr>
                              <w:pStyle w:val="52"/>
                              <w:jc w:val="distribute"/>
                              <w:rPr>
                                <w:rFonts w:cs="Times New Roman"/>
                                <w:b/>
                                <w:bCs/>
                                <w:spacing w:val="0"/>
                              </w:rPr>
                            </w:pPr>
                            <w:r>
                              <w:rPr>
                                <w:rFonts w:hint="eastAsia"/>
                                <w:b/>
                                <w:bCs/>
                                <w:spacing w:val="0"/>
                              </w:rPr>
                              <w:t>重庆市市场监督管理</w:t>
                            </w:r>
                            <w:r>
                              <w:rPr>
                                <w:rFonts w:hint="eastAsia"/>
                                <w:b/>
                              </w:rPr>
                              <w:t>局</w:t>
                            </w:r>
                          </w:p>
                        </w:txbxContent>
                      </wps:txbx>
                      <wps:bodyPr rot="0" vert="horz" wrap="square" lIns="0" tIns="0" rIns="0" bIns="0" anchor="t" anchorCtr="0" upright="1">
                        <a:noAutofit/>
                      </wps:bodyPr>
                    </wps:wsp>
                  </a:graphicData>
                </a:graphic>
              </wp:anchor>
            </w:drawing>
          </mc:Choice>
          <mc:Fallback>
            <w:pict>
              <v:shape id="文本框 5" o:spid="_x0000_s1026" o:spt="202" type="#_x0000_t202" style="position:absolute;left:0pt;margin-left:54.3pt;margin-top:13.45pt;height:54.6pt;width:311.25pt;z-index:251658240;mso-width-relative:page;mso-height-relative:page;" fillcolor="#FFFFFF" filled="t" stroked="f" coordsize="21600,21600" o:gfxdata="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RR9M/YAAAACgEAAA8AAAAAAAAAAQAgAAAAIgAA&#10;AGRycy9kb3ducmV2LnhtbFBLAQIUABQAAAAIAIdO4kAqGoRXCAIAAOADAAAOAAAAAAAAAAEAIAAA&#10;ACcBAABkcnMvZTJvRG9jLnhtbFBLBQYAAAAABgAGAFkBAAChBQAAAAA=&#10;">
                <v:fill on="t" focussize="0,0"/>
                <v:stroke on="f"/>
                <v:imagedata o:title=""/>
                <o:lock v:ext="edit" aspectratio="f"/>
                <v:textbox inset="0mm,0mm,0mm,0mm">
                  <w:txbxContent>
                    <w:p>
                      <w:pPr>
                        <w:pStyle w:val="52"/>
                        <w:jc w:val="distribute"/>
                        <w:rPr>
                          <w:b/>
                          <w:bCs/>
                          <w:spacing w:val="0"/>
                        </w:rPr>
                      </w:pPr>
                      <w:r>
                        <w:rPr>
                          <w:rFonts w:hint="eastAsia"/>
                          <w:b/>
                          <w:bCs/>
                          <w:spacing w:val="0"/>
                        </w:rPr>
                        <w:t>重庆市生态环境局</w:t>
                      </w:r>
                    </w:p>
                    <w:p>
                      <w:pPr>
                        <w:pStyle w:val="52"/>
                        <w:jc w:val="distribute"/>
                        <w:rPr>
                          <w:rFonts w:cs="Times New Roman"/>
                          <w:b/>
                          <w:bCs/>
                          <w:spacing w:val="0"/>
                        </w:rPr>
                      </w:pPr>
                      <w:r>
                        <w:rPr>
                          <w:rFonts w:hint="eastAsia"/>
                          <w:b/>
                          <w:bCs/>
                          <w:spacing w:val="0"/>
                        </w:rPr>
                        <w:t>重庆市市场监督管理</w:t>
                      </w:r>
                      <w:r>
                        <w:rPr>
                          <w:rFonts w:hint="eastAsia"/>
                          <w:b/>
                        </w:rPr>
                        <w:t>局</w:t>
                      </w:r>
                    </w:p>
                  </w:txbxContent>
                </v:textbox>
              </v:shape>
            </w:pict>
          </mc:Fallback>
        </mc:AlternateContent>
      </w:r>
      <w:r>
        <w:rPr>
          <w:rFonts w:ascii="Times New Roman" w:hAnsi="Times New Roman" w:cs="Times New Roman"/>
          <w:kern w:val="0"/>
          <w:sz w:val="24"/>
          <w:szCs w:val="24"/>
        </w:rPr>
        <mc:AlternateContent>
          <mc:Choice Requires="wps">
            <w:drawing>
              <wp:anchor distT="0" distB="0" distL="114300" distR="114300" simplePos="0" relativeHeight="251656192" behindDoc="0" locked="0" layoutInCell="1" allowOverlap="1">
                <wp:simplePos x="0" y="0"/>
                <wp:positionH relativeFrom="column">
                  <wp:posOffset>4674870</wp:posOffset>
                </wp:positionH>
                <wp:positionV relativeFrom="paragraph">
                  <wp:posOffset>295910</wp:posOffset>
                </wp:positionV>
                <wp:extent cx="666750" cy="450215"/>
                <wp:effectExtent l="3175" t="2540" r="6350" b="4445"/>
                <wp:wrapNone/>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66750" cy="450215"/>
                        </a:xfrm>
                        <a:prstGeom prst="rect">
                          <a:avLst/>
                        </a:prstGeom>
                        <a:solidFill>
                          <a:srgbClr val="FFFFFF">
                            <a:alpha val="0"/>
                          </a:srgbClr>
                        </a:solidFill>
                        <a:ln>
                          <a:noFill/>
                        </a:ln>
                      </wps:spPr>
                      <wps:txbx>
                        <w:txbxContent>
                          <w:p>
                            <w:pPr>
                              <w:rPr>
                                <w:rFonts w:cs="Times New Roman"/>
                                <w:b/>
                                <w:bCs/>
                                <w:sz w:val="28"/>
                                <w:szCs w:val="28"/>
                              </w:rPr>
                            </w:pPr>
                            <w:r>
                              <w:rPr>
                                <w:rFonts w:hint="eastAsia" w:cs="宋体"/>
                                <w:b/>
                                <w:bCs/>
                                <w:sz w:val="28"/>
                                <w:szCs w:val="28"/>
                              </w:rPr>
                              <w:t>发布</w:t>
                            </w:r>
                          </w:p>
                        </w:txbxContent>
                      </wps:txbx>
                      <wps:bodyPr rot="0" vert="horz" wrap="square" lIns="91440" tIns="36000" rIns="91440" bIns="45720" anchor="t" anchorCtr="0" upright="1">
                        <a:noAutofit/>
                      </wps:bodyPr>
                    </wps:wsp>
                  </a:graphicData>
                </a:graphic>
              </wp:anchor>
            </w:drawing>
          </mc:Choice>
          <mc:Fallback>
            <w:pict>
              <v:shape id="文本框 2" o:spid="_x0000_s1026" o:spt="202" type="#_x0000_t202" style="position:absolute;left:0pt;margin-left:368.1pt;margin-top:23.3pt;height:35.45pt;width:52.5pt;z-index:251656192;mso-width-relative:page;mso-height-relative:page;" fillcolor="#FFFFFF" filled="t" stroked="f" coordsize="21600,21600" o:gfxdata="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E5c9oA&#10;AAAKAQAADwAAAAAAAAABACAAAAAiAAAAZHJzL2Rvd25yZXYueG1sUEsBAhQAFAAAAAgAh07iQAhT&#10;oRgdAgAADAQAAA4AAAAAAAAAAQAgAAAAKQEAAGRycy9lMm9Eb2MueG1sUEsFBgAAAAAGAAYAWQEA&#10;ALgFAAAAAA==&#10;">
                <v:fill on="t" opacity="0f" focussize="0,0"/>
                <v:stroke on="f"/>
                <v:imagedata o:title=""/>
                <o:lock v:ext="edit" aspectratio="f"/>
                <v:textbox inset="2.54mm,1mm,2.54mm,1.27mm">
                  <w:txbxContent>
                    <w:p>
                      <w:pPr>
                        <w:rPr>
                          <w:rFonts w:cs="Times New Roman"/>
                          <w:b/>
                          <w:bCs/>
                          <w:sz w:val="28"/>
                          <w:szCs w:val="28"/>
                        </w:rPr>
                      </w:pPr>
                      <w:r>
                        <w:rPr>
                          <w:rFonts w:hint="eastAsia" w:cs="宋体"/>
                          <w:b/>
                          <w:bCs/>
                          <w:sz w:val="28"/>
                          <w:szCs w:val="28"/>
                        </w:rPr>
                        <w:t>发布</w:t>
                      </w:r>
                    </w:p>
                  </w:txbxContent>
                </v:textbox>
              </v:shape>
            </w:pict>
          </mc:Fallback>
        </mc:AlternateContent>
      </w:r>
      <w:r>
        <w:rPr>
          <w:rFonts w:ascii="Times New Roman" w:hAnsi="Times New Roman" w:cs="Times New Roman"/>
          <w:kern w:val="0"/>
          <w:sz w:val="24"/>
          <w:szCs w:val="24"/>
        </w:rPr>
        <mc:AlternateContent>
          <mc:Choice Requires="wps">
            <w:drawing>
              <wp:anchor distT="0" distB="0" distL="114300" distR="114300" simplePos="0" relativeHeight="251657216" behindDoc="0" locked="0" layoutInCell="1" allowOverlap="1">
                <wp:simplePos x="0" y="0"/>
                <wp:positionH relativeFrom="column">
                  <wp:posOffset>19050</wp:posOffset>
                </wp:positionH>
                <wp:positionV relativeFrom="paragraph">
                  <wp:posOffset>45085</wp:posOffset>
                </wp:positionV>
                <wp:extent cx="6120130" cy="0"/>
                <wp:effectExtent l="14605" t="8890" r="8890" b="10160"/>
                <wp:wrapNone/>
                <wp:docPr id="3"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000000"/>
                          </a:solidFill>
                          <a:round/>
                        </a:ln>
                      </wps:spPr>
                      <wps:bodyPr/>
                    </wps:wsp>
                  </a:graphicData>
                </a:graphic>
              </wp:anchor>
            </w:drawing>
          </mc:Choice>
          <mc:Fallback>
            <w:pict>
              <v:line id="直接连接符 6" o:spid="_x0000_s1026" o:spt="20" style="position:absolute;left:0pt;margin-left:1.5pt;margin-top:3.55pt;height:0pt;width:481.9pt;z-index:251657216;mso-width-relative:page;mso-height-relative:page;" filled="f" stroked="t" coordsize="21600,21600" o:gfxdata="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N5lUL9UAAAAFAQAADwAAAAAAAAABACAAAAAiAAAAZHJzL2Rvd25y&#10;ZXYueG1sUEsBAhQAFAAAAAgAh07iQAeJbZ7IAQAAXQMAAA4AAAAAAAAAAQAgAAAAJAEAAGRycy9l&#10;Mm9Eb2MueG1sUEsFBgAAAAAGAAYAWQEAAF4FAAAAAA==&#10;">
                <v:fill on="f" focussize="0,0"/>
                <v:stroke weight="1pt" color="#000000" joinstyle="round"/>
                <v:imagedata o:title=""/>
                <o:lock v:ext="edit" aspectratio="f"/>
              </v:line>
            </w:pict>
          </mc:Fallback>
        </mc:AlternateContent>
      </w:r>
      <w:r>
        <w:rPr>
          <w:rFonts w:ascii="Times New Roman" w:hAnsi="Times New Roman" w:cs="Times New Roman"/>
          <w:kern w:val="0"/>
          <w:sz w:val="24"/>
          <w:szCs w:val="24"/>
        </w:rPr>
        <mc:AlternateContent>
          <mc:Choice Requires="wps">
            <w:drawing>
              <wp:anchor distT="0" distB="0" distL="114300" distR="114300" simplePos="0" relativeHeight="251654144" behindDoc="0" locked="1" layoutInCell="1" allowOverlap="1">
                <wp:simplePos x="0" y="0"/>
                <wp:positionH relativeFrom="column">
                  <wp:posOffset>0</wp:posOffset>
                </wp:positionH>
                <wp:positionV relativeFrom="paragraph">
                  <wp:posOffset>325755</wp:posOffset>
                </wp:positionV>
                <wp:extent cx="5943600" cy="0"/>
                <wp:effectExtent l="14605" t="13335" r="13970" b="1524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FFFFFF"/>
                          </a:solidFill>
                          <a:round/>
                        </a:ln>
                      </wps:spPr>
                      <wps:bodyPr/>
                    </wps:wsp>
                  </a:graphicData>
                </a:graphic>
              </wp:anchor>
            </w:drawing>
          </mc:Choice>
          <mc:Fallback>
            <w:pict>
              <v:line id="直接连接符 1" o:spid="_x0000_s1026" o:spt="20" style="position:absolute;left:0pt;margin-left:0pt;margin-top:25.65pt;height:0pt;width:468pt;z-index:251654144;mso-width-relative:page;mso-height-relative:page;" filled="f" stroked="t" coordsize="21600,21600" o:gfxdata="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5FPLb1AAAAAYBAAAPAAAAAAAAAAEAIAAAACIAAABkcnMvZG93bnJl&#10;di54bWxQSwECFAAUAAAACACHTuJA/gTNO8gBAABdAwAADgAAAAAAAAABACAAAAAjAQAAZHJzL2Uy&#10;b0RvYy54bWxQSwUGAAAAAAYABgBZAQAAXQUAAAAA&#10;">
                <v:fill on="f" focussize="0,0"/>
                <v:stroke weight="1pt" color="#FFFFFF" joinstyle="round"/>
                <v:imagedata o:title=""/>
                <o:lock v:ext="edit" aspectratio="f"/>
                <w10:anchorlock/>
              </v:line>
            </w:pict>
          </mc:Fallback>
        </mc:AlternateContent>
      </w:r>
    </w:p>
    <w:p>
      <w:pPr>
        <w:pStyle w:val="15"/>
        <w:spacing w:line="360" w:lineRule="auto"/>
        <w:ind w:firstLine="480"/>
        <w:sectPr>
          <w:headerReference r:id="rId3" w:type="default"/>
          <w:footerReference r:id="rId5" w:type="default"/>
          <w:headerReference r:id="rId4" w:type="even"/>
          <w:footerReference r:id="rId6" w:type="even"/>
          <w:pgSz w:w="11906" w:h="16838"/>
          <w:pgMar w:top="567" w:right="1134" w:bottom="1134" w:left="1418" w:header="1134" w:footer="851" w:gutter="0"/>
          <w:pgNumType w:fmt="upperRoman" w:start="1"/>
          <w:cols w:space="720" w:num="1"/>
          <w:titlePg/>
          <w:docGrid w:linePitch="312" w:charSpace="0"/>
        </w:sectPr>
      </w:pPr>
    </w:p>
    <w:p>
      <w:pPr>
        <w:pStyle w:val="48"/>
        <w:spacing w:before="0"/>
        <w:outlineLvl w:val="9"/>
        <w:rPr>
          <w:rFonts w:ascii="Times New Roman" w:cs="Times New Roman"/>
        </w:rPr>
      </w:pPr>
      <w:bookmarkStart w:id="0" w:name="_Toc211314240"/>
      <w:bookmarkStart w:id="1" w:name="_Toc287880311"/>
      <w:bookmarkStart w:id="2" w:name="_Toc107826789"/>
      <w:bookmarkStart w:id="3" w:name="_Toc303151707"/>
      <w:bookmarkStart w:id="4" w:name="_Toc217901507"/>
      <w:bookmarkStart w:id="5" w:name="_Toc442168286"/>
      <w:bookmarkStart w:id="6" w:name="_Toc206845518"/>
      <w:r>
        <w:rPr>
          <w:rFonts w:ascii="Times New Roman" w:cs="Times New Roman"/>
        </w:rPr>
        <w:t>目  次</w:t>
      </w:r>
      <w:bookmarkEnd w:id="0"/>
      <w:bookmarkEnd w:id="1"/>
      <w:bookmarkEnd w:id="2"/>
      <w:bookmarkEnd w:id="3"/>
      <w:bookmarkEnd w:id="4"/>
      <w:bookmarkEnd w:id="5"/>
      <w:bookmarkEnd w:id="6"/>
    </w:p>
    <w:p>
      <w:pPr>
        <w:pStyle w:val="22"/>
        <w:tabs>
          <w:tab w:val="right" w:leader="dot" w:pos="9344"/>
        </w:tabs>
        <w:spacing w:line="360" w:lineRule="auto"/>
        <w:rPr>
          <w:rFonts w:asciiTheme="minorHAnsi" w:hAnsiTheme="minorHAnsi" w:eastAsiaTheme="minorEastAsia" w:cstheme="minorBidi"/>
        </w:rPr>
      </w:pPr>
      <w:r>
        <w:rPr>
          <w:rFonts w:ascii="宋体" w:hAnsi="宋体" w:cs="Times New Roman"/>
          <w:kern w:val="0"/>
        </w:rPr>
        <w:fldChar w:fldCharType="begin"/>
      </w:r>
      <w:r>
        <w:rPr>
          <w:rFonts w:ascii="宋体" w:hAnsi="宋体" w:cs="Times New Roman"/>
          <w:kern w:val="0"/>
        </w:rPr>
        <w:instrText xml:space="preserve"> TOC \o "1-1" \h \z \u </w:instrText>
      </w:r>
      <w:r>
        <w:rPr>
          <w:rFonts w:ascii="宋体" w:hAnsi="宋体" w:cs="Times New Roman"/>
          <w:kern w:val="0"/>
        </w:rPr>
        <w:fldChar w:fldCharType="separate"/>
      </w:r>
      <w:r>
        <w:fldChar w:fldCharType="begin"/>
      </w:r>
      <w:r>
        <w:instrText xml:space="preserve"> HYPERLINK \l "_Toc46345903" </w:instrText>
      </w:r>
      <w:r>
        <w:fldChar w:fldCharType="separate"/>
      </w:r>
      <w:r>
        <w:rPr>
          <w:rStyle w:val="30"/>
          <w:rFonts w:hint="eastAsia" w:ascii="Times New Roman"/>
          <w:color w:val="auto"/>
        </w:rPr>
        <w:t>前</w:t>
      </w:r>
      <w:r>
        <w:rPr>
          <w:rStyle w:val="30"/>
          <w:rFonts w:ascii="Times New Roman"/>
          <w:color w:val="auto"/>
        </w:rPr>
        <w:t xml:space="preserve">  </w:t>
      </w:r>
      <w:r>
        <w:rPr>
          <w:rStyle w:val="30"/>
          <w:rFonts w:hint="eastAsia" w:ascii="Times New Roman"/>
          <w:color w:val="auto"/>
        </w:rPr>
        <w:t>言</w:t>
      </w:r>
      <w:r>
        <w:tab/>
      </w:r>
      <w:r>
        <w:fldChar w:fldCharType="begin"/>
      </w:r>
      <w:r>
        <w:instrText xml:space="preserve"> PAGEREF _Toc46345903 \h </w:instrText>
      </w:r>
      <w:r>
        <w:fldChar w:fldCharType="separate"/>
      </w:r>
      <w:r>
        <w:t>II</w:t>
      </w:r>
      <w:r>
        <w:fldChar w:fldCharType="end"/>
      </w:r>
      <w:r>
        <w:fldChar w:fldCharType="end"/>
      </w:r>
    </w:p>
    <w:p>
      <w:pPr>
        <w:pStyle w:val="22"/>
        <w:tabs>
          <w:tab w:val="right" w:leader="dot" w:pos="9344"/>
        </w:tabs>
        <w:spacing w:line="360" w:lineRule="auto"/>
        <w:rPr>
          <w:rFonts w:asciiTheme="minorHAnsi" w:hAnsiTheme="minorHAnsi" w:eastAsiaTheme="minorEastAsia" w:cstheme="minorBidi"/>
        </w:rPr>
      </w:pPr>
      <w:r>
        <w:fldChar w:fldCharType="begin"/>
      </w:r>
      <w:r>
        <w:instrText xml:space="preserve"> HYPERLINK \l "_Toc46345907" </w:instrText>
      </w:r>
      <w:r>
        <w:fldChar w:fldCharType="separate"/>
      </w:r>
      <w:r>
        <w:rPr>
          <w:rFonts w:asciiTheme="minorHAnsi" w:hAnsiTheme="minorHAnsi" w:eastAsiaTheme="minorEastAsia" w:cstheme="minorBidi"/>
        </w:rPr>
        <w:t xml:space="preserve">1  </w:t>
      </w:r>
      <w:r>
        <w:rPr>
          <w:rStyle w:val="30"/>
          <w:rFonts w:hint="eastAsia"/>
          <w:color w:val="auto"/>
        </w:rPr>
        <w:t>范围</w:t>
      </w:r>
      <w:r>
        <w:tab/>
      </w:r>
      <w:r>
        <w:fldChar w:fldCharType="begin"/>
      </w:r>
      <w:r>
        <w:instrText xml:space="preserve"> PAGEREF _Toc46345907 \h </w:instrText>
      </w:r>
      <w:r>
        <w:fldChar w:fldCharType="separate"/>
      </w:r>
      <w:r>
        <w:t>1</w:t>
      </w:r>
      <w:r>
        <w:fldChar w:fldCharType="end"/>
      </w:r>
      <w:r>
        <w:fldChar w:fldCharType="end"/>
      </w:r>
    </w:p>
    <w:p>
      <w:pPr>
        <w:pStyle w:val="22"/>
        <w:tabs>
          <w:tab w:val="right" w:leader="dot" w:pos="9344"/>
        </w:tabs>
        <w:spacing w:line="360" w:lineRule="auto"/>
        <w:rPr>
          <w:rFonts w:asciiTheme="minorHAnsi" w:hAnsiTheme="minorHAnsi" w:eastAsiaTheme="minorEastAsia" w:cstheme="minorBidi"/>
        </w:rPr>
      </w:pPr>
      <w:r>
        <w:fldChar w:fldCharType="begin"/>
      </w:r>
      <w:r>
        <w:instrText xml:space="preserve"> HYPERLINK \l "_Toc46345908" </w:instrText>
      </w:r>
      <w:r>
        <w:fldChar w:fldCharType="separate"/>
      </w:r>
      <w:r>
        <w:rPr>
          <w:rFonts w:asciiTheme="minorHAnsi" w:hAnsiTheme="minorHAnsi" w:eastAsiaTheme="minorEastAsia" w:cstheme="minorBidi"/>
        </w:rPr>
        <w:t xml:space="preserve">2  </w:t>
      </w:r>
      <w:r>
        <w:rPr>
          <w:rStyle w:val="30"/>
          <w:rFonts w:hint="eastAsia"/>
          <w:color w:val="auto"/>
        </w:rPr>
        <w:t>规范性引用文件</w:t>
      </w:r>
      <w:r>
        <w:tab/>
      </w:r>
      <w:r>
        <w:fldChar w:fldCharType="begin"/>
      </w:r>
      <w:r>
        <w:instrText xml:space="preserve"> PAGEREF _Toc46345908 \h </w:instrText>
      </w:r>
      <w:r>
        <w:fldChar w:fldCharType="separate"/>
      </w:r>
      <w:r>
        <w:t>1</w:t>
      </w:r>
      <w:r>
        <w:fldChar w:fldCharType="end"/>
      </w:r>
      <w:r>
        <w:fldChar w:fldCharType="end"/>
      </w:r>
    </w:p>
    <w:p>
      <w:pPr>
        <w:pStyle w:val="22"/>
        <w:tabs>
          <w:tab w:val="right" w:leader="dot" w:pos="9344"/>
        </w:tabs>
        <w:spacing w:line="360" w:lineRule="auto"/>
        <w:rPr>
          <w:rFonts w:asciiTheme="minorHAnsi" w:hAnsiTheme="minorHAnsi" w:eastAsiaTheme="minorEastAsia" w:cstheme="minorBidi"/>
        </w:rPr>
      </w:pPr>
      <w:r>
        <w:fldChar w:fldCharType="begin"/>
      </w:r>
      <w:r>
        <w:instrText xml:space="preserve"> HYPERLINK \l "_Toc46345909" </w:instrText>
      </w:r>
      <w:r>
        <w:fldChar w:fldCharType="separate"/>
      </w:r>
      <w:r>
        <w:rPr>
          <w:rFonts w:asciiTheme="minorHAnsi" w:hAnsiTheme="minorHAnsi" w:eastAsiaTheme="minorEastAsia" w:cstheme="minorBidi"/>
        </w:rPr>
        <w:t xml:space="preserve">3  </w:t>
      </w:r>
      <w:r>
        <w:rPr>
          <w:rStyle w:val="30"/>
          <w:rFonts w:hint="eastAsia"/>
          <w:color w:val="auto"/>
        </w:rPr>
        <w:t>术语和定义</w:t>
      </w:r>
      <w:r>
        <w:tab/>
      </w:r>
      <w:r>
        <w:fldChar w:fldCharType="begin"/>
      </w:r>
      <w:r>
        <w:instrText xml:space="preserve"> PAGEREF _Toc46345909 \h </w:instrText>
      </w:r>
      <w:r>
        <w:fldChar w:fldCharType="separate"/>
      </w:r>
      <w:r>
        <w:t>1</w:t>
      </w:r>
      <w:r>
        <w:fldChar w:fldCharType="end"/>
      </w:r>
      <w:r>
        <w:fldChar w:fldCharType="end"/>
      </w:r>
    </w:p>
    <w:p>
      <w:pPr>
        <w:pStyle w:val="22"/>
        <w:tabs>
          <w:tab w:val="right" w:leader="dot" w:pos="9344"/>
        </w:tabs>
        <w:spacing w:line="360" w:lineRule="auto"/>
        <w:rPr>
          <w:rFonts w:asciiTheme="minorHAnsi" w:hAnsiTheme="minorHAnsi" w:eastAsiaTheme="minorEastAsia" w:cstheme="minorBidi"/>
        </w:rPr>
      </w:pPr>
      <w:r>
        <w:fldChar w:fldCharType="begin"/>
      </w:r>
      <w:r>
        <w:instrText xml:space="preserve"> HYPERLINK \l "_Toc46345910" </w:instrText>
      </w:r>
      <w:r>
        <w:fldChar w:fldCharType="separate"/>
      </w:r>
      <w:r>
        <w:rPr>
          <w:rFonts w:asciiTheme="minorHAnsi" w:hAnsiTheme="minorHAnsi" w:eastAsiaTheme="minorEastAsia" w:cstheme="minorBidi"/>
        </w:rPr>
        <w:t xml:space="preserve">4  </w:t>
      </w:r>
      <w:r>
        <w:rPr>
          <w:rStyle w:val="30"/>
          <w:rFonts w:hint="eastAsia"/>
          <w:color w:val="auto"/>
        </w:rPr>
        <w:t>污染物排放控制要求</w:t>
      </w:r>
      <w:r>
        <w:tab/>
      </w:r>
      <w:r>
        <w:fldChar w:fldCharType="begin"/>
      </w:r>
      <w:r>
        <w:instrText xml:space="preserve"> PAGEREF _Toc46345910 \h </w:instrText>
      </w:r>
      <w:r>
        <w:fldChar w:fldCharType="separate"/>
      </w:r>
      <w:r>
        <w:t>2</w:t>
      </w:r>
      <w:r>
        <w:fldChar w:fldCharType="end"/>
      </w:r>
      <w:r>
        <w:fldChar w:fldCharType="end"/>
      </w:r>
    </w:p>
    <w:p>
      <w:pPr>
        <w:pStyle w:val="22"/>
        <w:tabs>
          <w:tab w:val="right" w:leader="dot" w:pos="9344"/>
        </w:tabs>
        <w:spacing w:line="360" w:lineRule="auto"/>
        <w:rPr>
          <w:rFonts w:asciiTheme="minorHAnsi" w:hAnsiTheme="minorHAnsi" w:eastAsiaTheme="minorEastAsia" w:cstheme="minorBidi"/>
        </w:rPr>
      </w:pPr>
      <w:r>
        <w:fldChar w:fldCharType="begin"/>
      </w:r>
      <w:r>
        <w:instrText xml:space="preserve"> HYPERLINK \l "_Toc46345949" </w:instrText>
      </w:r>
      <w:r>
        <w:fldChar w:fldCharType="separate"/>
      </w:r>
      <w:r>
        <w:rPr>
          <w:rFonts w:asciiTheme="minorHAnsi" w:hAnsiTheme="minorHAnsi" w:eastAsiaTheme="minorEastAsia" w:cstheme="minorBidi"/>
        </w:rPr>
        <w:t xml:space="preserve">5  </w:t>
      </w:r>
      <w:r>
        <w:rPr>
          <w:rStyle w:val="30"/>
          <w:rFonts w:hint="eastAsia"/>
          <w:color w:val="auto"/>
        </w:rPr>
        <w:t>废水控盐技术要求</w:t>
      </w:r>
      <w:r>
        <w:tab/>
      </w:r>
      <w:r>
        <w:fldChar w:fldCharType="begin"/>
      </w:r>
      <w:r>
        <w:instrText xml:space="preserve"> PAGEREF _Toc46345949 \h </w:instrText>
      </w:r>
      <w:r>
        <w:fldChar w:fldCharType="separate"/>
      </w:r>
      <w:r>
        <w:t>4</w:t>
      </w:r>
      <w:r>
        <w:fldChar w:fldCharType="end"/>
      </w:r>
      <w:r>
        <w:fldChar w:fldCharType="end"/>
      </w:r>
    </w:p>
    <w:p>
      <w:pPr>
        <w:pStyle w:val="22"/>
        <w:tabs>
          <w:tab w:val="right" w:leader="dot" w:pos="9344"/>
        </w:tabs>
        <w:spacing w:line="360" w:lineRule="auto"/>
        <w:rPr>
          <w:rFonts w:asciiTheme="minorHAnsi" w:hAnsiTheme="minorHAnsi" w:eastAsiaTheme="minorEastAsia" w:cstheme="minorBidi"/>
        </w:rPr>
      </w:pPr>
      <w:r>
        <w:fldChar w:fldCharType="begin"/>
      </w:r>
      <w:r>
        <w:instrText xml:space="preserve"> HYPERLINK \l "_Toc46345950" </w:instrText>
      </w:r>
      <w:r>
        <w:fldChar w:fldCharType="separate"/>
      </w:r>
      <w:r>
        <w:rPr>
          <w:rFonts w:asciiTheme="minorHAnsi" w:hAnsiTheme="minorHAnsi" w:eastAsiaTheme="minorEastAsia" w:cstheme="minorBidi"/>
        </w:rPr>
        <w:t xml:space="preserve">6  </w:t>
      </w:r>
      <w:r>
        <w:rPr>
          <w:rStyle w:val="30"/>
          <w:rFonts w:hint="eastAsia"/>
          <w:color w:val="auto"/>
        </w:rPr>
        <w:t>污染物监测与评价</w:t>
      </w:r>
      <w:r>
        <w:tab/>
      </w:r>
      <w:r>
        <w:fldChar w:fldCharType="begin"/>
      </w:r>
      <w:r>
        <w:instrText xml:space="preserve"> PAGEREF _Toc46345950 \h </w:instrText>
      </w:r>
      <w:r>
        <w:fldChar w:fldCharType="separate"/>
      </w:r>
      <w:r>
        <w:t>5</w:t>
      </w:r>
      <w:r>
        <w:fldChar w:fldCharType="end"/>
      </w:r>
      <w:r>
        <w:fldChar w:fldCharType="end"/>
      </w:r>
    </w:p>
    <w:p>
      <w:pPr>
        <w:pStyle w:val="22"/>
        <w:tabs>
          <w:tab w:val="right" w:leader="dot" w:pos="9344"/>
        </w:tabs>
        <w:spacing w:line="360" w:lineRule="auto"/>
        <w:rPr>
          <w:rFonts w:asciiTheme="minorHAnsi" w:hAnsiTheme="minorHAnsi" w:eastAsiaTheme="minorEastAsia" w:cstheme="minorBidi"/>
        </w:rPr>
      </w:pPr>
      <w:r>
        <w:fldChar w:fldCharType="begin"/>
      </w:r>
      <w:r>
        <w:instrText xml:space="preserve"> HYPERLINK \l "_Toc46345958" </w:instrText>
      </w:r>
      <w:r>
        <w:fldChar w:fldCharType="separate"/>
      </w:r>
      <w:r>
        <w:rPr>
          <w:rFonts w:asciiTheme="minorHAnsi" w:hAnsiTheme="minorHAnsi" w:eastAsiaTheme="minorEastAsia" w:cstheme="minorBidi"/>
        </w:rPr>
        <w:t xml:space="preserve">7  </w:t>
      </w:r>
      <w:r>
        <w:rPr>
          <w:rStyle w:val="30"/>
          <w:rFonts w:hint="eastAsia"/>
          <w:color w:val="auto"/>
        </w:rPr>
        <w:t>实施要求</w:t>
      </w:r>
      <w:r>
        <w:tab/>
      </w:r>
      <w:r>
        <w:fldChar w:fldCharType="begin"/>
      </w:r>
      <w:r>
        <w:instrText xml:space="preserve"> PAGEREF _Toc46345958 \h </w:instrText>
      </w:r>
      <w:r>
        <w:fldChar w:fldCharType="separate"/>
      </w:r>
      <w:r>
        <w:t>6</w:t>
      </w:r>
      <w:r>
        <w:fldChar w:fldCharType="end"/>
      </w:r>
      <w:r>
        <w:fldChar w:fldCharType="end"/>
      </w:r>
    </w:p>
    <w:p>
      <w:pPr>
        <w:widowControl/>
        <w:spacing w:line="360" w:lineRule="auto"/>
        <w:ind w:firstLine="640"/>
        <w:jc w:val="left"/>
        <w:rPr>
          <w:rFonts w:ascii="宋体" w:hAnsi="宋体" w:cs="Times New Roman"/>
          <w:kern w:val="0"/>
        </w:rPr>
      </w:pPr>
      <w:r>
        <w:rPr>
          <w:rFonts w:ascii="宋体" w:hAnsi="宋体" w:cs="Times New Roman"/>
          <w:kern w:val="0"/>
        </w:rPr>
        <w:fldChar w:fldCharType="end"/>
      </w:r>
    </w:p>
    <w:p>
      <w:pPr>
        <w:widowControl/>
        <w:spacing w:line="360" w:lineRule="auto"/>
        <w:jc w:val="left"/>
        <w:rPr>
          <w:rFonts w:ascii="宋体" w:hAnsi="宋体" w:cs="Times New Roman"/>
          <w:kern w:val="0"/>
        </w:rPr>
      </w:pPr>
    </w:p>
    <w:p>
      <w:pPr>
        <w:widowControl/>
        <w:ind w:firstLine="424" w:firstLineChars="202"/>
        <w:jc w:val="left"/>
        <w:rPr>
          <w:rFonts w:ascii="Times New Roman" w:hAnsi="Times New Roman" w:cs="Times New Roman"/>
          <w:kern w:val="0"/>
        </w:rPr>
        <w:sectPr>
          <w:headerReference r:id="rId8" w:type="first"/>
          <w:footerReference r:id="rId9" w:type="first"/>
          <w:headerReference r:id="rId7" w:type="default"/>
          <w:pgSz w:w="11906" w:h="16838"/>
          <w:pgMar w:top="2268" w:right="1134" w:bottom="1418" w:left="1418" w:header="1417" w:footer="851" w:gutter="0"/>
          <w:pgNumType w:fmt="upperRoman" w:start="1"/>
          <w:cols w:space="720" w:num="1"/>
          <w:titlePg/>
          <w:docGrid w:linePitch="312" w:charSpace="0"/>
        </w:sectPr>
      </w:pPr>
    </w:p>
    <w:p>
      <w:pPr>
        <w:pStyle w:val="49"/>
        <w:spacing w:before="0"/>
        <w:rPr>
          <w:rFonts w:ascii="Times New Roman" w:cs="Times New Roman"/>
        </w:rPr>
      </w:pPr>
      <w:bookmarkStart w:id="7" w:name="_Toc46345903"/>
      <w:bookmarkStart w:id="8" w:name="_Toc287880312"/>
      <w:r>
        <w:rPr>
          <w:rFonts w:ascii="Times New Roman" w:cs="Times New Roman"/>
        </w:rPr>
        <w:t>前  言</w:t>
      </w:r>
      <w:bookmarkEnd w:id="7"/>
      <w:bookmarkEnd w:id="8"/>
    </w:p>
    <w:p>
      <w:pPr>
        <w:autoSpaceDE w:val="0"/>
        <w:autoSpaceDN w:val="0"/>
        <w:adjustRightInd w:val="0"/>
        <w:spacing w:line="360" w:lineRule="auto"/>
        <w:ind w:firstLine="420" w:firstLineChars="200"/>
        <w:jc w:val="left"/>
        <w:rPr>
          <w:rFonts w:ascii="Times New Roman" w:hAnsi="Times New Roman" w:cs="Times New Roman"/>
        </w:rPr>
      </w:pPr>
      <w:r>
        <w:rPr>
          <w:rFonts w:hint="eastAsia" w:ascii="Times New Roman" w:hAnsi="Times New Roman" w:cs="Times New Roman"/>
        </w:rPr>
        <w:t>本标准按照</w:t>
      </w:r>
      <w:r>
        <w:rPr>
          <w:rFonts w:ascii="Times New Roman" w:hAnsi="Times New Roman" w:cs="Times New Roman"/>
        </w:rPr>
        <w:t xml:space="preserve"> GB/T 1.1-20</w:t>
      </w:r>
      <w:r>
        <w:rPr>
          <w:rFonts w:hint="eastAsia" w:ascii="Times New Roman" w:hAnsi="Times New Roman" w:cs="Times New Roman"/>
          <w:lang w:val="en-US" w:eastAsia="zh-CN"/>
        </w:rPr>
        <w:t>20</w:t>
      </w:r>
      <w:r>
        <w:rPr>
          <w:rFonts w:ascii="Times New Roman" w:hAnsi="Times New Roman" w:cs="Times New Roman"/>
        </w:rPr>
        <w:t xml:space="preserve"> </w:t>
      </w:r>
      <w:r>
        <w:rPr>
          <w:rFonts w:hint="eastAsia" w:ascii="Times New Roman" w:hAnsi="Times New Roman" w:cs="Times New Roman"/>
        </w:rPr>
        <w:t>规定的规则起草。</w:t>
      </w:r>
    </w:p>
    <w:p>
      <w:pPr>
        <w:autoSpaceDE w:val="0"/>
        <w:autoSpaceDN w:val="0"/>
        <w:adjustRightInd w:val="0"/>
        <w:spacing w:line="360" w:lineRule="auto"/>
        <w:ind w:firstLine="420" w:firstLineChars="200"/>
        <w:jc w:val="left"/>
        <w:rPr>
          <w:rFonts w:ascii="Times New Roman" w:hAnsi="Times New Roman" w:cs="Times New Roman"/>
        </w:rPr>
      </w:pPr>
      <w:r>
        <w:rPr>
          <w:rFonts w:hint="eastAsia" w:ascii="Times New Roman" w:hAnsi="Times New Roman" w:cs="Times New Roman"/>
        </w:rPr>
        <w:t>本标准全文强制。</w:t>
      </w:r>
    </w:p>
    <w:p>
      <w:pPr>
        <w:autoSpaceDE w:val="0"/>
        <w:autoSpaceDN w:val="0"/>
        <w:adjustRightInd w:val="0"/>
        <w:spacing w:line="360" w:lineRule="auto"/>
        <w:ind w:firstLine="420" w:firstLineChars="200"/>
        <w:jc w:val="left"/>
        <w:rPr>
          <w:rFonts w:ascii="Times New Roman" w:hAnsi="Times New Roman" w:cs="Times New Roman"/>
        </w:rPr>
      </w:pPr>
      <w:r>
        <w:rPr>
          <w:rFonts w:hint="eastAsia" w:ascii="Times New Roman" w:hAnsi="Times New Roman" w:cs="Times New Roman"/>
        </w:rPr>
        <w:t>本标准由重庆市生态环境局提出并归口。</w:t>
      </w:r>
    </w:p>
    <w:p>
      <w:pPr>
        <w:autoSpaceDE w:val="0"/>
        <w:autoSpaceDN w:val="0"/>
        <w:adjustRightInd w:val="0"/>
        <w:spacing w:line="360" w:lineRule="auto"/>
        <w:ind w:firstLine="420" w:firstLineChars="200"/>
        <w:jc w:val="left"/>
        <w:rPr>
          <w:rFonts w:ascii="Times New Roman" w:hAnsi="Times New Roman" w:cs="Times New Roman"/>
        </w:rPr>
      </w:pPr>
      <w:r>
        <w:rPr>
          <w:rFonts w:hint="eastAsia" w:ascii="Times New Roman" w:hAnsi="Times New Roman" w:cs="Times New Roman"/>
        </w:rPr>
        <w:t>本标准起草单位：重庆大学、重庆市生态环境科学研究院。</w:t>
      </w:r>
    </w:p>
    <w:p>
      <w:pPr>
        <w:autoSpaceDE w:val="0"/>
        <w:autoSpaceDN w:val="0"/>
        <w:adjustRightInd w:val="0"/>
        <w:spacing w:line="360" w:lineRule="auto"/>
        <w:ind w:firstLine="420" w:firstLineChars="200"/>
        <w:jc w:val="left"/>
        <w:rPr>
          <w:rFonts w:ascii="Times New Roman" w:hAnsi="Times New Roman" w:cs="Times New Roman"/>
        </w:rPr>
      </w:pPr>
      <w:r>
        <w:rPr>
          <w:rFonts w:hint="eastAsia" w:ascii="Times New Roman" w:hAnsi="Times New Roman" w:cs="Times New Roman"/>
        </w:rPr>
        <w:t>本标准主要起草人：张智、周琼、何强、许林季、封丽、时兴东、姚源、廖伟伶、吴进、李子未、吴家</w:t>
      </w:r>
      <w:r>
        <w:rPr>
          <w:rFonts w:hint="eastAsia" w:ascii="Times New Roman" w:hAnsi="Times New Roman" w:cs="Times New Roman"/>
          <w:lang w:eastAsia="zh-CN"/>
        </w:rPr>
        <w:t>翔</w:t>
      </w:r>
      <w:r>
        <w:rPr>
          <w:rFonts w:hint="eastAsia" w:ascii="Times New Roman" w:hAnsi="Times New Roman" w:cs="Times New Roman"/>
        </w:rPr>
        <w:t>、封雷、李亦桃、孔媛、余昌义、陈婷婷、白一力、曹弘毅、张林防、彭亚洲、孙磊、潘傲、余里洁、周邦玫、周莹莹。</w:t>
      </w:r>
    </w:p>
    <w:p>
      <w:pPr>
        <w:autoSpaceDE w:val="0"/>
        <w:autoSpaceDN w:val="0"/>
        <w:adjustRightInd w:val="0"/>
        <w:spacing w:line="360" w:lineRule="auto"/>
        <w:ind w:firstLine="420" w:firstLineChars="200"/>
        <w:jc w:val="left"/>
        <w:rPr>
          <w:rFonts w:ascii="Times New Roman" w:hAnsi="Times New Roman" w:cs="Times New Roman"/>
        </w:rPr>
      </w:pPr>
      <w:r>
        <w:rPr>
          <w:rFonts w:hint="eastAsia" w:ascii="Times New Roman" w:hAnsi="Times New Roman" w:cs="Times New Roman"/>
        </w:rPr>
        <w:t>本标准由重庆市人民政府于</w:t>
      </w:r>
      <w:r>
        <w:rPr>
          <w:rFonts w:ascii="Times New Roman" w:hAnsi="Times New Roman" w:cs="Times New Roman"/>
        </w:rPr>
        <w:t>20</w:t>
      </w:r>
      <w:bookmarkStart w:id="9" w:name="_Hlk16068519"/>
      <w:r>
        <w:rPr>
          <w:rFonts w:hint="eastAsia" w:ascii="Times New Roman" w:hAnsi="Times New Roman" w:cs="Times New Roman"/>
        </w:rPr>
        <w:t>□</w:t>
      </w:r>
      <w:bookmarkEnd w:id="9"/>
      <w:r>
        <w:rPr>
          <w:rFonts w:hint="eastAsia" w:ascii="Times New Roman" w:hAnsi="Times New Roman" w:cs="Times New Roman"/>
        </w:rPr>
        <w:t>□年□□月□□日批准。</w:t>
      </w:r>
    </w:p>
    <w:p>
      <w:pPr>
        <w:pStyle w:val="5"/>
      </w:pPr>
      <w:r>
        <w:rPr>
          <w:rFonts w:hint="eastAsia"/>
        </w:rPr>
        <w:t>本标准为首次发布。</w:t>
      </w:r>
    </w:p>
    <w:p>
      <w:pPr>
        <w:widowControl/>
        <w:adjustRightInd w:val="0"/>
        <w:ind w:firstLine="420" w:firstLineChars="200"/>
        <w:rPr>
          <w:rFonts w:ascii="Times New Roman" w:hAnsi="Times New Roman" w:cs="Times New Roman"/>
        </w:rPr>
      </w:pPr>
    </w:p>
    <w:p>
      <w:pPr>
        <w:widowControl/>
        <w:adjustRightInd w:val="0"/>
        <w:ind w:firstLine="420" w:firstLineChars="200"/>
        <w:rPr>
          <w:rFonts w:ascii="Times New Roman" w:hAnsi="Times New Roman" w:cs="Times New Roman"/>
          <w:kern w:val="0"/>
        </w:rPr>
        <w:sectPr>
          <w:headerReference r:id="rId10" w:type="first"/>
          <w:pgSz w:w="11906" w:h="16838"/>
          <w:pgMar w:top="2268" w:right="1134" w:bottom="1418" w:left="1418" w:header="1134" w:footer="851" w:gutter="0"/>
          <w:pgNumType w:fmt="upperRoman"/>
          <w:cols w:space="720" w:num="1"/>
          <w:titlePg/>
          <w:docGrid w:linePitch="312" w:charSpace="0"/>
        </w:sectPr>
      </w:pPr>
    </w:p>
    <w:p>
      <w:pPr>
        <w:pStyle w:val="3"/>
        <w:spacing w:before="360" w:beforeLines="150" w:after="240" w:afterLines="100"/>
        <w:ind w:left="357"/>
        <w:jc w:val="center"/>
        <w:outlineLvl w:val="9"/>
        <w:rPr>
          <w:rFonts w:ascii="Times New Roman" w:cs="Times New Roman"/>
          <w:sz w:val="32"/>
          <w:szCs w:val="32"/>
        </w:rPr>
      </w:pPr>
      <w:bookmarkStart w:id="10" w:name="_Toc287880313"/>
      <w:r>
        <w:rPr>
          <w:rFonts w:hint="eastAsia" w:ascii="Times New Roman" w:cs="Times New Roman"/>
          <w:sz w:val="32"/>
          <w:szCs w:val="32"/>
        </w:rPr>
        <w:t>榨菜行业水污染物</w:t>
      </w:r>
      <w:r>
        <w:rPr>
          <w:rFonts w:ascii="Times New Roman" w:cs="Times New Roman"/>
          <w:sz w:val="32"/>
          <w:szCs w:val="32"/>
        </w:rPr>
        <w:t>排放标准</w:t>
      </w:r>
    </w:p>
    <w:bookmarkEnd w:id="10"/>
    <w:p>
      <w:pPr>
        <w:pStyle w:val="2"/>
        <w:numPr>
          <w:ilvl w:val="0"/>
          <w:numId w:val="0"/>
        </w:numPr>
        <w:ind w:left="432" w:hanging="432"/>
      </w:pPr>
      <w:bookmarkStart w:id="11" w:name="_Toc46345906"/>
      <w:bookmarkEnd w:id="11"/>
      <w:bookmarkStart w:id="12" w:name="_Toc46345904"/>
      <w:bookmarkEnd w:id="12"/>
      <w:bookmarkStart w:id="13" w:name="_Toc46345905"/>
      <w:bookmarkEnd w:id="13"/>
      <w:bookmarkStart w:id="14" w:name="_Toc46345907"/>
      <w:bookmarkStart w:id="15" w:name="_Toc408999456"/>
      <w:r>
        <w:rPr>
          <w:rFonts w:hint="eastAsia"/>
        </w:rPr>
        <w:t>1</w:t>
      </w:r>
      <w:r>
        <w:t xml:space="preserve">  </w:t>
      </w:r>
      <w:r>
        <w:rPr>
          <w:rFonts w:hint="eastAsia"/>
        </w:rPr>
        <w:t>范围</w:t>
      </w:r>
      <w:bookmarkEnd w:id="14"/>
      <w:bookmarkEnd w:id="15"/>
    </w:p>
    <w:p>
      <w:pPr>
        <w:pStyle w:val="5"/>
      </w:pPr>
      <w:bookmarkStart w:id="16" w:name="_Toc287880317"/>
      <w:r>
        <w:rPr>
          <w:rFonts w:hint="eastAsia"/>
        </w:rPr>
        <w:t>本标准规定了榨菜行业水污染物最高允许排放浓度、最高允许吨产品排水量、污染物监测要求和监督与实施要求。</w:t>
      </w:r>
    </w:p>
    <w:p>
      <w:pPr>
        <w:pStyle w:val="5"/>
      </w:pPr>
      <w:r>
        <w:rPr>
          <w:rFonts w:hint="eastAsia"/>
        </w:rPr>
        <w:t>本标准适用于重庆市榨菜行业水污染物排放管理。</w:t>
      </w:r>
    </w:p>
    <w:p>
      <w:pPr>
        <w:pStyle w:val="5"/>
      </w:pPr>
      <w:r>
        <w:rPr>
          <w:rFonts w:hint="eastAsia"/>
        </w:rPr>
        <w:t>本标准适用于榨菜行业建设项目的环境影响评价、环境保护设施建设、竣工环境保护验收、排污许可证管理及其投产后的水污染物排放管理。</w:t>
      </w:r>
    </w:p>
    <w:p>
      <w:pPr>
        <w:pStyle w:val="5"/>
      </w:pPr>
      <w:r>
        <w:rPr>
          <w:rFonts w:hint="eastAsia"/>
        </w:rPr>
        <w:t>本标准适用于法律允许的水污染物排放行为。</w:t>
      </w:r>
    </w:p>
    <w:p>
      <w:pPr>
        <w:pStyle w:val="2"/>
        <w:numPr>
          <w:ilvl w:val="0"/>
          <w:numId w:val="0"/>
        </w:numPr>
        <w:ind w:left="432" w:hanging="432"/>
      </w:pPr>
      <w:bookmarkStart w:id="17" w:name="_Toc46345908"/>
      <w:r>
        <w:rPr>
          <w:rFonts w:hint="eastAsia"/>
        </w:rPr>
        <w:t>2</w:t>
      </w:r>
      <w:r>
        <w:t xml:space="preserve">  </w:t>
      </w:r>
      <w:r>
        <w:rPr>
          <w:rFonts w:hint="eastAsia"/>
        </w:rPr>
        <w:t>规范性引用文件</w:t>
      </w:r>
      <w:bookmarkEnd w:id="16"/>
      <w:bookmarkEnd w:id="17"/>
    </w:p>
    <w:p>
      <w:pPr>
        <w:pStyle w:val="5"/>
        <w:rPr>
          <w:rFonts w:ascii="宋体" w:hAnsi="宋体"/>
        </w:rPr>
      </w:pPr>
      <w:r>
        <w:rPr>
          <w:rFonts w:hint="eastAsia" w:ascii="宋体" w:hAnsi="宋体"/>
        </w:rPr>
        <w:t>下列文件对于本标准的应用是必不可少的。凡是注日期的引用文件，仅所注日期的版本适用于本文件。凡是不注日期的引用文件，其最新版本（包括所有的修改单）适用于本文件。</w:t>
      </w:r>
    </w:p>
    <w:p>
      <w:pPr>
        <w:pStyle w:val="5"/>
      </w:pPr>
      <w:r>
        <w:t xml:space="preserve">GB 6920 </w:t>
      </w:r>
      <w:r>
        <w:rPr>
          <w:rFonts w:hint="eastAsia"/>
        </w:rPr>
        <w:t>水质</w:t>
      </w:r>
      <w:r>
        <w:t xml:space="preserve"> pH</w:t>
      </w:r>
      <w:r>
        <w:rPr>
          <w:rFonts w:hint="eastAsia"/>
        </w:rPr>
        <w:t>值的测定</w:t>
      </w:r>
      <w:r>
        <w:t xml:space="preserve"> </w:t>
      </w:r>
      <w:r>
        <w:rPr>
          <w:rFonts w:hint="eastAsia"/>
        </w:rPr>
        <w:t>玻璃电极法</w:t>
      </w:r>
    </w:p>
    <w:p>
      <w:pPr>
        <w:pStyle w:val="5"/>
      </w:pPr>
      <w:bookmarkStart w:id="18" w:name="_Hlk27042024"/>
      <w:r>
        <w:t xml:space="preserve">GB 11901 </w:t>
      </w:r>
      <w:r>
        <w:rPr>
          <w:rFonts w:hint="eastAsia"/>
        </w:rPr>
        <w:t>水质</w:t>
      </w:r>
      <w:r>
        <w:t xml:space="preserve"> </w:t>
      </w:r>
      <w:r>
        <w:rPr>
          <w:rFonts w:hint="eastAsia"/>
        </w:rPr>
        <w:t>悬浮物的测定</w:t>
      </w:r>
      <w:r>
        <w:t xml:space="preserve"> </w:t>
      </w:r>
      <w:r>
        <w:rPr>
          <w:rFonts w:hint="eastAsia"/>
        </w:rPr>
        <w:t>重量法</w:t>
      </w:r>
    </w:p>
    <w:p>
      <w:pPr>
        <w:pStyle w:val="5"/>
      </w:pPr>
      <w:r>
        <w:t xml:space="preserve">GB/T 31195 </w:t>
      </w:r>
      <w:r>
        <w:rPr>
          <w:rFonts w:hint="eastAsia"/>
        </w:rPr>
        <w:t>高氯高氨废水</w:t>
      </w:r>
      <w:r>
        <w:t xml:space="preserve"> </w:t>
      </w:r>
      <w:r>
        <w:rPr>
          <w:rFonts w:hint="eastAsia"/>
        </w:rPr>
        <w:t>化学需氧量的测定</w:t>
      </w:r>
      <w:r>
        <w:t xml:space="preserve"> </w:t>
      </w:r>
      <w:r>
        <w:rPr>
          <w:rFonts w:hint="eastAsia"/>
        </w:rPr>
        <w:t>氯离子校正法</w:t>
      </w:r>
    </w:p>
    <w:p>
      <w:pPr>
        <w:pStyle w:val="5"/>
      </w:pPr>
      <w:r>
        <w:t xml:space="preserve">HJ/T 70 </w:t>
      </w:r>
      <w:r>
        <w:rPr>
          <w:rFonts w:hint="eastAsia"/>
        </w:rPr>
        <w:t>高氯废水</w:t>
      </w:r>
      <w:r>
        <w:t xml:space="preserve"> </w:t>
      </w:r>
      <w:r>
        <w:rPr>
          <w:rFonts w:hint="eastAsia"/>
        </w:rPr>
        <w:t>化学需氧量的测定</w:t>
      </w:r>
      <w:r>
        <w:t xml:space="preserve"> </w:t>
      </w:r>
      <w:r>
        <w:rPr>
          <w:rFonts w:hint="eastAsia"/>
        </w:rPr>
        <w:t>氯气校正法</w:t>
      </w:r>
    </w:p>
    <w:p>
      <w:pPr>
        <w:pStyle w:val="5"/>
      </w:pPr>
      <w:r>
        <w:t xml:space="preserve">HJ 636 </w:t>
      </w:r>
      <w:r>
        <w:rPr>
          <w:rFonts w:hint="eastAsia"/>
        </w:rPr>
        <w:t>水质</w:t>
      </w:r>
      <w:r>
        <w:t xml:space="preserve"> </w:t>
      </w:r>
      <w:r>
        <w:rPr>
          <w:rFonts w:hint="eastAsia"/>
        </w:rPr>
        <w:t>总氮的测定</w:t>
      </w:r>
      <w:r>
        <w:t xml:space="preserve"> </w:t>
      </w:r>
      <w:r>
        <w:rPr>
          <w:rFonts w:hint="eastAsia"/>
        </w:rPr>
        <w:t>碱性过硫酸钾消解紫外分光光度计法</w:t>
      </w:r>
    </w:p>
    <w:p>
      <w:pPr>
        <w:pStyle w:val="5"/>
      </w:pPr>
      <w:r>
        <w:t xml:space="preserve">HJ 537 </w:t>
      </w:r>
      <w:r>
        <w:rPr>
          <w:rFonts w:hint="eastAsia"/>
        </w:rPr>
        <w:t>水质</w:t>
      </w:r>
      <w:r>
        <w:t xml:space="preserve"> </w:t>
      </w:r>
      <w:r>
        <w:rPr>
          <w:rFonts w:hint="eastAsia"/>
        </w:rPr>
        <w:t>氨氮的测定</w:t>
      </w:r>
      <w:r>
        <w:t xml:space="preserve"> </w:t>
      </w:r>
      <w:r>
        <w:rPr>
          <w:rFonts w:hint="eastAsia"/>
        </w:rPr>
        <w:t>蒸馏－中和滴定法</w:t>
      </w:r>
    </w:p>
    <w:p>
      <w:pPr>
        <w:pStyle w:val="5"/>
      </w:pPr>
      <w:r>
        <w:t xml:space="preserve">GB/T 11893 </w:t>
      </w:r>
      <w:r>
        <w:rPr>
          <w:rFonts w:hint="eastAsia"/>
        </w:rPr>
        <w:t>水质</w:t>
      </w:r>
      <w:r>
        <w:t xml:space="preserve"> </w:t>
      </w:r>
      <w:r>
        <w:rPr>
          <w:rFonts w:hint="eastAsia"/>
        </w:rPr>
        <w:t>总磷的测定</w:t>
      </w:r>
      <w:r>
        <w:t xml:space="preserve"> </w:t>
      </w:r>
      <w:r>
        <w:rPr>
          <w:rFonts w:hint="eastAsia"/>
        </w:rPr>
        <w:t>钼酸铵分光光度法</w:t>
      </w:r>
    </w:p>
    <w:p>
      <w:pPr>
        <w:pStyle w:val="5"/>
      </w:pPr>
      <w:r>
        <w:t xml:space="preserve">GB/T 11896 </w:t>
      </w:r>
      <w:r>
        <w:rPr>
          <w:rFonts w:hint="eastAsia"/>
        </w:rPr>
        <w:t>水质</w:t>
      </w:r>
      <w:r>
        <w:t xml:space="preserve"> </w:t>
      </w:r>
      <w:r>
        <w:rPr>
          <w:rFonts w:hint="eastAsia"/>
        </w:rPr>
        <w:t>氯化物的测定</w:t>
      </w:r>
      <w:r>
        <w:t xml:space="preserve"> </w:t>
      </w:r>
      <w:r>
        <w:rPr>
          <w:rFonts w:hint="eastAsia"/>
        </w:rPr>
        <w:t>硝酸银滴定法</w:t>
      </w:r>
    </w:p>
    <w:p>
      <w:pPr>
        <w:pStyle w:val="5"/>
      </w:pPr>
      <w:r>
        <w:t xml:space="preserve">HJ 493 </w:t>
      </w:r>
      <w:r>
        <w:rPr>
          <w:rFonts w:hint="eastAsia"/>
        </w:rPr>
        <w:t>水质采样</w:t>
      </w:r>
      <w:r>
        <w:t xml:space="preserve"> </w:t>
      </w:r>
      <w:r>
        <w:rPr>
          <w:rFonts w:hint="eastAsia"/>
        </w:rPr>
        <w:t>样品的保存和管理技术规定</w:t>
      </w:r>
    </w:p>
    <w:p>
      <w:pPr>
        <w:pStyle w:val="5"/>
      </w:pPr>
      <w:r>
        <w:t xml:space="preserve">HJ 494 </w:t>
      </w:r>
      <w:r>
        <w:rPr>
          <w:rFonts w:hint="eastAsia"/>
        </w:rPr>
        <w:t>水质</w:t>
      </w:r>
      <w:r>
        <w:t xml:space="preserve"> </w:t>
      </w:r>
      <w:r>
        <w:rPr>
          <w:rFonts w:hint="eastAsia"/>
        </w:rPr>
        <w:t>采样技术指导</w:t>
      </w:r>
    </w:p>
    <w:p>
      <w:pPr>
        <w:pStyle w:val="5"/>
      </w:pPr>
      <w:r>
        <w:t xml:space="preserve">HJ 495 </w:t>
      </w:r>
      <w:r>
        <w:rPr>
          <w:rFonts w:hint="eastAsia"/>
        </w:rPr>
        <w:t>水质</w:t>
      </w:r>
      <w:r>
        <w:t xml:space="preserve"> </w:t>
      </w:r>
      <w:r>
        <w:rPr>
          <w:rFonts w:hint="eastAsia"/>
        </w:rPr>
        <w:t>采样方案设计技术规定</w:t>
      </w:r>
    </w:p>
    <w:p>
      <w:pPr>
        <w:pStyle w:val="5"/>
      </w:pPr>
      <w:r>
        <w:t xml:space="preserve">HJ/T 84 </w:t>
      </w:r>
      <w:r>
        <w:rPr>
          <w:rFonts w:hint="eastAsia"/>
        </w:rPr>
        <w:t>水质</w:t>
      </w:r>
      <w:r>
        <w:t xml:space="preserve"> </w:t>
      </w:r>
      <w:r>
        <w:rPr>
          <w:rFonts w:hint="eastAsia"/>
        </w:rPr>
        <w:t>无机阴离子的测定</w:t>
      </w:r>
      <w:r>
        <w:t xml:space="preserve"> </w:t>
      </w:r>
      <w:r>
        <w:rPr>
          <w:rFonts w:hint="eastAsia"/>
        </w:rPr>
        <w:t>离子色谱法</w:t>
      </w:r>
    </w:p>
    <w:p>
      <w:pPr>
        <w:pStyle w:val="5"/>
      </w:pPr>
      <w:r>
        <w:t xml:space="preserve">HJ/T 91.1 </w:t>
      </w:r>
      <w:r>
        <w:rPr>
          <w:rFonts w:hint="eastAsia"/>
        </w:rPr>
        <w:t>污水监测技术规范</w:t>
      </w:r>
    </w:p>
    <w:p>
      <w:pPr>
        <w:pStyle w:val="5"/>
      </w:pPr>
      <w:r>
        <w:t xml:space="preserve">HJ/T 92 </w:t>
      </w:r>
      <w:r>
        <w:rPr>
          <w:rFonts w:hint="eastAsia"/>
        </w:rPr>
        <w:t>水污染物排放总量监测技术规范</w:t>
      </w:r>
      <w:r>
        <w:t xml:space="preserve">GB 8978 </w:t>
      </w:r>
      <w:r>
        <w:rPr>
          <w:rFonts w:hint="eastAsia"/>
        </w:rPr>
        <w:t>污水综合排放标准</w:t>
      </w:r>
    </w:p>
    <w:p>
      <w:pPr>
        <w:pStyle w:val="5"/>
      </w:pPr>
      <w:r>
        <w:rPr>
          <w:rFonts w:hint="eastAsia"/>
        </w:rPr>
        <w:t>《污染源自动监控管理办法》国家环境保护总局令第</w:t>
      </w:r>
      <w:r>
        <w:t>28</w:t>
      </w:r>
      <w:r>
        <w:rPr>
          <w:rFonts w:hint="eastAsia"/>
        </w:rPr>
        <w:t>号</w:t>
      </w:r>
    </w:p>
    <w:p>
      <w:pPr>
        <w:pStyle w:val="5"/>
      </w:pPr>
      <w:r>
        <w:rPr>
          <w:rFonts w:hint="eastAsia"/>
        </w:rPr>
        <w:t>《环境监测管理办法》国家环境保护总局令第</w:t>
      </w:r>
      <w:r>
        <w:t>39</w:t>
      </w:r>
      <w:r>
        <w:rPr>
          <w:rFonts w:hint="eastAsia"/>
        </w:rPr>
        <w:t>号</w:t>
      </w:r>
    </w:p>
    <w:bookmarkEnd w:id="18"/>
    <w:p>
      <w:pPr>
        <w:pStyle w:val="2"/>
        <w:numPr>
          <w:ilvl w:val="0"/>
          <w:numId w:val="0"/>
        </w:numPr>
        <w:ind w:left="432" w:hanging="432"/>
      </w:pPr>
      <w:bookmarkStart w:id="19" w:name="_Toc287880318"/>
      <w:bookmarkStart w:id="20" w:name="_Toc46345909"/>
      <w:r>
        <w:rPr>
          <w:rFonts w:hint="eastAsia"/>
        </w:rPr>
        <w:t>3</w:t>
      </w:r>
      <w:r>
        <w:t xml:space="preserve">  术语和定义</w:t>
      </w:r>
      <w:bookmarkEnd w:id="19"/>
      <w:bookmarkEnd w:id="20"/>
    </w:p>
    <w:p>
      <w:pPr>
        <w:widowControl/>
        <w:spacing w:line="360" w:lineRule="auto"/>
        <w:ind w:firstLine="420" w:firstLineChars="200"/>
        <w:jc w:val="left"/>
        <w:rPr>
          <w:rFonts w:ascii="Times New Roman" w:hAnsi="Times New Roman" w:cs="Times New Roman"/>
          <w:kern w:val="0"/>
        </w:rPr>
      </w:pPr>
      <w:r>
        <w:rPr>
          <w:rFonts w:ascii="Times New Roman" w:hAnsi="Times New Roman" w:cs="Times New Roman"/>
          <w:kern w:val="0"/>
        </w:rPr>
        <w:t>下列术语和定义适用于本标准</w:t>
      </w:r>
      <w:r>
        <w:rPr>
          <w:rFonts w:hint="eastAsia" w:ascii="Times New Roman" w:hAnsi="Times New Roman" w:cs="Times New Roman"/>
          <w:kern w:val="0"/>
        </w:rPr>
        <w:t>。</w:t>
      </w:r>
    </w:p>
    <w:p>
      <w:pPr>
        <w:pStyle w:val="5"/>
        <w:ind w:firstLine="0" w:firstLineChars="0"/>
      </w:pPr>
      <w:r>
        <w:rPr>
          <w:rFonts w:ascii="黑体"/>
        </w:rPr>
        <w:t xml:space="preserve">3.1 </w:t>
      </w:r>
    </w:p>
    <w:p>
      <w:pPr>
        <w:pStyle w:val="4"/>
        <w:numPr>
          <w:ilvl w:val="1"/>
          <w:numId w:val="0"/>
        </w:numPr>
        <w:spacing w:before="120" w:beforeLines="50" w:afterLines="50" w:line="240" w:lineRule="auto"/>
        <w:ind w:firstLine="420" w:firstLineChars="200"/>
        <w:rPr>
          <w:rFonts w:ascii="黑体"/>
        </w:rPr>
      </w:pPr>
      <w:r>
        <w:rPr>
          <w:rFonts w:hint="eastAsia" w:ascii="黑体"/>
        </w:rPr>
        <w:t>榨菜行业</w:t>
      </w:r>
      <w:r>
        <w:rPr>
          <w:rFonts w:ascii="黑体"/>
        </w:rPr>
        <w:t xml:space="preserve">   mustard tuber industry</w:t>
      </w:r>
    </w:p>
    <w:p>
      <w:pPr>
        <w:spacing w:line="360" w:lineRule="auto"/>
        <w:ind w:firstLine="420" w:firstLineChars="200"/>
        <w:rPr>
          <w:rFonts w:ascii="Times New Roman" w:hAnsi="Times New Roman" w:cs="Times New Roman"/>
        </w:rPr>
      </w:pPr>
      <w:r>
        <w:rPr>
          <w:rFonts w:hint="eastAsia" w:ascii="Times New Roman" w:hAnsi="Times New Roman" w:cs="Times New Roman"/>
        </w:rPr>
        <w:t>指与榨菜有关的食品腌制产业，生产产品包含：全形榨菜、方便榨菜、其它腌制蔬菜产品（如：腌海带丝、腌萝卜、腌豇豆、腌竹笋、腌地牯牛、腌花生、酸菜等）。</w:t>
      </w:r>
    </w:p>
    <w:p>
      <w:pPr>
        <w:pStyle w:val="5"/>
        <w:ind w:firstLine="0" w:firstLineChars="0"/>
      </w:pPr>
      <w:r>
        <w:rPr>
          <w:rFonts w:ascii="黑体"/>
        </w:rPr>
        <w:t xml:space="preserve">3.2 </w:t>
      </w:r>
    </w:p>
    <w:p>
      <w:pPr>
        <w:pStyle w:val="4"/>
        <w:numPr>
          <w:ilvl w:val="1"/>
          <w:numId w:val="0"/>
        </w:numPr>
        <w:spacing w:before="120" w:beforeLines="50" w:afterLines="50" w:line="240" w:lineRule="auto"/>
        <w:ind w:firstLine="420" w:firstLineChars="200"/>
        <w:rPr>
          <w:rFonts w:ascii="黑体"/>
        </w:rPr>
      </w:pPr>
      <w:r>
        <w:rPr>
          <w:rFonts w:hint="eastAsia" w:ascii="黑体"/>
        </w:rPr>
        <w:t>榨菜型产品企业</w:t>
      </w:r>
      <w:r>
        <w:rPr>
          <w:rFonts w:ascii="黑体"/>
        </w:rPr>
        <w:t xml:space="preserve">   mustard tuber product enterprise</w:t>
      </w:r>
    </w:p>
    <w:p>
      <w:pPr>
        <w:spacing w:line="360" w:lineRule="auto"/>
        <w:ind w:firstLine="420" w:firstLineChars="200"/>
        <w:rPr>
          <w:rFonts w:ascii="Times New Roman" w:hAnsi="Times New Roman" w:cs="Times New Roman"/>
        </w:rPr>
      </w:pPr>
      <w:r>
        <w:rPr>
          <w:rFonts w:hint="eastAsia" w:ascii="Times New Roman" w:hAnsi="Times New Roman" w:cs="Times New Roman"/>
        </w:rPr>
        <w:t>指生产产品仅包含榨菜（全形榨菜或方便榨菜）的企业。</w:t>
      </w:r>
    </w:p>
    <w:p>
      <w:pPr>
        <w:pStyle w:val="5"/>
        <w:ind w:firstLine="0" w:firstLineChars="0"/>
      </w:pPr>
      <w:r>
        <w:rPr>
          <w:rFonts w:ascii="黑体"/>
        </w:rPr>
        <w:t xml:space="preserve">3.3 </w:t>
      </w:r>
    </w:p>
    <w:p>
      <w:pPr>
        <w:pStyle w:val="4"/>
        <w:numPr>
          <w:ilvl w:val="1"/>
          <w:numId w:val="0"/>
        </w:numPr>
        <w:spacing w:before="120" w:beforeLines="50" w:afterLines="50" w:line="240" w:lineRule="auto"/>
        <w:ind w:firstLine="420" w:firstLineChars="200"/>
        <w:rPr>
          <w:rFonts w:ascii="黑体"/>
        </w:rPr>
      </w:pPr>
      <w:r>
        <w:rPr>
          <w:rFonts w:hint="eastAsia" w:ascii="黑体"/>
        </w:rPr>
        <w:t>混合型产品企业</w:t>
      </w:r>
      <w:r>
        <w:rPr>
          <w:rFonts w:ascii="黑体"/>
        </w:rPr>
        <w:t xml:space="preserve">  hybrid product enterprise</w:t>
      </w:r>
    </w:p>
    <w:p>
      <w:pPr>
        <w:spacing w:line="360" w:lineRule="auto"/>
        <w:ind w:firstLine="420" w:firstLineChars="200"/>
        <w:rPr>
          <w:rFonts w:ascii="Times New Roman" w:hAnsi="Times New Roman" w:cs="Times New Roman"/>
        </w:rPr>
      </w:pPr>
      <w:r>
        <w:rPr>
          <w:rFonts w:hint="eastAsia" w:ascii="Times New Roman" w:hAnsi="Times New Roman" w:cs="Times New Roman"/>
        </w:rPr>
        <w:t>指生产产品除榨菜（全形榨菜或方便榨菜）外，包含一种或多种榨菜行业其它腌制蔬菜产品的企业。</w:t>
      </w:r>
    </w:p>
    <w:p>
      <w:pPr>
        <w:pStyle w:val="5"/>
        <w:ind w:firstLine="0" w:firstLineChars="0"/>
      </w:pPr>
      <w:r>
        <w:rPr>
          <w:rFonts w:ascii="黑体"/>
        </w:rPr>
        <w:t xml:space="preserve">3.4 </w:t>
      </w:r>
    </w:p>
    <w:p>
      <w:pPr>
        <w:pStyle w:val="4"/>
        <w:numPr>
          <w:ilvl w:val="1"/>
          <w:numId w:val="0"/>
        </w:numPr>
        <w:spacing w:before="120" w:beforeLines="50" w:afterLines="50" w:line="240" w:lineRule="auto"/>
        <w:ind w:firstLine="420" w:firstLineChars="200"/>
        <w:rPr>
          <w:rFonts w:ascii="黑体"/>
        </w:rPr>
      </w:pPr>
      <w:r>
        <w:rPr>
          <w:rFonts w:hint="eastAsia" w:ascii="黑体"/>
        </w:rPr>
        <w:t>其它腌制蔬菜产品企业</w:t>
      </w:r>
      <w:r>
        <w:rPr>
          <w:rFonts w:ascii="黑体"/>
        </w:rPr>
        <w:t xml:space="preserve">   other preserved products enterprise</w:t>
      </w:r>
    </w:p>
    <w:p>
      <w:pPr>
        <w:spacing w:line="360" w:lineRule="auto"/>
        <w:ind w:firstLine="420" w:firstLineChars="200"/>
        <w:rPr>
          <w:rFonts w:ascii="Times New Roman" w:hAnsi="Times New Roman" w:cs="Times New Roman"/>
        </w:rPr>
      </w:pPr>
      <w:r>
        <w:rPr>
          <w:rFonts w:hint="eastAsia" w:ascii="Times New Roman" w:hAnsi="Times New Roman" w:cs="Times New Roman"/>
        </w:rPr>
        <w:t>指生产产品不含榨菜（全形榨菜或方便榨菜），仅包含一种或多种榨菜行业其它腌制蔬菜产品的企业。</w:t>
      </w:r>
    </w:p>
    <w:p>
      <w:pPr>
        <w:pStyle w:val="5"/>
        <w:ind w:firstLine="0" w:firstLineChars="0"/>
      </w:pPr>
      <w:r>
        <w:rPr>
          <w:rFonts w:ascii="黑体"/>
        </w:rPr>
        <w:t xml:space="preserve">3.5 </w:t>
      </w:r>
    </w:p>
    <w:p>
      <w:pPr>
        <w:pStyle w:val="4"/>
        <w:numPr>
          <w:ilvl w:val="1"/>
          <w:numId w:val="0"/>
        </w:numPr>
        <w:spacing w:before="120" w:beforeLines="50" w:afterLines="50" w:line="240" w:lineRule="auto"/>
        <w:ind w:firstLine="420" w:firstLineChars="200"/>
        <w:rPr>
          <w:rFonts w:ascii="黑体"/>
        </w:rPr>
      </w:pPr>
      <w:r>
        <w:rPr>
          <w:rFonts w:hint="eastAsia" w:ascii="黑体"/>
        </w:rPr>
        <w:t>综合废水</w:t>
      </w:r>
      <w:r>
        <w:rPr>
          <w:rFonts w:ascii="黑体"/>
        </w:rPr>
        <w:t xml:space="preserve">   integrated wastewater</w:t>
      </w:r>
    </w:p>
    <w:p>
      <w:pPr>
        <w:spacing w:line="360" w:lineRule="auto"/>
        <w:ind w:firstLine="420" w:firstLineChars="200"/>
        <w:rPr>
          <w:rFonts w:ascii="Times New Roman" w:hAnsi="Times New Roman" w:cs="Times New Roman"/>
        </w:rPr>
      </w:pPr>
      <w:r>
        <w:rPr>
          <w:rFonts w:hint="eastAsia" w:ascii="Times New Roman" w:hAnsi="Times New Roman" w:cs="Times New Roman"/>
        </w:rPr>
        <w:t>指榨菜行业企业在生产过程中产生的具有高盐、高磷、高氮、高有机物浓度废水。</w:t>
      </w:r>
    </w:p>
    <w:p>
      <w:pPr>
        <w:pStyle w:val="5"/>
        <w:ind w:firstLine="0" w:firstLineChars="0"/>
      </w:pPr>
      <w:r>
        <w:rPr>
          <w:rFonts w:ascii="黑体"/>
        </w:rPr>
        <w:t xml:space="preserve">3.6 </w:t>
      </w:r>
    </w:p>
    <w:p>
      <w:pPr>
        <w:pStyle w:val="4"/>
        <w:numPr>
          <w:ilvl w:val="1"/>
          <w:numId w:val="0"/>
        </w:numPr>
        <w:spacing w:before="120" w:beforeLines="50" w:afterLines="50" w:line="240" w:lineRule="auto"/>
        <w:ind w:firstLine="420" w:firstLineChars="200"/>
        <w:rPr>
          <w:rFonts w:ascii="黑体"/>
        </w:rPr>
      </w:pPr>
      <w:r>
        <w:rPr>
          <w:rFonts w:hint="eastAsia" w:ascii="黑体"/>
        </w:rPr>
        <w:t>排水量</w:t>
      </w:r>
      <w:r>
        <w:rPr>
          <w:rFonts w:ascii="黑体"/>
        </w:rPr>
        <w:t xml:space="preserve">   drainage discharge</w:t>
      </w:r>
    </w:p>
    <w:p>
      <w:pPr>
        <w:spacing w:line="360" w:lineRule="auto"/>
        <w:ind w:firstLine="420" w:firstLineChars="200"/>
        <w:rPr>
          <w:rFonts w:ascii="Times New Roman" w:hAnsi="Times New Roman" w:cs="Times New Roman"/>
        </w:rPr>
      </w:pPr>
      <w:r>
        <w:rPr>
          <w:rFonts w:hint="eastAsia" w:ascii="Times New Roman" w:hAnsi="Times New Roman" w:cs="Times New Roman"/>
        </w:rPr>
        <w:t>指榨菜行业企业向其法定边界以外排放的废水的量（即该企业内所有废水总和）。</w:t>
      </w:r>
    </w:p>
    <w:p>
      <w:pPr>
        <w:pStyle w:val="5"/>
        <w:ind w:firstLine="0" w:firstLineChars="0"/>
      </w:pPr>
      <w:r>
        <w:rPr>
          <w:rFonts w:ascii="黑体"/>
        </w:rPr>
        <w:t xml:space="preserve">3.7 </w:t>
      </w:r>
    </w:p>
    <w:p>
      <w:pPr>
        <w:pStyle w:val="4"/>
        <w:numPr>
          <w:ilvl w:val="1"/>
          <w:numId w:val="0"/>
        </w:numPr>
        <w:spacing w:before="120" w:beforeLines="50" w:afterLines="50" w:line="240" w:lineRule="auto"/>
        <w:ind w:firstLine="420" w:firstLineChars="200"/>
        <w:rPr>
          <w:rFonts w:ascii="黑体"/>
        </w:rPr>
      </w:pPr>
      <w:r>
        <w:rPr>
          <w:rFonts w:hint="eastAsia" w:ascii="黑体"/>
        </w:rPr>
        <w:t>单位产品基准排水量</w:t>
      </w:r>
      <w:r>
        <w:rPr>
          <w:rFonts w:ascii="黑体"/>
        </w:rPr>
        <w:t xml:space="preserve">   unit product drainage discharge</w:t>
      </w:r>
    </w:p>
    <w:p>
      <w:pPr>
        <w:spacing w:line="360" w:lineRule="auto"/>
        <w:ind w:firstLine="420" w:firstLineChars="200"/>
        <w:rPr>
          <w:rFonts w:ascii="Times New Roman" w:hAnsi="Times New Roman" w:cs="Times New Roman"/>
        </w:rPr>
      </w:pPr>
      <w:r>
        <w:rPr>
          <w:rFonts w:hint="eastAsia" w:ascii="Times New Roman" w:hAnsi="Times New Roman" w:cs="Times New Roman"/>
        </w:rPr>
        <w:t>指规定的生产单位产品的废水排放量上限值。</w:t>
      </w:r>
    </w:p>
    <w:p>
      <w:pPr>
        <w:pStyle w:val="5"/>
        <w:ind w:firstLine="0" w:firstLineChars="0"/>
      </w:pPr>
      <w:r>
        <w:rPr>
          <w:rFonts w:ascii="黑体"/>
        </w:rPr>
        <w:t xml:space="preserve">3.8 </w:t>
      </w:r>
    </w:p>
    <w:p>
      <w:pPr>
        <w:pStyle w:val="4"/>
        <w:numPr>
          <w:ilvl w:val="1"/>
          <w:numId w:val="0"/>
        </w:numPr>
        <w:spacing w:before="120" w:beforeLines="50" w:afterLines="50" w:line="240" w:lineRule="auto"/>
        <w:ind w:firstLine="420" w:firstLineChars="200"/>
        <w:rPr>
          <w:rFonts w:ascii="黑体"/>
        </w:rPr>
      </w:pPr>
      <w:r>
        <w:rPr>
          <w:rFonts w:hint="eastAsia" w:ascii="黑体"/>
        </w:rPr>
        <w:t>排污单位</w:t>
      </w:r>
      <w:r>
        <w:rPr>
          <w:rFonts w:ascii="黑体"/>
        </w:rPr>
        <w:t xml:space="preserve">   sewage disposal facility</w:t>
      </w:r>
    </w:p>
    <w:p>
      <w:pPr>
        <w:spacing w:line="360" w:lineRule="auto"/>
        <w:ind w:firstLine="420" w:firstLineChars="200"/>
        <w:rPr>
          <w:rFonts w:ascii="Times New Roman" w:hAnsi="Times New Roman" w:cs="Times New Roman"/>
        </w:rPr>
      </w:pPr>
      <w:r>
        <w:rPr>
          <w:rFonts w:hint="eastAsia" w:ascii="Times New Roman" w:hAnsi="Times New Roman" w:cs="Times New Roman"/>
        </w:rPr>
        <w:t>本标准实施之日起，已建成投产、新建、扩建、改建的榨菜行业企业。</w:t>
      </w:r>
    </w:p>
    <w:p>
      <w:pPr>
        <w:pStyle w:val="2"/>
        <w:numPr>
          <w:ilvl w:val="0"/>
          <w:numId w:val="0"/>
        </w:numPr>
      </w:pPr>
      <w:bookmarkStart w:id="21" w:name="_Toc46345910"/>
      <w:r>
        <w:rPr>
          <w:rFonts w:hint="eastAsia"/>
        </w:rPr>
        <w:t>4</w:t>
      </w:r>
      <w:r>
        <w:t xml:space="preserve">  </w:t>
      </w:r>
      <w:r>
        <w:rPr>
          <w:rFonts w:hint="eastAsia"/>
        </w:rPr>
        <w:t>污染物排放控制要求</w:t>
      </w:r>
      <w:bookmarkEnd w:id="21"/>
    </w:p>
    <w:p>
      <w:pPr>
        <w:pStyle w:val="4"/>
        <w:numPr>
          <w:ilvl w:val="0"/>
          <w:numId w:val="0"/>
        </w:numPr>
        <w:spacing w:before="120" w:beforeLines="50" w:afterLines="50" w:line="360" w:lineRule="auto"/>
        <w:rPr>
          <w:rFonts w:ascii="黑体"/>
        </w:rPr>
      </w:pPr>
      <w:r>
        <w:rPr>
          <w:rFonts w:ascii="黑体"/>
        </w:rPr>
        <w:t xml:space="preserve">4.1 </w:t>
      </w:r>
      <w:r>
        <w:rPr>
          <w:rFonts w:hint="eastAsia" w:ascii="黑体"/>
        </w:rPr>
        <w:t>控制要求</w:t>
      </w:r>
    </w:p>
    <w:p>
      <w:pPr>
        <w:pStyle w:val="6"/>
        <w:numPr>
          <w:ilvl w:val="0"/>
          <w:numId w:val="0"/>
        </w:numPr>
        <w:spacing w:after="0" w:line="360" w:lineRule="auto"/>
        <w:ind w:left="720" w:hanging="720"/>
      </w:pPr>
      <w:r>
        <w:rPr>
          <w:rFonts w:ascii="黑体" w:hAnsi="黑体" w:eastAsia="黑体"/>
          <w:bCs w:val="0"/>
        </w:rPr>
        <w:t>4.1.1</w:t>
      </w:r>
      <w:r>
        <w:rPr>
          <w:bCs w:val="0"/>
        </w:rPr>
        <w:t xml:space="preserve"> </w:t>
      </w:r>
      <w:r>
        <w:rPr>
          <w:rFonts w:hint="eastAsia"/>
          <w:bCs w:val="0"/>
        </w:rPr>
        <w:t>本标准</w:t>
      </w:r>
      <w:r>
        <w:rPr>
          <w:rFonts w:hint="eastAsia"/>
        </w:rPr>
        <w:t>规定的水污染物排放控制要求适用于企业向环境水体的排放行为。</w:t>
      </w:r>
    </w:p>
    <w:p>
      <w:pPr>
        <w:pStyle w:val="6"/>
        <w:numPr>
          <w:ilvl w:val="0"/>
          <w:numId w:val="0"/>
        </w:numPr>
        <w:spacing w:after="0" w:line="360" w:lineRule="auto"/>
        <w:rPr>
          <w:rFonts w:ascii="宋体" w:hAnsi="宋体"/>
        </w:rPr>
      </w:pPr>
      <w:r>
        <w:rPr>
          <w:rFonts w:ascii="黑体" w:hAnsi="黑体" w:eastAsia="黑体"/>
          <w:bCs w:val="0"/>
        </w:rPr>
        <w:t xml:space="preserve">4.1.2 </w:t>
      </w:r>
      <w:r>
        <w:rPr>
          <w:rFonts w:hint="eastAsia" w:ascii="宋体" w:hAnsi="宋体"/>
        </w:rPr>
        <w:t>企业向设置二级污水处理厂的城镇排水系统排放经处理后的榨菜废水尾水时，氯离子的排放除执行本标准外，还应由企业与城镇污水处理厂根据其污水处理能力商定或执行相关标准，并报当地生态环境主管部门备案。本标准的其它污染物指标尚应符合《污水排入城镇下水道水质标准</w:t>
      </w:r>
      <w:r>
        <w:rPr>
          <w:rFonts w:hint="eastAsia"/>
        </w:rPr>
        <w:t>》（</w:t>
      </w:r>
      <w:r>
        <w:t>GB/T 31962</w:t>
      </w:r>
      <w:r>
        <w:rPr>
          <w:rFonts w:hint="eastAsia"/>
        </w:rPr>
        <w:t>）。</w:t>
      </w:r>
    </w:p>
    <w:p>
      <w:pPr>
        <w:pStyle w:val="4"/>
        <w:numPr>
          <w:ilvl w:val="0"/>
          <w:numId w:val="0"/>
        </w:numPr>
        <w:spacing w:before="120" w:beforeLines="50" w:afterLines="50" w:line="360" w:lineRule="auto"/>
        <w:rPr>
          <w:rFonts w:ascii="黑体"/>
          <w:bCs/>
        </w:rPr>
      </w:pPr>
      <w:r>
        <w:rPr>
          <w:rFonts w:ascii="黑体"/>
        </w:rPr>
        <w:t xml:space="preserve">4.2 </w:t>
      </w:r>
      <w:r>
        <w:rPr>
          <w:rFonts w:hint="eastAsia" w:ascii="黑体"/>
        </w:rPr>
        <w:t>排放标准值</w:t>
      </w:r>
    </w:p>
    <w:p>
      <w:pPr>
        <w:pStyle w:val="6"/>
        <w:numPr>
          <w:ilvl w:val="0"/>
          <w:numId w:val="0"/>
        </w:numPr>
        <w:spacing w:after="0" w:line="360" w:lineRule="auto"/>
        <w:rPr>
          <w:rFonts w:ascii="宋体" w:hAnsi="宋体"/>
        </w:rPr>
      </w:pPr>
      <w:r>
        <w:rPr>
          <w:rFonts w:ascii="黑体" w:hAnsi="黑体" w:eastAsia="黑体"/>
          <w:bCs w:val="0"/>
        </w:rPr>
        <w:t xml:space="preserve">4.2.1 </w:t>
      </w:r>
      <w:r>
        <w:rPr>
          <w:rFonts w:hint="eastAsia" w:ascii="宋体" w:hAnsi="宋体"/>
        </w:rPr>
        <w:t>本标准实施之日起至</w:t>
      </w:r>
      <w:r>
        <w:t>2023</w:t>
      </w:r>
      <w:r>
        <w:rPr>
          <w:rFonts w:hint="eastAsia"/>
        </w:rPr>
        <w:t>年</w:t>
      </w:r>
      <w:r>
        <w:t>12</w:t>
      </w:r>
      <w:r>
        <w:rPr>
          <w:rFonts w:hint="eastAsia"/>
        </w:rPr>
        <w:t>月</w:t>
      </w:r>
      <w:r>
        <w:t>31</w:t>
      </w:r>
      <w:r>
        <w:rPr>
          <w:rFonts w:hint="eastAsia"/>
        </w:rPr>
        <w:t>日</w:t>
      </w:r>
      <w:r>
        <w:rPr>
          <w:rFonts w:hint="eastAsia" w:ascii="宋体" w:hAnsi="宋体"/>
        </w:rPr>
        <w:t>，排污单位水污染物的排</w:t>
      </w:r>
      <w:r>
        <w:rPr>
          <w:rFonts w:hint="eastAsia"/>
        </w:rPr>
        <w:t>放按表</w:t>
      </w:r>
      <w:r>
        <w:t xml:space="preserve"> 1 </w:t>
      </w:r>
      <w:r>
        <w:rPr>
          <w:rFonts w:hint="eastAsia"/>
        </w:rPr>
        <w:t>的规</w:t>
      </w:r>
      <w:r>
        <w:rPr>
          <w:rFonts w:hint="eastAsia" w:ascii="宋体" w:hAnsi="宋体"/>
        </w:rPr>
        <w:t>定执行。</w:t>
      </w:r>
    </w:p>
    <w:p>
      <w:pPr>
        <w:spacing w:line="360" w:lineRule="auto"/>
        <w:rPr>
          <w:rFonts w:ascii="宋体" w:hAnsi="宋体"/>
        </w:rPr>
      </w:pPr>
      <w:r>
        <w:rPr>
          <w:rFonts w:ascii="黑体" w:hAnsi="黑体" w:eastAsia="黑体"/>
        </w:rPr>
        <w:t>4.2.</w:t>
      </w:r>
      <w:r>
        <w:rPr>
          <w:rFonts w:hint="eastAsia" w:ascii="黑体" w:hAnsi="黑体" w:eastAsia="黑体"/>
        </w:rPr>
        <w:t>2</w:t>
      </w:r>
      <w:r>
        <w:rPr>
          <w:rFonts w:ascii="黑体" w:hAnsi="黑体" w:eastAsia="黑体"/>
        </w:rPr>
        <w:t xml:space="preserve"> </w:t>
      </w:r>
      <w:r>
        <w:rPr>
          <w:rFonts w:ascii="Times New Roman" w:hAnsi="Times New Roman" w:cs="Times New Roman"/>
          <w:bCs/>
          <w:szCs w:val="20"/>
        </w:rPr>
        <w:t>2024</w:t>
      </w:r>
      <w:r>
        <w:rPr>
          <w:rFonts w:hint="eastAsia" w:ascii="Times New Roman" w:hAnsi="Times New Roman" w:cs="Times New Roman"/>
          <w:bCs/>
          <w:szCs w:val="20"/>
        </w:rPr>
        <w:t>年</w:t>
      </w:r>
      <w:r>
        <w:rPr>
          <w:rFonts w:ascii="Times New Roman" w:hAnsi="Times New Roman" w:cs="Times New Roman"/>
          <w:bCs/>
          <w:szCs w:val="20"/>
        </w:rPr>
        <w:t>1</w:t>
      </w:r>
      <w:r>
        <w:rPr>
          <w:rFonts w:hint="eastAsia" w:ascii="Times New Roman" w:hAnsi="Times New Roman" w:cs="Times New Roman"/>
          <w:bCs/>
          <w:szCs w:val="20"/>
        </w:rPr>
        <w:t>月</w:t>
      </w:r>
      <w:r>
        <w:rPr>
          <w:rFonts w:ascii="Times New Roman" w:hAnsi="Times New Roman" w:cs="Times New Roman"/>
          <w:bCs/>
          <w:szCs w:val="20"/>
        </w:rPr>
        <w:t>1</w:t>
      </w:r>
      <w:r>
        <w:rPr>
          <w:rFonts w:hint="eastAsia" w:ascii="Times New Roman" w:hAnsi="Times New Roman" w:cs="Times New Roman"/>
          <w:bCs/>
          <w:szCs w:val="20"/>
        </w:rPr>
        <w:t>日起至</w:t>
      </w:r>
      <w:r>
        <w:rPr>
          <w:rFonts w:ascii="Times New Roman" w:hAnsi="Times New Roman" w:cs="Times New Roman"/>
          <w:bCs/>
          <w:szCs w:val="20"/>
        </w:rPr>
        <w:t>2024</w:t>
      </w:r>
      <w:r>
        <w:rPr>
          <w:rFonts w:hint="eastAsia" w:ascii="Times New Roman" w:hAnsi="Times New Roman" w:cs="Times New Roman"/>
          <w:bCs/>
          <w:szCs w:val="20"/>
        </w:rPr>
        <w:t>年</w:t>
      </w:r>
      <w:r>
        <w:rPr>
          <w:rFonts w:ascii="Times New Roman" w:hAnsi="Times New Roman" w:cs="Times New Roman"/>
          <w:bCs/>
          <w:szCs w:val="20"/>
        </w:rPr>
        <w:t>12</w:t>
      </w:r>
      <w:r>
        <w:rPr>
          <w:rFonts w:hint="eastAsia" w:ascii="Times New Roman" w:hAnsi="Times New Roman" w:cs="Times New Roman"/>
          <w:bCs/>
          <w:szCs w:val="20"/>
        </w:rPr>
        <w:t>月</w:t>
      </w:r>
      <w:r>
        <w:rPr>
          <w:rFonts w:ascii="Times New Roman" w:hAnsi="Times New Roman" w:cs="Times New Roman"/>
          <w:bCs/>
          <w:szCs w:val="20"/>
        </w:rPr>
        <w:t>31</w:t>
      </w:r>
      <w:r>
        <w:rPr>
          <w:rFonts w:hint="eastAsia" w:ascii="Times New Roman" w:hAnsi="Times New Roman" w:cs="Times New Roman"/>
          <w:bCs/>
          <w:szCs w:val="20"/>
        </w:rPr>
        <w:t>日</w:t>
      </w:r>
      <w:r>
        <w:rPr>
          <w:rFonts w:hint="eastAsia" w:ascii="宋体" w:hAnsi="宋体" w:cs="Times New Roman"/>
          <w:bCs/>
          <w:szCs w:val="20"/>
        </w:rPr>
        <w:t>，排污单位水污染物的排放按</w:t>
      </w:r>
      <w:r>
        <w:rPr>
          <w:rFonts w:hint="eastAsia" w:ascii="Times New Roman" w:hAnsi="Times New Roman" w:cs="Times New Roman"/>
          <w:bCs/>
          <w:szCs w:val="20"/>
        </w:rPr>
        <w:t>表</w:t>
      </w:r>
      <w:r>
        <w:rPr>
          <w:rFonts w:ascii="Times New Roman" w:hAnsi="Times New Roman" w:cs="Times New Roman"/>
          <w:bCs/>
          <w:szCs w:val="20"/>
        </w:rPr>
        <w:t xml:space="preserve"> 2 </w:t>
      </w:r>
      <w:r>
        <w:rPr>
          <w:rFonts w:hint="eastAsia" w:ascii="Times New Roman" w:hAnsi="Times New Roman" w:cs="Times New Roman"/>
          <w:bCs/>
          <w:szCs w:val="20"/>
        </w:rPr>
        <w:t>的规</w:t>
      </w:r>
      <w:r>
        <w:rPr>
          <w:rFonts w:hint="eastAsia" w:ascii="宋体" w:hAnsi="宋体" w:cs="Times New Roman"/>
          <w:bCs/>
          <w:szCs w:val="20"/>
        </w:rPr>
        <w:t>定执行。</w:t>
      </w:r>
    </w:p>
    <w:p>
      <w:pPr>
        <w:spacing w:line="360" w:lineRule="auto"/>
        <w:rPr>
          <w:rFonts w:ascii="宋体" w:hAnsi="宋体"/>
        </w:rPr>
      </w:pPr>
      <w:r>
        <w:rPr>
          <w:rFonts w:ascii="黑体" w:hAnsi="黑体" w:eastAsia="黑体"/>
        </w:rPr>
        <w:t>4.2.</w:t>
      </w:r>
      <w:r>
        <w:rPr>
          <w:rFonts w:hint="eastAsia" w:ascii="黑体" w:hAnsi="黑体" w:eastAsia="黑体"/>
        </w:rPr>
        <w:t>3</w:t>
      </w:r>
      <w:r>
        <w:rPr>
          <w:rFonts w:ascii="黑体" w:hAnsi="黑体" w:eastAsia="黑体"/>
        </w:rPr>
        <w:t xml:space="preserve"> </w:t>
      </w:r>
      <w:r>
        <w:rPr>
          <w:rFonts w:hint="eastAsia" w:ascii="Times New Roman" w:hAnsi="Times New Roman" w:cs="Times New Roman"/>
          <w:bCs/>
          <w:szCs w:val="20"/>
        </w:rPr>
        <w:t>2024年按照《重庆市地方标准管理办法》第二十七条，对本标准进行复审，复审通过后，从2025年1月1日起，排污单位水污染物的排放按表 3 的规定执行。</w:t>
      </w:r>
    </w:p>
    <w:p>
      <w:pPr>
        <w:pStyle w:val="6"/>
        <w:numPr>
          <w:ilvl w:val="0"/>
          <w:numId w:val="0"/>
        </w:numPr>
        <w:spacing w:after="0" w:line="360" w:lineRule="auto"/>
      </w:pPr>
      <w:r>
        <w:rPr>
          <w:rFonts w:ascii="黑体" w:hAnsi="黑体" w:eastAsia="黑体"/>
          <w:bCs w:val="0"/>
        </w:rPr>
        <w:t>4.2.</w:t>
      </w:r>
      <w:r>
        <w:rPr>
          <w:rFonts w:hint="eastAsia" w:ascii="黑体" w:hAnsi="黑体" w:eastAsia="黑体"/>
          <w:bCs w:val="0"/>
        </w:rPr>
        <w:t>4</w:t>
      </w:r>
      <w:r>
        <w:rPr>
          <w:rFonts w:ascii="黑体" w:hAnsi="黑体" w:eastAsia="黑体"/>
          <w:bCs w:val="0"/>
        </w:rPr>
        <w:t xml:space="preserve"> </w:t>
      </w:r>
      <w:r>
        <w:t>本标准发布实施后，</w:t>
      </w:r>
      <w:r>
        <w:rPr>
          <w:rFonts w:hint="eastAsia"/>
        </w:rPr>
        <w:t>若</w:t>
      </w:r>
      <w:r>
        <w:t>新发布实施的国家水污染物排放标准严于本标准，或者新制定的国家水污染物排放标准涉及本标准未做规定的污染物项目，</w:t>
      </w:r>
      <w:r>
        <w:rPr>
          <w:rFonts w:hint="eastAsia"/>
        </w:rPr>
        <w:t>则</w:t>
      </w:r>
      <w:r>
        <w:t>按国家标准执行。</w:t>
      </w:r>
    </w:p>
    <w:p>
      <w:pPr>
        <w:numPr>
          <w:ilvl w:val="0"/>
          <w:numId w:val="3"/>
        </w:numPr>
        <w:spacing w:line="360" w:lineRule="exact"/>
        <w:ind w:left="0" w:firstLine="0"/>
        <w:jc w:val="center"/>
        <w:rPr>
          <w:rFonts w:ascii="Times New Roman" w:hAnsi="Times New Roman" w:eastAsia="黑体" w:cs="Times New Roman"/>
        </w:rPr>
      </w:pPr>
      <w:r>
        <w:rPr>
          <w:rFonts w:hint="eastAsia" w:ascii="Times New Roman" w:hAnsi="Times New Roman" w:eastAsia="黑体" w:cs="Times New Roman"/>
        </w:rPr>
        <w:t xml:space="preserve"> 榨菜行业水污染物排放标准值（2023年12月31日前）</w:t>
      </w:r>
    </w:p>
    <w:tbl>
      <w:tblPr>
        <w:tblStyle w:val="27"/>
        <w:tblW w:w="8221" w:type="dxa"/>
        <w:tblInd w:w="421" w:type="dxa"/>
        <w:tblLayout w:type="fixed"/>
        <w:tblCellMar>
          <w:top w:w="0" w:type="dxa"/>
          <w:left w:w="108" w:type="dxa"/>
          <w:bottom w:w="0" w:type="dxa"/>
          <w:right w:w="108" w:type="dxa"/>
        </w:tblCellMar>
      </w:tblPr>
      <w:tblGrid>
        <w:gridCol w:w="708"/>
        <w:gridCol w:w="1843"/>
        <w:gridCol w:w="1559"/>
        <w:gridCol w:w="2383"/>
        <w:gridCol w:w="1728"/>
      </w:tblGrid>
      <w:tr>
        <w:tblPrEx>
          <w:tblCellMar>
            <w:top w:w="0" w:type="dxa"/>
            <w:left w:w="108" w:type="dxa"/>
            <w:bottom w:w="0" w:type="dxa"/>
            <w:right w:w="108" w:type="dxa"/>
          </w:tblCellMar>
        </w:tblPrEx>
        <w:trPr>
          <w:trHeight w:val="43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22"/>
              </w:rPr>
            </w:pPr>
            <w:r>
              <w:rPr>
                <w:rFonts w:hint="eastAsia" w:ascii="微软雅黑" w:hAnsi="微软雅黑" w:cs="微软雅黑"/>
                <w:kern w:val="0"/>
                <w:sz w:val="18"/>
                <w:szCs w:val="22"/>
              </w:rPr>
              <w:t>序号</w:t>
            </w:r>
          </w:p>
        </w:tc>
        <w:tc>
          <w:tcPr>
            <w:tcW w:w="578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微软雅黑" w:hAnsi="微软雅黑" w:cs="微软雅黑"/>
                <w:kern w:val="0"/>
                <w:sz w:val="18"/>
                <w:szCs w:val="18"/>
              </w:rPr>
              <w:t>污染物</w:t>
            </w:r>
          </w:p>
        </w:tc>
        <w:tc>
          <w:tcPr>
            <w:tcW w:w="17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微软雅黑" w:hAnsi="微软雅黑" w:cs="微软雅黑"/>
                <w:kern w:val="0"/>
                <w:sz w:val="18"/>
                <w:szCs w:val="18"/>
              </w:rPr>
              <w:t>最高允许排放值</w:t>
            </w:r>
          </w:p>
        </w:tc>
      </w:tr>
      <w:tr>
        <w:tblPrEx>
          <w:tblCellMar>
            <w:top w:w="0" w:type="dxa"/>
            <w:left w:w="108" w:type="dxa"/>
            <w:bottom w:w="0" w:type="dxa"/>
            <w:right w:w="108" w:type="dxa"/>
          </w:tblCellMar>
        </w:tblPrEx>
        <w:trPr>
          <w:trHeight w:val="287" w:hRule="atLeast"/>
        </w:trPr>
        <w:tc>
          <w:tcPr>
            <w:tcW w:w="7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22"/>
              </w:rPr>
            </w:pPr>
            <w:r>
              <w:rPr>
                <w:rFonts w:ascii="Times New Roman" w:hAnsi="Times New Roman"/>
                <w:kern w:val="0"/>
                <w:sz w:val="18"/>
                <w:szCs w:val="22"/>
              </w:rPr>
              <w:t>1</w:t>
            </w:r>
          </w:p>
        </w:tc>
        <w:tc>
          <w:tcPr>
            <w:tcW w:w="34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pH</w:t>
            </w:r>
          </w:p>
        </w:tc>
        <w:tc>
          <w:tcPr>
            <w:tcW w:w="238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微软雅黑" w:hAnsi="微软雅黑" w:cs="微软雅黑"/>
                <w:kern w:val="0"/>
                <w:sz w:val="18"/>
                <w:szCs w:val="18"/>
              </w:rPr>
              <w:t>—</w:t>
            </w:r>
          </w:p>
        </w:tc>
        <w:tc>
          <w:tcPr>
            <w:tcW w:w="172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6~9</w:t>
            </w:r>
          </w:p>
        </w:tc>
      </w:tr>
      <w:tr>
        <w:tblPrEx>
          <w:tblCellMar>
            <w:top w:w="0" w:type="dxa"/>
            <w:left w:w="108" w:type="dxa"/>
            <w:bottom w:w="0" w:type="dxa"/>
            <w:right w:w="108" w:type="dxa"/>
          </w:tblCellMar>
        </w:tblPrEx>
        <w:trPr>
          <w:trHeight w:val="287" w:hRule="atLeast"/>
        </w:trPr>
        <w:tc>
          <w:tcPr>
            <w:tcW w:w="7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22"/>
              </w:rPr>
            </w:pPr>
            <w:r>
              <w:rPr>
                <w:rFonts w:ascii="Times New Roman" w:hAnsi="Times New Roman"/>
                <w:kern w:val="0"/>
                <w:sz w:val="18"/>
                <w:szCs w:val="22"/>
              </w:rPr>
              <w:t>2</w:t>
            </w:r>
          </w:p>
        </w:tc>
        <w:tc>
          <w:tcPr>
            <w:tcW w:w="34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微软雅黑" w:hAnsi="微软雅黑" w:cs="微软雅黑"/>
                <w:kern w:val="0"/>
                <w:sz w:val="18"/>
                <w:szCs w:val="18"/>
              </w:rPr>
              <w:t>化学需氧量（</w:t>
            </w:r>
            <w:r>
              <w:rPr>
                <w:rFonts w:ascii="Times New Roman" w:hAnsi="Times New Roman" w:cs="Times New Roman"/>
                <w:kern w:val="0"/>
                <w:sz w:val="18"/>
                <w:szCs w:val="18"/>
              </w:rPr>
              <w:t>COD</w:t>
            </w:r>
            <w:r>
              <w:rPr>
                <w:rFonts w:hint="eastAsia" w:ascii="微软雅黑" w:hAnsi="微软雅黑" w:cs="微软雅黑"/>
                <w:kern w:val="0"/>
                <w:sz w:val="18"/>
                <w:szCs w:val="18"/>
              </w:rPr>
              <w:t>）</w:t>
            </w:r>
          </w:p>
        </w:tc>
        <w:tc>
          <w:tcPr>
            <w:tcW w:w="238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mg/L</w:t>
            </w:r>
          </w:p>
        </w:tc>
        <w:tc>
          <w:tcPr>
            <w:tcW w:w="172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100</w:t>
            </w:r>
          </w:p>
        </w:tc>
      </w:tr>
      <w:tr>
        <w:tblPrEx>
          <w:tblCellMar>
            <w:top w:w="0" w:type="dxa"/>
            <w:left w:w="108" w:type="dxa"/>
            <w:bottom w:w="0" w:type="dxa"/>
            <w:right w:w="108" w:type="dxa"/>
          </w:tblCellMar>
        </w:tblPrEx>
        <w:trPr>
          <w:trHeight w:val="287" w:hRule="atLeast"/>
        </w:trPr>
        <w:tc>
          <w:tcPr>
            <w:tcW w:w="7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22"/>
              </w:rPr>
            </w:pPr>
            <w:r>
              <w:rPr>
                <w:rFonts w:ascii="Times New Roman" w:hAnsi="Times New Roman"/>
                <w:kern w:val="0"/>
                <w:sz w:val="18"/>
                <w:szCs w:val="22"/>
              </w:rPr>
              <w:t>3</w:t>
            </w:r>
          </w:p>
        </w:tc>
        <w:tc>
          <w:tcPr>
            <w:tcW w:w="340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18"/>
                <w:szCs w:val="18"/>
              </w:rPr>
            </w:pPr>
            <w:r>
              <w:rPr>
                <w:rFonts w:hint="eastAsia" w:ascii="微软雅黑" w:hAnsi="微软雅黑" w:cs="微软雅黑"/>
                <w:kern w:val="0"/>
                <w:sz w:val="18"/>
                <w:szCs w:val="18"/>
              </w:rPr>
              <w:t>悬浮物（</w:t>
            </w:r>
            <w:r>
              <w:rPr>
                <w:rFonts w:ascii="Times New Roman" w:hAnsi="Times New Roman" w:cs="Times New Roman"/>
                <w:kern w:val="0"/>
                <w:sz w:val="18"/>
                <w:szCs w:val="18"/>
              </w:rPr>
              <w:t>SS</w:t>
            </w:r>
            <w:r>
              <w:rPr>
                <w:rFonts w:hint="eastAsia" w:ascii="微软雅黑" w:hAnsi="微软雅黑" w:cs="微软雅黑"/>
                <w:kern w:val="0"/>
                <w:sz w:val="18"/>
                <w:szCs w:val="18"/>
              </w:rPr>
              <w:t>）</w:t>
            </w:r>
          </w:p>
        </w:tc>
        <w:tc>
          <w:tcPr>
            <w:tcW w:w="238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mg/L</w:t>
            </w:r>
          </w:p>
        </w:tc>
        <w:tc>
          <w:tcPr>
            <w:tcW w:w="172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70</w:t>
            </w:r>
          </w:p>
        </w:tc>
      </w:tr>
      <w:tr>
        <w:tblPrEx>
          <w:tblCellMar>
            <w:top w:w="0" w:type="dxa"/>
            <w:left w:w="108" w:type="dxa"/>
            <w:bottom w:w="0" w:type="dxa"/>
            <w:right w:w="108" w:type="dxa"/>
          </w:tblCellMar>
        </w:tblPrEx>
        <w:trPr>
          <w:trHeight w:val="287" w:hRule="atLeast"/>
        </w:trPr>
        <w:tc>
          <w:tcPr>
            <w:tcW w:w="7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22"/>
              </w:rPr>
            </w:pPr>
            <w:r>
              <w:rPr>
                <w:rFonts w:ascii="Times New Roman" w:hAnsi="Times New Roman"/>
                <w:kern w:val="0"/>
                <w:sz w:val="18"/>
                <w:szCs w:val="22"/>
              </w:rPr>
              <w:t>4</w:t>
            </w:r>
          </w:p>
        </w:tc>
        <w:tc>
          <w:tcPr>
            <w:tcW w:w="340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18"/>
                <w:szCs w:val="18"/>
              </w:rPr>
            </w:pPr>
            <w:r>
              <w:rPr>
                <w:rFonts w:hint="eastAsia" w:ascii="微软雅黑" w:hAnsi="微软雅黑" w:cs="微软雅黑"/>
                <w:kern w:val="0"/>
                <w:sz w:val="18"/>
                <w:szCs w:val="18"/>
              </w:rPr>
              <w:t>氨氮</w:t>
            </w:r>
          </w:p>
        </w:tc>
        <w:tc>
          <w:tcPr>
            <w:tcW w:w="238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mg/L</w:t>
            </w:r>
          </w:p>
        </w:tc>
        <w:tc>
          <w:tcPr>
            <w:tcW w:w="172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15</w:t>
            </w:r>
          </w:p>
        </w:tc>
      </w:tr>
      <w:tr>
        <w:tblPrEx>
          <w:tblCellMar>
            <w:top w:w="0" w:type="dxa"/>
            <w:left w:w="108" w:type="dxa"/>
            <w:bottom w:w="0" w:type="dxa"/>
            <w:right w:w="108" w:type="dxa"/>
          </w:tblCellMar>
        </w:tblPrEx>
        <w:trPr>
          <w:trHeight w:val="287" w:hRule="atLeast"/>
        </w:trPr>
        <w:tc>
          <w:tcPr>
            <w:tcW w:w="7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22"/>
              </w:rPr>
            </w:pPr>
            <w:r>
              <w:rPr>
                <w:rFonts w:ascii="Times New Roman" w:hAnsi="Times New Roman"/>
                <w:kern w:val="0"/>
                <w:sz w:val="18"/>
                <w:szCs w:val="22"/>
              </w:rPr>
              <w:t>5</w:t>
            </w:r>
          </w:p>
        </w:tc>
        <w:tc>
          <w:tcPr>
            <w:tcW w:w="340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18"/>
                <w:szCs w:val="18"/>
              </w:rPr>
            </w:pPr>
            <w:r>
              <w:rPr>
                <w:rFonts w:hint="eastAsia" w:ascii="微软雅黑" w:hAnsi="微软雅黑" w:cs="微软雅黑"/>
                <w:kern w:val="0"/>
                <w:sz w:val="18"/>
                <w:szCs w:val="18"/>
              </w:rPr>
              <w:t>总磷</w:t>
            </w:r>
          </w:p>
        </w:tc>
        <w:tc>
          <w:tcPr>
            <w:tcW w:w="238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mg/L</w:t>
            </w:r>
          </w:p>
        </w:tc>
        <w:tc>
          <w:tcPr>
            <w:tcW w:w="172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0.5</w:t>
            </w:r>
          </w:p>
        </w:tc>
      </w:tr>
      <w:tr>
        <w:tblPrEx>
          <w:tblCellMar>
            <w:top w:w="0" w:type="dxa"/>
            <w:left w:w="108" w:type="dxa"/>
            <w:bottom w:w="0" w:type="dxa"/>
            <w:right w:w="108" w:type="dxa"/>
          </w:tblCellMar>
        </w:tblPrEx>
        <w:trPr>
          <w:trHeight w:val="430" w:hRule="atLeast"/>
        </w:trPr>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kern w:val="0"/>
                <w:sz w:val="18"/>
                <w:szCs w:val="22"/>
              </w:rPr>
            </w:pPr>
            <w:r>
              <w:rPr>
                <w:rFonts w:ascii="Times New Roman" w:hAnsi="Times New Roman"/>
                <w:kern w:val="0"/>
                <w:sz w:val="18"/>
                <w:szCs w:val="22"/>
              </w:rPr>
              <w:t>6</w:t>
            </w:r>
          </w:p>
        </w:tc>
        <w:tc>
          <w:tcPr>
            <w:tcW w:w="184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微软雅黑" w:hAnsi="微软雅黑" w:cs="微软雅黑"/>
                <w:kern w:val="0"/>
                <w:sz w:val="18"/>
                <w:szCs w:val="18"/>
              </w:rPr>
              <w:t>氯化物（以</w:t>
            </w:r>
            <w:r>
              <w:rPr>
                <w:rFonts w:ascii="Times New Roman" w:hAnsi="Times New Roman" w:cs="Times New Roman"/>
                <w:kern w:val="0"/>
                <w:sz w:val="18"/>
                <w:szCs w:val="18"/>
              </w:rPr>
              <w:t>Cl</w:t>
            </w:r>
            <w:r>
              <w:rPr>
                <w:rFonts w:ascii="Times New Roman" w:hAnsi="Times New Roman" w:cs="Times New Roman"/>
                <w:kern w:val="0"/>
                <w:sz w:val="18"/>
                <w:szCs w:val="18"/>
                <w:vertAlign w:val="superscript"/>
              </w:rPr>
              <w:t>-</w:t>
            </w:r>
            <w:r>
              <w:rPr>
                <w:rFonts w:hint="eastAsia" w:ascii="微软雅黑" w:hAnsi="微软雅黑" w:cs="微软雅黑"/>
                <w:kern w:val="0"/>
                <w:sz w:val="18"/>
                <w:szCs w:val="18"/>
              </w:rPr>
              <w:t>计）</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mg/L</w:t>
            </w:r>
          </w:p>
        </w:tc>
        <w:tc>
          <w:tcPr>
            <w:tcW w:w="238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微软雅黑" w:hAnsi="微软雅黑" w:cs="微软雅黑"/>
                <w:kern w:val="0"/>
                <w:sz w:val="18"/>
                <w:szCs w:val="18"/>
              </w:rPr>
              <w:t>榨菜型产品企业</w:t>
            </w:r>
          </w:p>
        </w:tc>
        <w:tc>
          <w:tcPr>
            <w:tcW w:w="172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8000</w:t>
            </w:r>
          </w:p>
        </w:tc>
      </w:tr>
      <w:tr>
        <w:tblPrEx>
          <w:tblCellMar>
            <w:top w:w="0" w:type="dxa"/>
            <w:left w:w="108" w:type="dxa"/>
            <w:bottom w:w="0" w:type="dxa"/>
            <w:right w:w="108" w:type="dxa"/>
          </w:tblCellMar>
        </w:tblPrEx>
        <w:trPr>
          <w:trHeight w:val="430" w:hRule="atLeast"/>
        </w:trPr>
        <w:tc>
          <w:tcPr>
            <w:tcW w:w="708"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kern w:val="0"/>
                <w:sz w:val="18"/>
                <w:szCs w:val="22"/>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18"/>
                <w:szCs w:val="18"/>
              </w:rPr>
            </w:pPr>
          </w:p>
        </w:tc>
        <w:tc>
          <w:tcPr>
            <w:tcW w:w="2383"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kern w:val="0"/>
                <w:sz w:val="18"/>
                <w:szCs w:val="18"/>
                <w:vertAlign w:val="superscript"/>
                <w:lang w:val="en-US" w:eastAsia="zh-CN"/>
              </w:rPr>
            </w:pPr>
            <w:r>
              <w:rPr>
                <w:rFonts w:hint="eastAsia" w:ascii="微软雅黑" w:hAnsi="微软雅黑" w:cs="微软雅黑"/>
                <w:kern w:val="0"/>
                <w:sz w:val="18"/>
                <w:szCs w:val="18"/>
              </w:rPr>
              <w:t>混合型产品企业</w:t>
            </w:r>
            <w:r>
              <w:rPr>
                <w:rFonts w:hint="eastAsia" w:ascii="微软雅黑" w:hAnsi="微软雅黑" w:cs="微软雅黑"/>
                <w:kern w:val="0"/>
                <w:sz w:val="18"/>
                <w:szCs w:val="18"/>
                <w:vertAlign w:val="superscript"/>
                <w:lang w:val="en-US" w:eastAsia="zh-CN"/>
              </w:rPr>
              <w:t>1</w:t>
            </w:r>
          </w:p>
        </w:tc>
        <w:tc>
          <w:tcPr>
            <w:tcW w:w="172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5000</w:t>
            </w:r>
          </w:p>
        </w:tc>
      </w:tr>
      <w:tr>
        <w:tblPrEx>
          <w:tblCellMar>
            <w:top w:w="0" w:type="dxa"/>
            <w:left w:w="108" w:type="dxa"/>
            <w:bottom w:w="0" w:type="dxa"/>
            <w:right w:w="108" w:type="dxa"/>
          </w:tblCellMar>
        </w:tblPrEx>
        <w:trPr>
          <w:trHeight w:val="542" w:hRule="atLeast"/>
        </w:trPr>
        <w:tc>
          <w:tcPr>
            <w:tcW w:w="708"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kern w:val="0"/>
                <w:sz w:val="18"/>
                <w:szCs w:val="22"/>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18"/>
                <w:szCs w:val="18"/>
              </w:rPr>
            </w:pPr>
          </w:p>
        </w:tc>
        <w:tc>
          <w:tcPr>
            <w:tcW w:w="238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微软雅黑" w:hAnsi="微软雅黑" w:cs="微软雅黑"/>
                <w:kern w:val="0"/>
                <w:sz w:val="18"/>
                <w:szCs w:val="18"/>
              </w:rPr>
              <w:t>其它腌制蔬菜产品企业</w:t>
            </w:r>
          </w:p>
        </w:tc>
        <w:tc>
          <w:tcPr>
            <w:tcW w:w="172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2000</w:t>
            </w:r>
          </w:p>
        </w:tc>
      </w:tr>
      <w:tr>
        <w:tblPrEx>
          <w:tblCellMar>
            <w:top w:w="0" w:type="dxa"/>
            <w:left w:w="108" w:type="dxa"/>
            <w:bottom w:w="0" w:type="dxa"/>
            <w:right w:w="108" w:type="dxa"/>
          </w:tblCellMar>
        </w:tblPrEx>
        <w:trPr>
          <w:trHeight w:val="430" w:hRule="atLeast"/>
        </w:trPr>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kern w:val="0"/>
                <w:sz w:val="18"/>
                <w:szCs w:val="22"/>
              </w:rPr>
            </w:pPr>
            <w:r>
              <w:rPr>
                <w:rFonts w:ascii="Times New Roman" w:hAnsi="Times New Roman"/>
                <w:kern w:val="0"/>
                <w:sz w:val="18"/>
                <w:szCs w:val="22"/>
              </w:rPr>
              <w:t>7</w:t>
            </w:r>
          </w:p>
        </w:tc>
        <w:tc>
          <w:tcPr>
            <w:tcW w:w="184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微软雅黑" w:hAnsi="微软雅黑" w:cs="微软雅黑"/>
                <w:kern w:val="0"/>
                <w:sz w:val="18"/>
                <w:szCs w:val="18"/>
              </w:rPr>
              <w:t>单位产品基准排水量</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m</w:t>
            </w:r>
            <w:r>
              <w:rPr>
                <w:rFonts w:ascii="Times New Roman" w:hAnsi="Times New Roman" w:cs="Times New Roman"/>
                <w:kern w:val="0"/>
                <w:sz w:val="18"/>
                <w:szCs w:val="18"/>
                <w:vertAlign w:val="superscript"/>
              </w:rPr>
              <w:t>3</w:t>
            </w:r>
            <w:r>
              <w:rPr>
                <w:rFonts w:ascii="Times New Roman" w:hAnsi="Times New Roman" w:cs="Times New Roman"/>
                <w:kern w:val="0"/>
                <w:sz w:val="18"/>
                <w:szCs w:val="18"/>
              </w:rPr>
              <w:t>/t</w:t>
            </w:r>
            <w:r>
              <w:rPr>
                <w:rFonts w:hint="eastAsia" w:ascii="微软雅黑" w:hAnsi="微软雅黑" w:cs="微软雅黑"/>
                <w:kern w:val="0"/>
                <w:sz w:val="18"/>
                <w:szCs w:val="18"/>
              </w:rPr>
              <w:t>产品</w:t>
            </w:r>
          </w:p>
        </w:tc>
        <w:tc>
          <w:tcPr>
            <w:tcW w:w="238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微软雅黑" w:hAnsi="微软雅黑" w:cs="微软雅黑"/>
                <w:kern w:val="0"/>
                <w:sz w:val="18"/>
                <w:szCs w:val="18"/>
              </w:rPr>
              <w:t>榨菜型产品企业</w:t>
            </w:r>
          </w:p>
        </w:tc>
        <w:tc>
          <w:tcPr>
            <w:tcW w:w="172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18</w:t>
            </w:r>
          </w:p>
        </w:tc>
      </w:tr>
      <w:tr>
        <w:tblPrEx>
          <w:tblCellMar>
            <w:top w:w="0" w:type="dxa"/>
            <w:left w:w="108" w:type="dxa"/>
            <w:bottom w:w="0" w:type="dxa"/>
            <w:right w:w="108" w:type="dxa"/>
          </w:tblCellMar>
        </w:tblPrEx>
        <w:trPr>
          <w:trHeight w:val="430" w:hRule="atLeast"/>
        </w:trPr>
        <w:tc>
          <w:tcPr>
            <w:tcW w:w="708"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kern w:val="0"/>
                <w:sz w:val="18"/>
                <w:szCs w:val="22"/>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18"/>
                <w:szCs w:val="18"/>
              </w:rPr>
            </w:pPr>
          </w:p>
        </w:tc>
        <w:tc>
          <w:tcPr>
            <w:tcW w:w="2383"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kern w:val="0"/>
                <w:sz w:val="18"/>
                <w:szCs w:val="18"/>
                <w:vertAlign w:val="superscript"/>
                <w:lang w:val="en-US" w:eastAsia="zh-CN"/>
              </w:rPr>
            </w:pPr>
            <w:r>
              <w:rPr>
                <w:rFonts w:hint="eastAsia" w:ascii="微软雅黑" w:hAnsi="微软雅黑" w:cs="微软雅黑"/>
                <w:kern w:val="0"/>
                <w:sz w:val="18"/>
                <w:szCs w:val="18"/>
              </w:rPr>
              <w:t>混合型产品企业</w:t>
            </w:r>
            <w:r>
              <w:rPr>
                <w:rFonts w:hint="eastAsia" w:ascii="微软雅黑" w:hAnsi="微软雅黑" w:cs="微软雅黑"/>
                <w:kern w:val="0"/>
                <w:sz w:val="18"/>
                <w:szCs w:val="18"/>
                <w:vertAlign w:val="superscript"/>
                <w:lang w:val="en-US" w:eastAsia="zh-CN"/>
              </w:rPr>
              <w:t>1</w:t>
            </w:r>
          </w:p>
        </w:tc>
        <w:tc>
          <w:tcPr>
            <w:tcW w:w="172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18"/>
                <w:szCs w:val="18"/>
                <w:lang w:val="en-US" w:eastAsia="zh-CN"/>
              </w:rPr>
            </w:pPr>
            <w:r>
              <w:rPr>
                <w:rFonts w:ascii="Times New Roman" w:hAnsi="Times New Roman" w:cs="Times New Roman"/>
                <w:kern w:val="0"/>
                <w:sz w:val="18"/>
                <w:szCs w:val="18"/>
              </w:rPr>
              <w:t>1</w:t>
            </w:r>
            <w:r>
              <w:rPr>
                <w:rFonts w:hint="eastAsia" w:ascii="Times New Roman" w:hAnsi="Times New Roman" w:cs="Times New Roman"/>
                <w:kern w:val="0"/>
                <w:sz w:val="18"/>
                <w:szCs w:val="18"/>
                <w:lang w:val="en-US" w:eastAsia="zh-CN"/>
              </w:rPr>
              <w:t>2</w:t>
            </w:r>
            <w:r>
              <w:rPr>
                <w:rFonts w:ascii="Times New Roman" w:hAnsi="Times New Roman" w:cs="Times New Roman"/>
                <w:kern w:val="0"/>
                <w:sz w:val="18"/>
                <w:szCs w:val="18"/>
              </w:rPr>
              <w:t>-</w:t>
            </w:r>
            <w:r>
              <w:rPr>
                <w:rFonts w:hint="eastAsia" w:ascii="Times New Roman" w:hAnsi="Times New Roman" w:cs="Times New Roman"/>
                <w:kern w:val="0"/>
                <w:sz w:val="18"/>
                <w:szCs w:val="18"/>
                <w:lang w:val="en-US" w:eastAsia="zh-CN"/>
              </w:rPr>
              <w:t>18</w:t>
            </w:r>
          </w:p>
        </w:tc>
      </w:tr>
      <w:tr>
        <w:tblPrEx>
          <w:tblCellMar>
            <w:top w:w="0" w:type="dxa"/>
            <w:left w:w="108" w:type="dxa"/>
            <w:bottom w:w="0" w:type="dxa"/>
            <w:right w:w="108" w:type="dxa"/>
          </w:tblCellMar>
        </w:tblPrEx>
        <w:trPr>
          <w:trHeight w:val="534" w:hRule="atLeast"/>
        </w:trPr>
        <w:tc>
          <w:tcPr>
            <w:tcW w:w="708"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kern w:val="0"/>
                <w:sz w:val="18"/>
                <w:szCs w:val="22"/>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18"/>
                <w:szCs w:val="18"/>
              </w:rPr>
            </w:pPr>
          </w:p>
        </w:tc>
        <w:tc>
          <w:tcPr>
            <w:tcW w:w="238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微软雅黑" w:hAnsi="微软雅黑" w:cs="微软雅黑"/>
                <w:kern w:val="0"/>
                <w:sz w:val="18"/>
                <w:szCs w:val="18"/>
              </w:rPr>
              <w:t>其它腌制蔬菜产品企业</w:t>
            </w:r>
          </w:p>
        </w:tc>
        <w:tc>
          <w:tcPr>
            <w:tcW w:w="172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12</w:t>
            </w:r>
          </w:p>
        </w:tc>
      </w:tr>
      <w:tr>
        <w:tblPrEx>
          <w:tblCellMar>
            <w:top w:w="0" w:type="dxa"/>
            <w:left w:w="108" w:type="dxa"/>
            <w:bottom w:w="0" w:type="dxa"/>
            <w:right w:w="108" w:type="dxa"/>
          </w:tblCellMar>
        </w:tblPrEx>
        <w:trPr>
          <w:trHeight w:val="430" w:hRule="atLeast"/>
        </w:trPr>
        <w:tc>
          <w:tcPr>
            <w:tcW w:w="7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22"/>
              </w:rPr>
            </w:pPr>
            <w:r>
              <w:rPr>
                <w:rFonts w:ascii="Times New Roman" w:hAnsi="Times New Roman"/>
                <w:kern w:val="0"/>
                <w:sz w:val="18"/>
                <w:szCs w:val="22"/>
              </w:rPr>
              <w:t>8</w:t>
            </w:r>
          </w:p>
        </w:tc>
        <w:tc>
          <w:tcPr>
            <w:tcW w:w="578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微软雅黑" w:hAnsi="微软雅黑" w:cs="微软雅黑"/>
                <w:kern w:val="0"/>
                <w:sz w:val="18"/>
                <w:szCs w:val="18"/>
              </w:rPr>
              <w:t>污染物排放监控位置</w:t>
            </w:r>
          </w:p>
        </w:tc>
        <w:tc>
          <w:tcPr>
            <w:tcW w:w="172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hint="eastAsia" w:ascii="微软雅黑" w:hAnsi="微软雅黑" w:cs="微软雅黑"/>
                <w:kern w:val="0"/>
                <w:sz w:val="18"/>
                <w:szCs w:val="18"/>
              </w:rPr>
              <w:t>企业废水总排放口</w:t>
            </w:r>
          </w:p>
        </w:tc>
      </w:tr>
      <w:tr>
        <w:tblPrEx>
          <w:tblCellMar>
            <w:top w:w="0" w:type="dxa"/>
            <w:left w:w="108" w:type="dxa"/>
            <w:bottom w:w="0" w:type="dxa"/>
            <w:right w:w="108" w:type="dxa"/>
          </w:tblCellMar>
        </w:tblPrEx>
        <w:trPr>
          <w:trHeight w:val="430" w:hRule="atLeast"/>
        </w:trPr>
        <w:tc>
          <w:tcPr>
            <w:tcW w:w="822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
              </w:tabs>
              <w:spacing w:line="360" w:lineRule="auto"/>
              <w:jc w:val="left"/>
              <w:rPr>
                <w:rFonts w:ascii="黑体" w:hAnsi="黑体" w:eastAsia="黑体" w:cs="Times New Roman"/>
                <w:sz w:val="18"/>
                <w:szCs w:val="18"/>
              </w:rPr>
            </w:pPr>
            <w:r>
              <w:rPr>
                <w:rFonts w:hint="eastAsia" w:ascii="黑体" w:hAnsi="黑体" w:eastAsia="黑体" w:cs="Times New Roman"/>
                <w:sz w:val="18"/>
                <w:szCs w:val="18"/>
              </w:rPr>
              <w:t>注</w:t>
            </w:r>
            <w:r>
              <w:rPr>
                <w:rFonts w:hint="eastAsia" w:ascii="黑体" w:hAnsi="黑体" w:eastAsia="黑体" w:cs="Times New Roman"/>
                <w:sz w:val="18"/>
                <w:szCs w:val="18"/>
                <w:lang w:val="en-US" w:eastAsia="zh-CN"/>
              </w:rPr>
              <w:t>1</w:t>
            </w:r>
            <w:r>
              <w:rPr>
                <w:rFonts w:hint="eastAsia" w:ascii="黑体" w:hAnsi="黑体" w:eastAsia="黑体" w:cs="Times New Roman"/>
                <w:sz w:val="18"/>
                <w:szCs w:val="18"/>
              </w:rPr>
              <w:t>：</w:t>
            </w:r>
            <w:r>
              <w:rPr>
                <w:rFonts w:hint="eastAsia" w:ascii="Times New Roman" w:hAnsi="Times New Roman" w:cs="Times New Roman"/>
                <w:sz w:val="18"/>
                <w:szCs w:val="18"/>
              </w:rPr>
              <w:t>生产混合型产品的企业废水中氯化物（以</w:t>
            </w:r>
            <w:r>
              <w:rPr>
                <w:rFonts w:ascii="Times New Roman" w:hAnsi="Times New Roman" w:cs="Times New Roman"/>
                <w:sz w:val="18"/>
                <w:szCs w:val="18"/>
              </w:rPr>
              <w:t>Cl</w:t>
            </w:r>
            <w:r>
              <w:rPr>
                <w:rFonts w:ascii="Times New Roman" w:hAnsi="Times New Roman" w:cs="Times New Roman"/>
                <w:sz w:val="18"/>
                <w:szCs w:val="18"/>
                <w:vertAlign w:val="superscript"/>
              </w:rPr>
              <w:t>-</w:t>
            </w:r>
            <w:r>
              <w:rPr>
                <w:rFonts w:hint="eastAsia" w:ascii="Times New Roman" w:hAnsi="Times New Roman" w:cs="Times New Roman"/>
                <w:sz w:val="18"/>
                <w:szCs w:val="18"/>
              </w:rPr>
              <w:t>计）和单位产品基准排水量要求</w:t>
            </w:r>
            <w:r>
              <w:rPr>
                <w:rFonts w:hint="eastAsia" w:ascii="Times New Roman" w:hAnsi="Times New Roman" w:cs="Times New Roman"/>
                <w:sz w:val="18"/>
                <w:szCs w:val="18"/>
                <w:lang w:eastAsia="zh-CN"/>
              </w:rPr>
              <w:t>：</w:t>
            </w:r>
            <w:r>
              <w:rPr>
                <w:rFonts w:hint="eastAsia" w:ascii="Times New Roman" w:hAnsi="Times New Roman" w:cs="Times New Roman"/>
                <w:sz w:val="18"/>
                <w:szCs w:val="18"/>
              </w:rPr>
              <w:t>若榨菜产品废水与其它腌制蔬菜产品废水为分流制，则两种废水分别执行表</w:t>
            </w:r>
            <w:r>
              <w:rPr>
                <w:rFonts w:ascii="Times New Roman" w:hAnsi="Times New Roman" w:cs="Times New Roman"/>
                <w:sz w:val="18"/>
                <w:szCs w:val="18"/>
              </w:rPr>
              <w:t>1</w:t>
            </w:r>
            <w:r>
              <w:rPr>
                <w:rFonts w:hint="eastAsia" w:ascii="Times New Roman" w:hAnsi="Times New Roman" w:cs="Times New Roman"/>
                <w:sz w:val="18"/>
                <w:szCs w:val="18"/>
              </w:rPr>
              <w:t>中榨菜型产品企业及其它腌制蔬菜产品企业要求；若榨菜产品废水与其它腌制蔬菜产品废水为合流制，则执行表</w:t>
            </w:r>
            <w:r>
              <w:rPr>
                <w:rFonts w:ascii="Times New Roman" w:hAnsi="Times New Roman" w:cs="Times New Roman"/>
                <w:sz w:val="18"/>
                <w:szCs w:val="18"/>
              </w:rPr>
              <w:t>1</w:t>
            </w:r>
            <w:r>
              <w:rPr>
                <w:rFonts w:hint="eastAsia" w:ascii="Times New Roman" w:hAnsi="Times New Roman" w:cs="Times New Roman"/>
                <w:sz w:val="18"/>
                <w:szCs w:val="18"/>
              </w:rPr>
              <w:t>中混合型产品企业要求。</w:t>
            </w:r>
          </w:p>
        </w:tc>
      </w:tr>
    </w:tbl>
    <w:p>
      <w:pPr>
        <w:tabs>
          <w:tab w:val="left" w:pos="420"/>
        </w:tabs>
        <w:spacing w:line="360" w:lineRule="exact"/>
        <w:jc w:val="center"/>
        <w:rPr>
          <w:rFonts w:ascii="Times New Roman" w:hAnsi="Times New Roman" w:eastAsia="黑体" w:cs="Times New Roman"/>
        </w:rPr>
      </w:pPr>
    </w:p>
    <w:p>
      <w:pPr>
        <w:numPr>
          <w:ilvl w:val="0"/>
          <w:numId w:val="3"/>
        </w:numPr>
        <w:spacing w:line="360" w:lineRule="exact"/>
        <w:ind w:left="0" w:firstLine="0"/>
        <w:jc w:val="center"/>
        <w:rPr>
          <w:rFonts w:ascii="Times New Roman" w:hAnsi="Times New Roman" w:eastAsia="黑体" w:cs="Times New Roman"/>
        </w:rPr>
      </w:pPr>
      <w:r>
        <w:rPr>
          <w:rFonts w:hint="eastAsia" w:ascii="Times New Roman" w:hAnsi="Times New Roman" w:eastAsia="黑体" w:cs="Times New Roman"/>
        </w:rPr>
        <w:t>榨菜行业水污染物排放标准值（2024年1月1日~2024年12月31日）</w:t>
      </w:r>
    </w:p>
    <w:tbl>
      <w:tblPr>
        <w:tblStyle w:val="27"/>
        <w:tblW w:w="8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58"/>
        <w:gridCol w:w="1250"/>
        <w:gridCol w:w="2535"/>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56" w:type="dxa"/>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序号</w:t>
            </w:r>
          </w:p>
        </w:tc>
        <w:tc>
          <w:tcPr>
            <w:tcW w:w="5943" w:type="dxa"/>
            <w:gridSpan w:val="3"/>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污染物</w:t>
            </w:r>
          </w:p>
        </w:tc>
        <w:tc>
          <w:tcPr>
            <w:tcW w:w="1712" w:type="dxa"/>
            <w:shd w:val="clear" w:color="auto" w:fill="auto"/>
            <w:vAlign w:val="center"/>
          </w:tcPr>
          <w:p>
            <w:pPr>
              <w:widowControl/>
              <w:jc w:val="center"/>
              <w:rPr>
                <w:rFonts w:ascii="宋体" w:hAnsi="宋体"/>
                <w:kern w:val="0"/>
                <w:sz w:val="18"/>
                <w:szCs w:val="18"/>
              </w:rPr>
            </w:pPr>
            <w:r>
              <w:rPr>
                <w:rFonts w:hint="eastAsia" w:ascii="微软雅黑" w:hAnsi="微软雅黑" w:cs="微软雅黑"/>
                <w:kern w:val="0"/>
                <w:sz w:val="18"/>
                <w:szCs w:val="18"/>
              </w:rPr>
              <w:t>最高允许排放值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56" w:type="dxa"/>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1</w:t>
            </w:r>
          </w:p>
        </w:tc>
        <w:tc>
          <w:tcPr>
            <w:tcW w:w="3408" w:type="dxa"/>
            <w:gridSpan w:val="2"/>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pH</w:t>
            </w:r>
          </w:p>
        </w:tc>
        <w:tc>
          <w:tcPr>
            <w:tcW w:w="2535" w:type="dxa"/>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w:t>
            </w:r>
          </w:p>
        </w:tc>
        <w:tc>
          <w:tcPr>
            <w:tcW w:w="1712" w:type="dxa"/>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56" w:type="dxa"/>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2</w:t>
            </w:r>
          </w:p>
        </w:tc>
        <w:tc>
          <w:tcPr>
            <w:tcW w:w="3408" w:type="dxa"/>
            <w:gridSpan w:val="2"/>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化学需氧量（</w:t>
            </w:r>
            <w:r>
              <w:rPr>
                <w:rFonts w:ascii="Times New Roman" w:hAnsi="Times New Roman" w:cs="Times New Roman"/>
                <w:kern w:val="0"/>
                <w:sz w:val="18"/>
                <w:szCs w:val="18"/>
              </w:rPr>
              <w:t>COD</w:t>
            </w:r>
            <w:r>
              <w:rPr>
                <w:rFonts w:hint="eastAsia" w:ascii="宋体" w:hAnsi="宋体"/>
                <w:kern w:val="0"/>
                <w:sz w:val="18"/>
                <w:szCs w:val="18"/>
              </w:rPr>
              <w:t>）</w:t>
            </w:r>
          </w:p>
        </w:tc>
        <w:tc>
          <w:tcPr>
            <w:tcW w:w="2535" w:type="dxa"/>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mg/L</w:t>
            </w:r>
          </w:p>
        </w:tc>
        <w:tc>
          <w:tcPr>
            <w:tcW w:w="1712" w:type="dxa"/>
            <w:shd w:val="clear" w:color="auto" w:fill="auto"/>
            <w:vAlign w:val="center"/>
          </w:tcPr>
          <w:p>
            <w:pPr>
              <w:widowControl/>
              <w:jc w:val="center"/>
              <w:rPr>
                <w:rFonts w:hint="eastAsia" w:ascii="Times New Roman" w:hAnsi="Times New Roman" w:eastAsia="宋体" w:cs="Times New Roman"/>
                <w:kern w:val="0"/>
                <w:sz w:val="18"/>
                <w:szCs w:val="18"/>
                <w:lang w:eastAsia="zh-CN"/>
              </w:rPr>
            </w:pPr>
            <w:r>
              <w:rPr>
                <w:rFonts w:hint="eastAsia" w:ascii="Times New Roman" w:hAnsi="Times New Roman" w:cs="Times New Roman"/>
                <w:kern w:val="0"/>
                <w:sz w:val="18"/>
                <w:szCs w:val="18"/>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56" w:type="dxa"/>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3</w:t>
            </w:r>
          </w:p>
        </w:tc>
        <w:tc>
          <w:tcPr>
            <w:tcW w:w="3408" w:type="dxa"/>
            <w:gridSpan w:val="2"/>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悬浮物（</w:t>
            </w:r>
            <w:r>
              <w:rPr>
                <w:rFonts w:ascii="Times New Roman" w:hAnsi="Times New Roman" w:cs="Times New Roman"/>
                <w:kern w:val="0"/>
                <w:sz w:val="18"/>
                <w:szCs w:val="18"/>
              </w:rPr>
              <w:t>SS</w:t>
            </w:r>
            <w:r>
              <w:rPr>
                <w:rFonts w:hint="eastAsia" w:ascii="宋体" w:hAnsi="宋体"/>
                <w:kern w:val="0"/>
                <w:sz w:val="18"/>
                <w:szCs w:val="18"/>
              </w:rPr>
              <w:t>）</w:t>
            </w:r>
          </w:p>
        </w:tc>
        <w:tc>
          <w:tcPr>
            <w:tcW w:w="2535" w:type="dxa"/>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mg/L</w:t>
            </w:r>
          </w:p>
        </w:tc>
        <w:tc>
          <w:tcPr>
            <w:tcW w:w="1712" w:type="dxa"/>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56" w:type="dxa"/>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4</w:t>
            </w:r>
          </w:p>
        </w:tc>
        <w:tc>
          <w:tcPr>
            <w:tcW w:w="3408" w:type="dxa"/>
            <w:gridSpan w:val="2"/>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总氮</w:t>
            </w:r>
          </w:p>
        </w:tc>
        <w:tc>
          <w:tcPr>
            <w:tcW w:w="2535" w:type="dxa"/>
            <w:shd w:val="clear" w:color="auto" w:fill="auto"/>
            <w:vAlign w:val="center"/>
          </w:tcPr>
          <w:p>
            <w:pPr>
              <w:widowControl/>
              <w:jc w:val="center"/>
              <w:rPr>
                <w:rFonts w:ascii="Times New Roman" w:hAnsi="Times New Roman" w:eastAsia="Times New Roman" w:cs="Times New Roman"/>
                <w:kern w:val="0"/>
                <w:sz w:val="18"/>
                <w:szCs w:val="18"/>
              </w:rPr>
            </w:pPr>
            <w:r>
              <w:rPr>
                <w:rFonts w:ascii="宋体" w:hAnsi="宋体" w:cs="宋体"/>
                <w:kern w:val="0"/>
                <w:sz w:val="18"/>
                <w:szCs w:val="18"/>
              </w:rPr>
              <w:t>去除率（</w:t>
            </w:r>
            <w:r>
              <w:rPr>
                <w:rFonts w:ascii="Times New Roman" w:hAnsi="Times New Roman" w:eastAsia="Times New Roman" w:cs="Times New Roman"/>
                <w:kern w:val="0"/>
                <w:sz w:val="18"/>
                <w:szCs w:val="18"/>
              </w:rPr>
              <w:t>%</w:t>
            </w:r>
            <w:r>
              <w:rPr>
                <w:rFonts w:ascii="宋体" w:hAnsi="宋体" w:cs="宋体"/>
                <w:kern w:val="0"/>
                <w:sz w:val="18"/>
                <w:szCs w:val="18"/>
              </w:rPr>
              <w:t>）</w:t>
            </w:r>
          </w:p>
        </w:tc>
        <w:tc>
          <w:tcPr>
            <w:tcW w:w="1712" w:type="dxa"/>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56" w:type="dxa"/>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5</w:t>
            </w:r>
          </w:p>
        </w:tc>
        <w:tc>
          <w:tcPr>
            <w:tcW w:w="3408" w:type="dxa"/>
            <w:gridSpan w:val="2"/>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氨氮</w:t>
            </w:r>
          </w:p>
        </w:tc>
        <w:tc>
          <w:tcPr>
            <w:tcW w:w="2535" w:type="dxa"/>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mg/L</w:t>
            </w:r>
          </w:p>
        </w:tc>
        <w:tc>
          <w:tcPr>
            <w:tcW w:w="1712" w:type="dxa"/>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56" w:type="dxa"/>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6</w:t>
            </w:r>
          </w:p>
        </w:tc>
        <w:tc>
          <w:tcPr>
            <w:tcW w:w="3408" w:type="dxa"/>
            <w:gridSpan w:val="2"/>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总磷</w:t>
            </w:r>
          </w:p>
        </w:tc>
        <w:tc>
          <w:tcPr>
            <w:tcW w:w="2535" w:type="dxa"/>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mg/L</w:t>
            </w:r>
          </w:p>
        </w:tc>
        <w:tc>
          <w:tcPr>
            <w:tcW w:w="1712" w:type="dxa"/>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56" w:type="dxa"/>
            <w:vMerge w:val="restart"/>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7</w:t>
            </w:r>
          </w:p>
        </w:tc>
        <w:tc>
          <w:tcPr>
            <w:tcW w:w="2158" w:type="dxa"/>
            <w:vMerge w:val="restart"/>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氯化物</w:t>
            </w:r>
          </w:p>
          <w:p>
            <w:pPr>
              <w:widowControl/>
              <w:jc w:val="center"/>
              <w:rPr>
                <w:rFonts w:ascii="宋体" w:hAnsi="宋体"/>
                <w:kern w:val="0"/>
                <w:sz w:val="18"/>
                <w:szCs w:val="18"/>
              </w:rPr>
            </w:pPr>
            <w:r>
              <w:rPr>
                <w:rFonts w:hint="eastAsia" w:ascii="宋体" w:hAnsi="宋体"/>
                <w:kern w:val="0"/>
                <w:sz w:val="18"/>
                <w:szCs w:val="18"/>
              </w:rPr>
              <w:t>（以</w:t>
            </w:r>
            <w:r>
              <w:rPr>
                <w:rFonts w:ascii="Times New Roman" w:hAnsi="Times New Roman" w:cs="Times New Roman"/>
                <w:kern w:val="0"/>
                <w:sz w:val="18"/>
                <w:szCs w:val="18"/>
              </w:rPr>
              <w:t>Cl</w:t>
            </w:r>
            <w:r>
              <w:rPr>
                <w:rFonts w:ascii="Times New Roman" w:hAnsi="Times New Roman" w:cs="Times New Roman"/>
                <w:kern w:val="0"/>
                <w:sz w:val="18"/>
                <w:szCs w:val="18"/>
                <w:vertAlign w:val="superscript"/>
              </w:rPr>
              <w:t>-</w:t>
            </w:r>
            <w:r>
              <w:rPr>
                <w:rFonts w:hint="eastAsia" w:ascii="宋体" w:hAnsi="宋体"/>
                <w:kern w:val="0"/>
                <w:sz w:val="18"/>
                <w:szCs w:val="18"/>
              </w:rPr>
              <w:t>计）</w:t>
            </w:r>
          </w:p>
          <w:p>
            <w:pPr>
              <w:widowControl/>
              <w:jc w:val="center"/>
              <w:rPr>
                <w:rFonts w:ascii="Times New Roman" w:hAnsi="Times New Roman" w:eastAsia="Times New Roman" w:cs="Times New Roman"/>
                <w:kern w:val="0"/>
                <w:sz w:val="18"/>
                <w:szCs w:val="18"/>
              </w:rPr>
            </w:pPr>
          </w:p>
        </w:tc>
        <w:tc>
          <w:tcPr>
            <w:tcW w:w="1250" w:type="dxa"/>
            <w:vMerge w:val="restart"/>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mg/L</w:t>
            </w:r>
          </w:p>
        </w:tc>
        <w:tc>
          <w:tcPr>
            <w:tcW w:w="2535" w:type="dxa"/>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榨菜型产品企业</w:t>
            </w:r>
          </w:p>
        </w:tc>
        <w:tc>
          <w:tcPr>
            <w:tcW w:w="1712" w:type="dxa"/>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56" w:type="dxa"/>
            <w:vMerge w:val="continue"/>
            <w:vAlign w:val="center"/>
          </w:tcPr>
          <w:p>
            <w:pPr>
              <w:widowControl/>
              <w:jc w:val="left"/>
              <w:rPr>
                <w:rFonts w:ascii="Times New Roman" w:hAnsi="Times New Roman" w:eastAsia="Times New Roman" w:cs="Times New Roman"/>
                <w:kern w:val="0"/>
                <w:sz w:val="18"/>
                <w:szCs w:val="18"/>
              </w:rPr>
            </w:pPr>
          </w:p>
        </w:tc>
        <w:tc>
          <w:tcPr>
            <w:tcW w:w="2158" w:type="dxa"/>
            <w:vMerge w:val="continue"/>
            <w:vAlign w:val="center"/>
          </w:tcPr>
          <w:p>
            <w:pPr>
              <w:widowControl/>
              <w:jc w:val="left"/>
              <w:rPr>
                <w:rFonts w:ascii="Times New Roman" w:hAnsi="Times New Roman" w:eastAsia="Times New Roman" w:cs="Times New Roman"/>
                <w:kern w:val="0"/>
                <w:sz w:val="18"/>
                <w:szCs w:val="18"/>
              </w:rPr>
            </w:pPr>
          </w:p>
        </w:tc>
        <w:tc>
          <w:tcPr>
            <w:tcW w:w="1250" w:type="dxa"/>
            <w:vMerge w:val="continue"/>
            <w:vAlign w:val="center"/>
          </w:tcPr>
          <w:p>
            <w:pPr>
              <w:widowControl/>
              <w:jc w:val="left"/>
              <w:rPr>
                <w:rFonts w:ascii="Times New Roman" w:hAnsi="Times New Roman" w:eastAsia="Times New Roman" w:cs="Times New Roman"/>
                <w:kern w:val="0"/>
                <w:sz w:val="18"/>
                <w:szCs w:val="18"/>
              </w:rPr>
            </w:pPr>
          </w:p>
        </w:tc>
        <w:tc>
          <w:tcPr>
            <w:tcW w:w="2535" w:type="dxa"/>
            <w:shd w:val="clear" w:color="auto" w:fill="auto"/>
            <w:vAlign w:val="center"/>
          </w:tcPr>
          <w:p>
            <w:pPr>
              <w:widowControl/>
              <w:jc w:val="center"/>
              <w:rPr>
                <w:rFonts w:hint="eastAsia" w:ascii="宋体" w:hAnsi="宋体" w:eastAsia="宋体"/>
                <w:kern w:val="0"/>
                <w:sz w:val="18"/>
                <w:szCs w:val="18"/>
                <w:vertAlign w:val="superscript"/>
                <w:lang w:val="en-US" w:eastAsia="zh-CN"/>
              </w:rPr>
            </w:pPr>
            <w:r>
              <w:rPr>
                <w:rFonts w:hint="eastAsia" w:ascii="宋体" w:hAnsi="宋体"/>
                <w:kern w:val="0"/>
                <w:sz w:val="18"/>
                <w:szCs w:val="18"/>
              </w:rPr>
              <w:t>混合型产品企业</w:t>
            </w:r>
            <w:r>
              <w:rPr>
                <w:rFonts w:hint="eastAsia" w:ascii="宋体" w:hAnsi="宋体"/>
                <w:kern w:val="0"/>
                <w:sz w:val="18"/>
                <w:szCs w:val="18"/>
                <w:vertAlign w:val="superscript"/>
                <w:lang w:val="en-US" w:eastAsia="zh-CN"/>
              </w:rPr>
              <w:t>1</w:t>
            </w:r>
          </w:p>
        </w:tc>
        <w:tc>
          <w:tcPr>
            <w:tcW w:w="1712" w:type="dxa"/>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56" w:type="dxa"/>
            <w:vMerge w:val="continue"/>
            <w:vAlign w:val="center"/>
          </w:tcPr>
          <w:p>
            <w:pPr>
              <w:widowControl/>
              <w:jc w:val="left"/>
              <w:rPr>
                <w:rFonts w:ascii="Times New Roman" w:hAnsi="Times New Roman" w:eastAsia="Times New Roman" w:cs="Times New Roman"/>
                <w:kern w:val="0"/>
                <w:sz w:val="18"/>
                <w:szCs w:val="18"/>
              </w:rPr>
            </w:pPr>
          </w:p>
        </w:tc>
        <w:tc>
          <w:tcPr>
            <w:tcW w:w="2158" w:type="dxa"/>
            <w:vMerge w:val="continue"/>
            <w:vAlign w:val="center"/>
          </w:tcPr>
          <w:p>
            <w:pPr>
              <w:widowControl/>
              <w:jc w:val="left"/>
              <w:rPr>
                <w:rFonts w:ascii="Times New Roman" w:hAnsi="Times New Roman" w:eastAsia="Times New Roman" w:cs="Times New Roman"/>
                <w:kern w:val="0"/>
                <w:sz w:val="18"/>
                <w:szCs w:val="18"/>
              </w:rPr>
            </w:pPr>
          </w:p>
        </w:tc>
        <w:tc>
          <w:tcPr>
            <w:tcW w:w="1250" w:type="dxa"/>
            <w:vMerge w:val="continue"/>
            <w:vAlign w:val="center"/>
          </w:tcPr>
          <w:p>
            <w:pPr>
              <w:widowControl/>
              <w:jc w:val="left"/>
              <w:rPr>
                <w:rFonts w:ascii="Times New Roman" w:hAnsi="Times New Roman" w:eastAsia="Times New Roman" w:cs="Times New Roman"/>
                <w:kern w:val="0"/>
                <w:sz w:val="18"/>
                <w:szCs w:val="18"/>
              </w:rPr>
            </w:pPr>
          </w:p>
        </w:tc>
        <w:tc>
          <w:tcPr>
            <w:tcW w:w="2535" w:type="dxa"/>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其它腌制蔬菜产品企业</w:t>
            </w:r>
          </w:p>
        </w:tc>
        <w:tc>
          <w:tcPr>
            <w:tcW w:w="1712" w:type="dxa"/>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56" w:type="dxa"/>
            <w:vMerge w:val="restart"/>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8</w:t>
            </w:r>
          </w:p>
        </w:tc>
        <w:tc>
          <w:tcPr>
            <w:tcW w:w="2158" w:type="dxa"/>
            <w:vMerge w:val="restart"/>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单位产品基准排水量</w:t>
            </w:r>
          </w:p>
          <w:p>
            <w:pPr>
              <w:widowControl/>
              <w:jc w:val="center"/>
              <w:rPr>
                <w:rFonts w:ascii="Times New Roman" w:hAnsi="Times New Roman" w:eastAsia="Times New Roman" w:cs="Times New Roman"/>
                <w:kern w:val="0"/>
                <w:sz w:val="18"/>
                <w:szCs w:val="18"/>
              </w:rPr>
            </w:pPr>
          </w:p>
        </w:tc>
        <w:tc>
          <w:tcPr>
            <w:tcW w:w="1250" w:type="dxa"/>
            <w:vMerge w:val="restart"/>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m</w:t>
            </w:r>
            <w:r>
              <w:rPr>
                <w:rFonts w:ascii="Times New Roman" w:hAnsi="Times New Roman" w:eastAsia="Times New Roman" w:cs="Times New Roman"/>
                <w:kern w:val="0"/>
                <w:sz w:val="18"/>
                <w:szCs w:val="18"/>
                <w:vertAlign w:val="superscript"/>
              </w:rPr>
              <w:t>3</w:t>
            </w:r>
            <w:r>
              <w:rPr>
                <w:rFonts w:ascii="Times New Roman" w:hAnsi="Times New Roman" w:eastAsia="Times New Roman" w:cs="Times New Roman"/>
                <w:kern w:val="0"/>
                <w:sz w:val="18"/>
                <w:szCs w:val="18"/>
              </w:rPr>
              <w:t>/t</w:t>
            </w:r>
            <w:r>
              <w:rPr>
                <w:rFonts w:hint="eastAsia" w:ascii="宋体" w:hAnsi="宋体" w:cs="Times New Roman"/>
                <w:kern w:val="0"/>
                <w:sz w:val="18"/>
                <w:szCs w:val="18"/>
              </w:rPr>
              <w:t>产品</w:t>
            </w:r>
          </w:p>
        </w:tc>
        <w:tc>
          <w:tcPr>
            <w:tcW w:w="2535" w:type="dxa"/>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榨菜型产品企业</w:t>
            </w:r>
          </w:p>
        </w:tc>
        <w:tc>
          <w:tcPr>
            <w:tcW w:w="1712" w:type="dxa"/>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56" w:type="dxa"/>
            <w:vMerge w:val="continue"/>
            <w:vAlign w:val="center"/>
          </w:tcPr>
          <w:p>
            <w:pPr>
              <w:widowControl/>
              <w:jc w:val="left"/>
              <w:rPr>
                <w:rFonts w:ascii="Times New Roman" w:hAnsi="Times New Roman" w:eastAsia="Times New Roman" w:cs="Times New Roman"/>
                <w:kern w:val="0"/>
                <w:sz w:val="18"/>
                <w:szCs w:val="18"/>
              </w:rPr>
            </w:pPr>
          </w:p>
        </w:tc>
        <w:tc>
          <w:tcPr>
            <w:tcW w:w="2158" w:type="dxa"/>
            <w:vMerge w:val="continue"/>
            <w:vAlign w:val="center"/>
          </w:tcPr>
          <w:p>
            <w:pPr>
              <w:widowControl/>
              <w:jc w:val="left"/>
              <w:rPr>
                <w:rFonts w:ascii="Times New Roman" w:hAnsi="Times New Roman" w:eastAsia="Times New Roman" w:cs="Times New Roman"/>
                <w:kern w:val="0"/>
                <w:sz w:val="18"/>
                <w:szCs w:val="18"/>
              </w:rPr>
            </w:pPr>
          </w:p>
        </w:tc>
        <w:tc>
          <w:tcPr>
            <w:tcW w:w="1250" w:type="dxa"/>
            <w:vMerge w:val="continue"/>
            <w:vAlign w:val="center"/>
          </w:tcPr>
          <w:p>
            <w:pPr>
              <w:widowControl/>
              <w:jc w:val="left"/>
              <w:rPr>
                <w:rFonts w:ascii="Times New Roman" w:hAnsi="Times New Roman" w:eastAsia="Times New Roman" w:cs="Times New Roman"/>
                <w:kern w:val="0"/>
                <w:sz w:val="18"/>
                <w:szCs w:val="18"/>
              </w:rPr>
            </w:pPr>
          </w:p>
        </w:tc>
        <w:tc>
          <w:tcPr>
            <w:tcW w:w="2535" w:type="dxa"/>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混合型产品企业</w:t>
            </w:r>
            <w:r>
              <w:rPr>
                <w:rFonts w:hint="eastAsia" w:ascii="黑体" w:hAnsi="黑体" w:eastAsia="黑体" w:cs="Times New Roman"/>
                <w:sz w:val="18"/>
                <w:szCs w:val="18"/>
                <w:vertAlign w:val="superscript"/>
                <w:lang w:val="en-US" w:eastAsia="zh-CN"/>
              </w:rPr>
              <w:t>1</w:t>
            </w:r>
          </w:p>
        </w:tc>
        <w:tc>
          <w:tcPr>
            <w:tcW w:w="1712" w:type="dxa"/>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12-18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56" w:type="dxa"/>
            <w:vMerge w:val="continue"/>
            <w:vAlign w:val="center"/>
          </w:tcPr>
          <w:p>
            <w:pPr>
              <w:widowControl/>
              <w:jc w:val="left"/>
              <w:rPr>
                <w:rFonts w:ascii="Times New Roman" w:hAnsi="Times New Roman" w:eastAsia="Times New Roman" w:cs="Times New Roman"/>
                <w:kern w:val="0"/>
                <w:sz w:val="18"/>
                <w:szCs w:val="18"/>
              </w:rPr>
            </w:pPr>
          </w:p>
        </w:tc>
        <w:tc>
          <w:tcPr>
            <w:tcW w:w="2158" w:type="dxa"/>
            <w:vMerge w:val="continue"/>
            <w:vAlign w:val="center"/>
          </w:tcPr>
          <w:p>
            <w:pPr>
              <w:widowControl/>
              <w:jc w:val="left"/>
              <w:rPr>
                <w:rFonts w:ascii="Times New Roman" w:hAnsi="Times New Roman" w:eastAsia="Times New Roman" w:cs="Times New Roman"/>
                <w:kern w:val="0"/>
                <w:sz w:val="18"/>
                <w:szCs w:val="18"/>
              </w:rPr>
            </w:pPr>
          </w:p>
        </w:tc>
        <w:tc>
          <w:tcPr>
            <w:tcW w:w="1250" w:type="dxa"/>
            <w:vMerge w:val="continue"/>
            <w:vAlign w:val="center"/>
          </w:tcPr>
          <w:p>
            <w:pPr>
              <w:widowControl/>
              <w:jc w:val="left"/>
              <w:rPr>
                <w:rFonts w:ascii="Times New Roman" w:hAnsi="Times New Roman" w:eastAsia="Times New Roman" w:cs="Times New Roman"/>
                <w:kern w:val="0"/>
                <w:sz w:val="18"/>
                <w:szCs w:val="18"/>
              </w:rPr>
            </w:pPr>
          </w:p>
        </w:tc>
        <w:tc>
          <w:tcPr>
            <w:tcW w:w="2535" w:type="dxa"/>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其它腌制蔬菜产品企业</w:t>
            </w:r>
          </w:p>
        </w:tc>
        <w:tc>
          <w:tcPr>
            <w:tcW w:w="1712" w:type="dxa"/>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56" w:type="dxa"/>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9</w:t>
            </w:r>
          </w:p>
        </w:tc>
        <w:tc>
          <w:tcPr>
            <w:tcW w:w="5943" w:type="dxa"/>
            <w:gridSpan w:val="3"/>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污染物排放监控位置</w:t>
            </w:r>
          </w:p>
        </w:tc>
        <w:tc>
          <w:tcPr>
            <w:tcW w:w="1712" w:type="dxa"/>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企业废水总排放口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511" w:type="dxa"/>
            <w:gridSpan w:val="5"/>
            <w:shd w:val="clear" w:color="auto" w:fill="auto"/>
            <w:vAlign w:val="center"/>
          </w:tcPr>
          <w:p>
            <w:pPr>
              <w:tabs>
                <w:tab w:val="left" w:pos="420"/>
              </w:tabs>
              <w:spacing w:line="360" w:lineRule="exact"/>
              <w:jc w:val="left"/>
              <w:rPr>
                <w:rFonts w:ascii="宋体" w:hAnsi="宋体"/>
                <w:kern w:val="0"/>
                <w:sz w:val="18"/>
                <w:szCs w:val="18"/>
              </w:rPr>
            </w:pPr>
            <w:r>
              <w:rPr>
                <w:rFonts w:hint="eastAsia" w:ascii="Times New Roman" w:hAnsi="Times New Roman" w:cs="Times New Roman"/>
                <w:sz w:val="18"/>
                <w:szCs w:val="18"/>
                <w:lang w:val="en-US" w:eastAsia="zh-CN"/>
              </w:rPr>
              <w:t>注1：</w:t>
            </w:r>
            <w:r>
              <w:rPr>
                <w:rFonts w:hint="eastAsia" w:ascii="Times New Roman" w:hAnsi="Times New Roman" w:cs="Times New Roman"/>
                <w:sz w:val="18"/>
                <w:szCs w:val="18"/>
              </w:rPr>
              <w:t>生产混合型产品的企业废水中氯化物（以</w:t>
            </w:r>
            <w:r>
              <w:rPr>
                <w:rFonts w:ascii="Times New Roman" w:hAnsi="Times New Roman" w:cs="Times New Roman"/>
                <w:sz w:val="18"/>
                <w:szCs w:val="18"/>
              </w:rPr>
              <w:t>Cl</w:t>
            </w:r>
            <w:r>
              <w:rPr>
                <w:rFonts w:ascii="Times New Roman" w:hAnsi="Times New Roman" w:cs="Times New Roman"/>
                <w:sz w:val="18"/>
                <w:szCs w:val="18"/>
                <w:vertAlign w:val="superscript"/>
              </w:rPr>
              <w:t>-</w:t>
            </w:r>
            <w:r>
              <w:rPr>
                <w:rFonts w:hint="eastAsia" w:ascii="Times New Roman" w:hAnsi="Times New Roman" w:cs="Times New Roman"/>
                <w:sz w:val="18"/>
                <w:szCs w:val="18"/>
              </w:rPr>
              <w:t>计）和单位产品基准排水量要求：若榨菜产品废水与其它腌制蔬菜产品废水为分流制，则两种废水分别执行表</w:t>
            </w:r>
            <w:r>
              <w:rPr>
                <w:rFonts w:ascii="Times New Roman" w:hAnsi="Times New Roman" w:cs="Times New Roman"/>
                <w:sz w:val="18"/>
                <w:szCs w:val="18"/>
              </w:rPr>
              <w:t>2</w:t>
            </w:r>
            <w:r>
              <w:rPr>
                <w:rFonts w:hint="eastAsia" w:ascii="Times New Roman" w:hAnsi="Times New Roman" w:cs="Times New Roman"/>
                <w:sz w:val="18"/>
                <w:szCs w:val="18"/>
              </w:rPr>
              <w:t>中榨菜型产品企业及其它腌制蔬菜产品企业要求；若榨菜产品废水与其它腌制蔬菜产品废水为合流制，则执行表</w:t>
            </w:r>
            <w:r>
              <w:rPr>
                <w:rFonts w:ascii="Times New Roman" w:hAnsi="Times New Roman" w:cs="Times New Roman"/>
                <w:sz w:val="18"/>
                <w:szCs w:val="18"/>
              </w:rPr>
              <w:t>2</w:t>
            </w:r>
            <w:r>
              <w:rPr>
                <w:rFonts w:hint="eastAsia" w:ascii="Times New Roman" w:hAnsi="Times New Roman" w:cs="Times New Roman"/>
                <w:sz w:val="18"/>
                <w:szCs w:val="18"/>
              </w:rPr>
              <w:t>中混合型产品企业要求。</w:t>
            </w:r>
          </w:p>
        </w:tc>
      </w:tr>
    </w:tbl>
    <w:p>
      <w:pPr>
        <w:tabs>
          <w:tab w:val="left" w:pos="420"/>
        </w:tabs>
        <w:spacing w:line="360" w:lineRule="exact"/>
        <w:jc w:val="center"/>
        <w:rPr>
          <w:rFonts w:ascii="Times New Roman" w:hAnsi="Times New Roman" w:eastAsia="黑体" w:cs="Times New Roman"/>
        </w:rPr>
      </w:pPr>
    </w:p>
    <w:p>
      <w:pPr>
        <w:numPr>
          <w:ilvl w:val="0"/>
          <w:numId w:val="3"/>
        </w:numPr>
        <w:spacing w:line="360" w:lineRule="exact"/>
        <w:ind w:left="0" w:firstLine="0"/>
        <w:jc w:val="center"/>
        <w:rPr>
          <w:rFonts w:ascii="Times New Roman" w:hAnsi="Times New Roman" w:eastAsia="黑体" w:cs="Times New Roman"/>
        </w:rPr>
      </w:pPr>
      <w:r>
        <w:rPr>
          <w:rFonts w:hint="eastAsia" w:ascii="Times New Roman" w:hAnsi="Times New Roman" w:eastAsia="黑体" w:cs="Times New Roman"/>
        </w:rPr>
        <w:t>榨菜行业水污染物排放标准值（2025年1月1日起）</w:t>
      </w:r>
    </w:p>
    <w:tbl>
      <w:tblPr>
        <w:tblStyle w:val="27"/>
        <w:tblW w:w="8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41"/>
        <w:gridCol w:w="1575"/>
        <w:gridCol w:w="2637"/>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88" w:type="dxa"/>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序号</w:t>
            </w:r>
          </w:p>
        </w:tc>
        <w:tc>
          <w:tcPr>
            <w:tcW w:w="5953" w:type="dxa"/>
            <w:gridSpan w:val="3"/>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污染物</w:t>
            </w:r>
          </w:p>
        </w:tc>
        <w:tc>
          <w:tcPr>
            <w:tcW w:w="1760" w:type="dxa"/>
            <w:shd w:val="clear" w:color="auto" w:fill="auto"/>
            <w:vAlign w:val="center"/>
          </w:tcPr>
          <w:p>
            <w:pPr>
              <w:widowControl/>
              <w:jc w:val="center"/>
              <w:rPr>
                <w:rFonts w:ascii="宋体" w:hAnsi="宋体"/>
                <w:kern w:val="0"/>
                <w:sz w:val="18"/>
                <w:szCs w:val="18"/>
              </w:rPr>
            </w:pPr>
            <w:r>
              <w:rPr>
                <w:rFonts w:hint="eastAsia" w:ascii="微软雅黑" w:hAnsi="微软雅黑" w:cs="微软雅黑"/>
                <w:kern w:val="0"/>
                <w:sz w:val="18"/>
                <w:szCs w:val="18"/>
              </w:rPr>
              <w:t>最高允许排放值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8" w:type="dxa"/>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1</w:t>
            </w:r>
          </w:p>
        </w:tc>
        <w:tc>
          <w:tcPr>
            <w:tcW w:w="3316" w:type="dxa"/>
            <w:gridSpan w:val="2"/>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pH</w:t>
            </w:r>
          </w:p>
        </w:tc>
        <w:tc>
          <w:tcPr>
            <w:tcW w:w="2637" w:type="dxa"/>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w:t>
            </w:r>
          </w:p>
        </w:tc>
        <w:tc>
          <w:tcPr>
            <w:tcW w:w="1760" w:type="dxa"/>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8" w:type="dxa"/>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2</w:t>
            </w:r>
          </w:p>
        </w:tc>
        <w:tc>
          <w:tcPr>
            <w:tcW w:w="3316" w:type="dxa"/>
            <w:gridSpan w:val="2"/>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化学需氧量（</w:t>
            </w:r>
            <w:r>
              <w:rPr>
                <w:rFonts w:ascii="Times New Roman" w:hAnsi="Times New Roman" w:cs="Times New Roman"/>
                <w:kern w:val="0"/>
                <w:sz w:val="18"/>
                <w:szCs w:val="18"/>
              </w:rPr>
              <w:t>COD</w:t>
            </w:r>
            <w:r>
              <w:rPr>
                <w:rFonts w:hint="eastAsia" w:ascii="宋体" w:hAnsi="宋体"/>
                <w:kern w:val="0"/>
                <w:sz w:val="18"/>
                <w:szCs w:val="18"/>
              </w:rPr>
              <w:t>）</w:t>
            </w:r>
          </w:p>
        </w:tc>
        <w:tc>
          <w:tcPr>
            <w:tcW w:w="2637" w:type="dxa"/>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mg/L</w:t>
            </w:r>
          </w:p>
        </w:tc>
        <w:tc>
          <w:tcPr>
            <w:tcW w:w="1760" w:type="dxa"/>
            <w:shd w:val="clear" w:color="auto" w:fill="auto"/>
            <w:vAlign w:val="center"/>
          </w:tcPr>
          <w:p>
            <w:pPr>
              <w:widowControl/>
              <w:jc w:val="center"/>
              <w:rPr>
                <w:rFonts w:hint="eastAsia" w:ascii="Times New Roman" w:hAnsi="Times New Roman" w:eastAsia="宋体" w:cs="Times New Roman"/>
                <w:kern w:val="0"/>
                <w:sz w:val="18"/>
                <w:szCs w:val="18"/>
                <w:lang w:val="en-US" w:eastAsia="zh-CN"/>
              </w:rPr>
            </w:pPr>
            <w:r>
              <w:rPr>
                <w:rFonts w:hint="eastAsia" w:ascii="Times New Roman" w:hAnsi="Times New Roman" w:cs="Times New Roman"/>
                <w:kern w:val="0"/>
                <w:sz w:val="18"/>
                <w:szCs w:val="18"/>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8" w:type="dxa"/>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3</w:t>
            </w:r>
          </w:p>
        </w:tc>
        <w:tc>
          <w:tcPr>
            <w:tcW w:w="3316" w:type="dxa"/>
            <w:gridSpan w:val="2"/>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悬浮物（</w:t>
            </w:r>
            <w:r>
              <w:rPr>
                <w:rFonts w:ascii="Times New Roman" w:hAnsi="Times New Roman" w:cs="Times New Roman"/>
                <w:kern w:val="0"/>
                <w:sz w:val="18"/>
                <w:szCs w:val="18"/>
              </w:rPr>
              <w:t>SS</w:t>
            </w:r>
            <w:r>
              <w:rPr>
                <w:rFonts w:hint="eastAsia" w:ascii="宋体" w:hAnsi="宋体"/>
                <w:kern w:val="0"/>
                <w:sz w:val="18"/>
                <w:szCs w:val="18"/>
              </w:rPr>
              <w:t>）</w:t>
            </w:r>
          </w:p>
        </w:tc>
        <w:tc>
          <w:tcPr>
            <w:tcW w:w="2637" w:type="dxa"/>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mg/L</w:t>
            </w:r>
          </w:p>
        </w:tc>
        <w:tc>
          <w:tcPr>
            <w:tcW w:w="1760" w:type="dxa"/>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8" w:type="dxa"/>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4</w:t>
            </w:r>
          </w:p>
        </w:tc>
        <w:tc>
          <w:tcPr>
            <w:tcW w:w="3316" w:type="dxa"/>
            <w:gridSpan w:val="2"/>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总氮</w:t>
            </w:r>
          </w:p>
        </w:tc>
        <w:tc>
          <w:tcPr>
            <w:tcW w:w="2637" w:type="dxa"/>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mg/L</w:t>
            </w:r>
          </w:p>
        </w:tc>
        <w:tc>
          <w:tcPr>
            <w:tcW w:w="1760" w:type="dxa"/>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8" w:type="dxa"/>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5</w:t>
            </w:r>
          </w:p>
        </w:tc>
        <w:tc>
          <w:tcPr>
            <w:tcW w:w="3316" w:type="dxa"/>
            <w:gridSpan w:val="2"/>
            <w:shd w:val="clear" w:color="auto" w:fill="auto"/>
            <w:vAlign w:val="center"/>
          </w:tcPr>
          <w:p>
            <w:pPr>
              <w:widowControl/>
              <w:jc w:val="center"/>
              <w:rPr>
                <w:rFonts w:hint="eastAsia" w:ascii="宋体" w:hAnsi="宋体" w:eastAsia="宋体"/>
                <w:kern w:val="0"/>
                <w:sz w:val="18"/>
                <w:szCs w:val="18"/>
                <w:vertAlign w:val="superscript"/>
                <w:lang w:val="en-US" w:eastAsia="zh-CN"/>
              </w:rPr>
            </w:pPr>
            <w:r>
              <w:rPr>
                <w:rFonts w:hint="eastAsia" w:ascii="宋体" w:hAnsi="宋体"/>
                <w:kern w:val="0"/>
                <w:sz w:val="18"/>
                <w:szCs w:val="18"/>
              </w:rPr>
              <w:t>氨氮</w:t>
            </w:r>
            <w:r>
              <w:rPr>
                <w:rFonts w:hint="eastAsia" w:ascii="宋体" w:hAnsi="宋体"/>
                <w:kern w:val="0"/>
                <w:sz w:val="18"/>
                <w:szCs w:val="18"/>
                <w:vertAlign w:val="superscript"/>
                <w:lang w:val="en-US" w:eastAsia="zh-CN"/>
              </w:rPr>
              <w:t>2</w:t>
            </w:r>
          </w:p>
        </w:tc>
        <w:tc>
          <w:tcPr>
            <w:tcW w:w="2637" w:type="dxa"/>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mg/L</w:t>
            </w:r>
          </w:p>
        </w:tc>
        <w:tc>
          <w:tcPr>
            <w:tcW w:w="1760" w:type="dxa"/>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1</w:t>
            </w:r>
            <w:r>
              <w:rPr>
                <w:rFonts w:hint="eastAsia" w:ascii="Times New Roman" w:hAnsi="Times New Roman" w:cs="Times New Roman"/>
                <w:kern w:val="0"/>
                <w:sz w:val="18"/>
                <w:szCs w:val="18"/>
                <w:lang w:val="en-US" w:eastAsia="zh-CN"/>
              </w:rPr>
              <w:t>0</w:t>
            </w:r>
            <w:r>
              <w:rPr>
                <w:rFonts w:ascii="宋体" w:hAnsi="宋体" w:cs="宋体"/>
                <w:kern w:val="0"/>
                <w:sz w:val="18"/>
                <w:szCs w:val="18"/>
              </w:rPr>
              <w:t>（</w:t>
            </w:r>
            <w:r>
              <w:rPr>
                <w:rFonts w:ascii="Times New Roman" w:hAnsi="Times New Roman" w:eastAsia="Times New Roman" w:cs="Times New Roman"/>
                <w:kern w:val="0"/>
                <w:sz w:val="18"/>
                <w:szCs w:val="18"/>
              </w:rPr>
              <w:t>1</w:t>
            </w:r>
            <w:r>
              <w:rPr>
                <w:rFonts w:hint="eastAsia" w:ascii="Times New Roman" w:hAnsi="Times New Roman" w:cs="Times New Roman"/>
                <w:kern w:val="0"/>
                <w:sz w:val="18"/>
                <w:szCs w:val="18"/>
                <w:lang w:val="en-US" w:eastAsia="zh-CN"/>
              </w:rPr>
              <w:t>5</w:t>
            </w:r>
            <w:r>
              <w:rPr>
                <w:rFonts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8" w:type="dxa"/>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6</w:t>
            </w:r>
          </w:p>
        </w:tc>
        <w:tc>
          <w:tcPr>
            <w:tcW w:w="3316" w:type="dxa"/>
            <w:gridSpan w:val="2"/>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总磷</w:t>
            </w:r>
          </w:p>
        </w:tc>
        <w:tc>
          <w:tcPr>
            <w:tcW w:w="2637" w:type="dxa"/>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mg/L</w:t>
            </w:r>
          </w:p>
        </w:tc>
        <w:tc>
          <w:tcPr>
            <w:tcW w:w="1760" w:type="dxa"/>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8" w:type="dxa"/>
            <w:vMerge w:val="restart"/>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7</w:t>
            </w:r>
          </w:p>
        </w:tc>
        <w:tc>
          <w:tcPr>
            <w:tcW w:w="1741" w:type="dxa"/>
            <w:vMerge w:val="restart"/>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氯化物（以</w:t>
            </w:r>
            <w:r>
              <w:rPr>
                <w:rFonts w:ascii="Times New Roman" w:hAnsi="Times New Roman" w:cs="Times New Roman"/>
                <w:kern w:val="0"/>
                <w:sz w:val="18"/>
                <w:szCs w:val="18"/>
              </w:rPr>
              <w:t>Cl</w:t>
            </w:r>
            <w:r>
              <w:rPr>
                <w:rFonts w:ascii="Times New Roman" w:hAnsi="Times New Roman" w:cs="Times New Roman"/>
                <w:kern w:val="0"/>
                <w:sz w:val="18"/>
                <w:szCs w:val="18"/>
                <w:vertAlign w:val="superscript"/>
              </w:rPr>
              <w:t>-</w:t>
            </w:r>
            <w:r>
              <w:rPr>
                <w:rFonts w:hint="eastAsia" w:ascii="宋体" w:hAnsi="宋体"/>
                <w:kern w:val="0"/>
                <w:sz w:val="18"/>
                <w:szCs w:val="18"/>
              </w:rPr>
              <w:t>计）</w:t>
            </w:r>
          </w:p>
        </w:tc>
        <w:tc>
          <w:tcPr>
            <w:tcW w:w="1575" w:type="dxa"/>
            <w:vMerge w:val="restart"/>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mg/L</w:t>
            </w:r>
          </w:p>
        </w:tc>
        <w:tc>
          <w:tcPr>
            <w:tcW w:w="2637" w:type="dxa"/>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榨菜型产品企业</w:t>
            </w:r>
          </w:p>
        </w:tc>
        <w:tc>
          <w:tcPr>
            <w:tcW w:w="1760" w:type="dxa"/>
            <w:shd w:val="clear" w:color="auto" w:fill="auto"/>
            <w:vAlign w:val="center"/>
          </w:tcPr>
          <w:p>
            <w:pPr>
              <w:widowControl/>
              <w:jc w:val="center"/>
              <w:rPr>
                <w:rFonts w:ascii="Times New Roman" w:hAnsi="Times New Roman" w:eastAsia="Times New Roman" w:cs="Times New Roman"/>
                <w:kern w:val="0"/>
                <w:sz w:val="18"/>
                <w:szCs w:val="18"/>
              </w:rPr>
            </w:pPr>
            <w:r>
              <w:rPr>
                <w:rFonts w:hint="eastAsia" w:ascii="Times New Roman" w:hAnsi="Times New Roman" w:cs="Times New Roman"/>
                <w:kern w:val="0"/>
                <w:sz w:val="18"/>
                <w:szCs w:val="18"/>
                <w:lang w:val="en-US" w:eastAsia="zh-CN"/>
              </w:rPr>
              <w:t>5</w:t>
            </w:r>
            <w:r>
              <w:rPr>
                <w:rFonts w:ascii="Times New Roman" w:hAnsi="Times New Roman" w:eastAsia="Times New Roman" w:cs="Times New Roman"/>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8" w:type="dxa"/>
            <w:vMerge w:val="continue"/>
            <w:vAlign w:val="center"/>
          </w:tcPr>
          <w:p>
            <w:pPr>
              <w:widowControl/>
              <w:jc w:val="left"/>
              <w:rPr>
                <w:rFonts w:ascii="Times New Roman" w:hAnsi="Times New Roman" w:eastAsia="Times New Roman" w:cs="Times New Roman"/>
                <w:kern w:val="0"/>
                <w:sz w:val="18"/>
                <w:szCs w:val="18"/>
              </w:rPr>
            </w:pPr>
          </w:p>
        </w:tc>
        <w:tc>
          <w:tcPr>
            <w:tcW w:w="1741" w:type="dxa"/>
            <w:vMerge w:val="continue"/>
            <w:vAlign w:val="center"/>
          </w:tcPr>
          <w:p>
            <w:pPr>
              <w:widowControl/>
              <w:jc w:val="left"/>
              <w:rPr>
                <w:rFonts w:ascii="宋体" w:hAnsi="宋体"/>
                <w:kern w:val="0"/>
                <w:sz w:val="18"/>
                <w:szCs w:val="18"/>
              </w:rPr>
            </w:pPr>
          </w:p>
        </w:tc>
        <w:tc>
          <w:tcPr>
            <w:tcW w:w="1575" w:type="dxa"/>
            <w:vMerge w:val="continue"/>
            <w:vAlign w:val="center"/>
          </w:tcPr>
          <w:p>
            <w:pPr>
              <w:widowControl/>
              <w:jc w:val="left"/>
              <w:rPr>
                <w:rFonts w:ascii="Times New Roman" w:hAnsi="Times New Roman" w:eastAsia="Times New Roman" w:cs="Times New Roman"/>
                <w:kern w:val="0"/>
                <w:sz w:val="18"/>
                <w:szCs w:val="18"/>
              </w:rPr>
            </w:pPr>
          </w:p>
        </w:tc>
        <w:tc>
          <w:tcPr>
            <w:tcW w:w="2637" w:type="dxa"/>
            <w:shd w:val="clear" w:color="auto" w:fill="auto"/>
            <w:vAlign w:val="center"/>
          </w:tcPr>
          <w:p>
            <w:pPr>
              <w:widowControl/>
              <w:jc w:val="center"/>
              <w:rPr>
                <w:rFonts w:hint="eastAsia" w:ascii="宋体" w:hAnsi="宋体" w:eastAsia="宋体"/>
                <w:kern w:val="0"/>
                <w:sz w:val="18"/>
                <w:szCs w:val="18"/>
                <w:vertAlign w:val="superscript"/>
                <w:lang w:val="en-US" w:eastAsia="zh-CN"/>
              </w:rPr>
            </w:pPr>
            <w:r>
              <w:rPr>
                <w:rFonts w:hint="eastAsia" w:ascii="宋体" w:hAnsi="宋体"/>
                <w:kern w:val="0"/>
                <w:sz w:val="18"/>
                <w:szCs w:val="18"/>
              </w:rPr>
              <w:t>混合型产品企业</w:t>
            </w:r>
            <w:r>
              <w:rPr>
                <w:rFonts w:hint="eastAsia" w:ascii="宋体" w:hAnsi="宋体"/>
                <w:kern w:val="0"/>
                <w:sz w:val="18"/>
                <w:szCs w:val="18"/>
                <w:vertAlign w:val="superscript"/>
                <w:lang w:val="en-US" w:eastAsia="zh-CN"/>
              </w:rPr>
              <w:t>1</w:t>
            </w:r>
          </w:p>
        </w:tc>
        <w:tc>
          <w:tcPr>
            <w:tcW w:w="1760" w:type="dxa"/>
            <w:shd w:val="clear" w:color="auto" w:fill="auto"/>
            <w:vAlign w:val="center"/>
          </w:tcPr>
          <w:p>
            <w:pPr>
              <w:widowControl/>
              <w:jc w:val="center"/>
              <w:rPr>
                <w:rFonts w:ascii="Times New Roman" w:hAnsi="Times New Roman" w:eastAsia="Times New Roman" w:cs="Times New Roman"/>
                <w:kern w:val="0"/>
                <w:sz w:val="18"/>
                <w:szCs w:val="18"/>
              </w:rPr>
            </w:pPr>
            <w:r>
              <w:rPr>
                <w:rFonts w:hint="eastAsia" w:ascii="Times New Roman" w:hAnsi="Times New Roman" w:cs="Times New Roman"/>
                <w:kern w:val="0"/>
                <w:sz w:val="18"/>
                <w:szCs w:val="18"/>
                <w:lang w:val="en-US" w:eastAsia="zh-CN"/>
              </w:rPr>
              <w:t>3</w:t>
            </w:r>
            <w:r>
              <w:rPr>
                <w:rFonts w:ascii="Times New Roman" w:hAnsi="Times New Roman" w:eastAsia="Times New Roman" w:cs="Times New Roman"/>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88" w:type="dxa"/>
            <w:vMerge w:val="continue"/>
            <w:vAlign w:val="center"/>
          </w:tcPr>
          <w:p>
            <w:pPr>
              <w:widowControl/>
              <w:jc w:val="left"/>
              <w:rPr>
                <w:rFonts w:ascii="Times New Roman" w:hAnsi="Times New Roman" w:eastAsia="Times New Roman" w:cs="Times New Roman"/>
                <w:kern w:val="0"/>
                <w:sz w:val="18"/>
                <w:szCs w:val="18"/>
              </w:rPr>
            </w:pPr>
          </w:p>
        </w:tc>
        <w:tc>
          <w:tcPr>
            <w:tcW w:w="1741" w:type="dxa"/>
            <w:vMerge w:val="continue"/>
            <w:vAlign w:val="center"/>
          </w:tcPr>
          <w:p>
            <w:pPr>
              <w:widowControl/>
              <w:jc w:val="left"/>
              <w:rPr>
                <w:rFonts w:ascii="宋体" w:hAnsi="宋体"/>
                <w:kern w:val="0"/>
                <w:sz w:val="18"/>
                <w:szCs w:val="18"/>
              </w:rPr>
            </w:pPr>
          </w:p>
        </w:tc>
        <w:tc>
          <w:tcPr>
            <w:tcW w:w="1575" w:type="dxa"/>
            <w:vMerge w:val="continue"/>
            <w:vAlign w:val="center"/>
          </w:tcPr>
          <w:p>
            <w:pPr>
              <w:widowControl/>
              <w:jc w:val="left"/>
              <w:rPr>
                <w:rFonts w:ascii="Times New Roman" w:hAnsi="Times New Roman" w:eastAsia="Times New Roman" w:cs="Times New Roman"/>
                <w:kern w:val="0"/>
                <w:sz w:val="18"/>
                <w:szCs w:val="18"/>
              </w:rPr>
            </w:pPr>
          </w:p>
        </w:tc>
        <w:tc>
          <w:tcPr>
            <w:tcW w:w="2637" w:type="dxa"/>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其它腌制蔬菜产品企业</w:t>
            </w:r>
          </w:p>
        </w:tc>
        <w:tc>
          <w:tcPr>
            <w:tcW w:w="1760" w:type="dxa"/>
            <w:shd w:val="clear" w:color="auto" w:fill="auto"/>
            <w:vAlign w:val="center"/>
          </w:tcPr>
          <w:p>
            <w:pPr>
              <w:widowControl/>
              <w:jc w:val="center"/>
              <w:rPr>
                <w:rFonts w:ascii="Times New Roman" w:hAnsi="Times New Roman" w:eastAsia="Times New Roman" w:cs="Times New Roman"/>
                <w:kern w:val="0"/>
                <w:sz w:val="18"/>
                <w:szCs w:val="18"/>
              </w:rPr>
            </w:pPr>
            <w:r>
              <w:rPr>
                <w:rFonts w:hint="eastAsia" w:ascii="Times New Roman" w:hAnsi="Times New Roman" w:cs="Times New Roman"/>
                <w:kern w:val="0"/>
                <w:sz w:val="18"/>
                <w:szCs w:val="18"/>
                <w:lang w:val="en-US" w:eastAsia="zh-CN"/>
              </w:rPr>
              <w:t>1</w:t>
            </w:r>
            <w:bookmarkStart w:id="38" w:name="_GoBack"/>
            <w:bookmarkEnd w:id="38"/>
            <w:r>
              <w:rPr>
                <w:rFonts w:ascii="Times New Roman" w:hAnsi="Times New Roman" w:eastAsia="Times New Roman" w:cs="Times New Roman"/>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8" w:type="dxa"/>
            <w:vMerge w:val="restart"/>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8</w:t>
            </w:r>
          </w:p>
        </w:tc>
        <w:tc>
          <w:tcPr>
            <w:tcW w:w="1741" w:type="dxa"/>
            <w:vMerge w:val="restart"/>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单位产品基准排水量</w:t>
            </w:r>
          </w:p>
        </w:tc>
        <w:tc>
          <w:tcPr>
            <w:tcW w:w="1575" w:type="dxa"/>
            <w:vMerge w:val="restart"/>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m</w:t>
            </w:r>
            <w:r>
              <w:rPr>
                <w:rFonts w:ascii="Times New Roman" w:hAnsi="Times New Roman" w:eastAsia="Times New Roman" w:cs="Times New Roman"/>
                <w:kern w:val="0"/>
                <w:sz w:val="18"/>
                <w:szCs w:val="18"/>
                <w:vertAlign w:val="superscript"/>
              </w:rPr>
              <w:t>3</w:t>
            </w:r>
            <w:r>
              <w:rPr>
                <w:rFonts w:ascii="Times New Roman" w:hAnsi="Times New Roman" w:eastAsia="Times New Roman" w:cs="Times New Roman"/>
                <w:kern w:val="0"/>
                <w:sz w:val="18"/>
                <w:szCs w:val="18"/>
              </w:rPr>
              <w:t>/t</w:t>
            </w:r>
            <w:r>
              <w:rPr>
                <w:rFonts w:hint="eastAsia" w:ascii="宋体" w:hAnsi="宋体" w:cs="Times New Roman"/>
                <w:kern w:val="0"/>
                <w:sz w:val="18"/>
                <w:szCs w:val="18"/>
              </w:rPr>
              <w:t>产品</w:t>
            </w:r>
          </w:p>
        </w:tc>
        <w:tc>
          <w:tcPr>
            <w:tcW w:w="2637" w:type="dxa"/>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榨菜型产品企业</w:t>
            </w:r>
          </w:p>
        </w:tc>
        <w:tc>
          <w:tcPr>
            <w:tcW w:w="1760" w:type="dxa"/>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8" w:type="dxa"/>
            <w:vMerge w:val="continue"/>
            <w:vAlign w:val="center"/>
          </w:tcPr>
          <w:p>
            <w:pPr>
              <w:widowControl/>
              <w:jc w:val="left"/>
              <w:rPr>
                <w:rFonts w:ascii="Times New Roman" w:hAnsi="Times New Roman" w:eastAsia="Times New Roman" w:cs="Times New Roman"/>
                <w:kern w:val="0"/>
                <w:sz w:val="18"/>
                <w:szCs w:val="18"/>
              </w:rPr>
            </w:pPr>
          </w:p>
        </w:tc>
        <w:tc>
          <w:tcPr>
            <w:tcW w:w="1741" w:type="dxa"/>
            <w:vMerge w:val="continue"/>
            <w:vAlign w:val="center"/>
          </w:tcPr>
          <w:p>
            <w:pPr>
              <w:widowControl/>
              <w:jc w:val="left"/>
              <w:rPr>
                <w:rFonts w:ascii="宋体" w:hAnsi="宋体"/>
                <w:kern w:val="0"/>
                <w:sz w:val="18"/>
                <w:szCs w:val="18"/>
              </w:rPr>
            </w:pPr>
          </w:p>
        </w:tc>
        <w:tc>
          <w:tcPr>
            <w:tcW w:w="1575" w:type="dxa"/>
            <w:vMerge w:val="continue"/>
            <w:vAlign w:val="center"/>
          </w:tcPr>
          <w:p>
            <w:pPr>
              <w:widowControl/>
              <w:jc w:val="left"/>
              <w:rPr>
                <w:rFonts w:ascii="Times New Roman" w:hAnsi="Times New Roman" w:eastAsia="Times New Roman" w:cs="Times New Roman"/>
                <w:kern w:val="0"/>
                <w:sz w:val="18"/>
                <w:szCs w:val="18"/>
              </w:rPr>
            </w:pPr>
          </w:p>
        </w:tc>
        <w:tc>
          <w:tcPr>
            <w:tcW w:w="2637" w:type="dxa"/>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混合型产品企业</w:t>
            </w:r>
            <w:r>
              <w:rPr>
                <w:rFonts w:hint="eastAsia" w:ascii="宋体" w:hAnsi="宋体"/>
                <w:kern w:val="0"/>
                <w:sz w:val="18"/>
                <w:szCs w:val="18"/>
                <w:vertAlign w:val="superscript"/>
                <w:lang w:val="en-US" w:eastAsia="zh-CN"/>
              </w:rPr>
              <w:t>1</w:t>
            </w:r>
          </w:p>
        </w:tc>
        <w:tc>
          <w:tcPr>
            <w:tcW w:w="1760" w:type="dxa"/>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12-18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88" w:type="dxa"/>
            <w:vMerge w:val="continue"/>
            <w:vAlign w:val="center"/>
          </w:tcPr>
          <w:p>
            <w:pPr>
              <w:widowControl/>
              <w:jc w:val="left"/>
              <w:rPr>
                <w:rFonts w:ascii="Times New Roman" w:hAnsi="Times New Roman" w:eastAsia="Times New Roman" w:cs="Times New Roman"/>
                <w:kern w:val="0"/>
                <w:sz w:val="18"/>
                <w:szCs w:val="18"/>
              </w:rPr>
            </w:pPr>
          </w:p>
        </w:tc>
        <w:tc>
          <w:tcPr>
            <w:tcW w:w="1741" w:type="dxa"/>
            <w:vMerge w:val="continue"/>
            <w:vAlign w:val="center"/>
          </w:tcPr>
          <w:p>
            <w:pPr>
              <w:widowControl/>
              <w:jc w:val="left"/>
              <w:rPr>
                <w:rFonts w:ascii="宋体" w:hAnsi="宋体"/>
                <w:kern w:val="0"/>
                <w:sz w:val="18"/>
                <w:szCs w:val="18"/>
              </w:rPr>
            </w:pPr>
          </w:p>
        </w:tc>
        <w:tc>
          <w:tcPr>
            <w:tcW w:w="1575" w:type="dxa"/>
            <w:vMerge w:val="continue"/>
            <w:vAlign w:val="center"/>
          </w:tcPr>
          <w:p>
            <w:pPr>
              <w:widowControl/>
              <w:jc w:val="left"/>
              <w:rPr>
                <w:rFonts w:ascii="Times New Roman" w:hAnsi="Times New Roman" w:eastAsia="Times New Roman" w:cs="Times New Roman"/>
                <w:kern w:val="0"/>
                <w:sz w:val="18"/>
                <w:szCs w:val="18"/>
              </w:rPr>
            </w:pPr>
          </w:p>
        </w:tc>
        <w:tc>
          <w:tcPr>
            <w:tcW w:w="2637" w:type="dxa"/>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其它腌制蔬菜产品企业</w:t>
            </w:r>
          </w:p>
        </w:tc>
        <w:tc>
          <w:tcPr>
            <w:tcW w:w="1760" w:type="dxa"/>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88" w:type="dxa"/>
            <w:shd w:val="clear" w:color="auto" w:fill="auto"/>
            <w:vAlign w:val="center"/>
          </w:tcPr>
          <w:p>
            <w:pPr>
              <w:widowControl/>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9</w:t>
            </w:r>
          </w:p>
        </w:tc>
        <w:tc>
          <w:tcPr>
            <w:tcW w:w="5953" w:type="dxa"/>
            <w:gridSpan w:val="3"/>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污染物排放监控位置</w:t>
            </w:r>
          </w:p>
        </w:tc>
        <w:tc>
          <w:tcPr>
            <w:tcW w:w="1760" w:type="dxa"/>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企业废水总排放口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701" w:type="dxa"/>
            <w:gridSpan w:val="5"/>
            <w:shd w:val="clear" w:color="auto" w:fill="auto"/>
            <w:vAlign w:val="center"/>
          </w:tcPr>
          <w:p>
            <w:pPr>
              <w:tabs>
                <w:tab w:val="left" w:pos="420"/>
              </w:tabs>
              <w:spacing w:line="360" w:lineRule="auto"/>
              <w:jc w:val="left"/>
              <w:rPr>
                <w:rFonts w:ascii="Times New Roman" w:hAnsi="Times New Roman" w:cs="Times New Roman"/>
                <w:sz w:val="18"/>
                <w:szCs w:val="18"/>
              </w:rPr>
            </w:pPr>
            <w:r>
              <w:rPr>
                <w:rFonts w:hint="eastAsia" w:ascii="Times New Roman" w:hAnsi="Times New Roman" w:eastAsia="黑体" w:cs="Times New Roman"/>
                <w:sz w:val="18"/>
                <w:szCs w:val="18"/>
              </w:rPr>
              <w:t>注</w:t>
            </w:r>
            <w:r>
              <w:rPr>
                <w:rFonts w:hint="eastAsia" w:ascii="Times New Roman" w:hAnsi="Times New Roman" w:eastAsia="黑体" w:cs="Times New Roman"/>
                <w:sz w:val="18"/>
                <w:szCs w:val="18"/>
                <w:lang w:val="en-US" w:eastAsia="zh-CN"/>
              </w:rPr>
              <w:t>1</w:t>
            </w:r>
            <w:r>
              <w:rPr>
                <w:rFonts w:hint="eastAsia" w:ascii="Times New Roman" w:hAnsi="Times New Roman" w:eastAsia="黑体" w:cs="Times New Roman"/>
                <w:sz w:val="18"/>
                <w:szCs w:val="18"/>
              </w:rPr>
              <w:t>：</w:t>
            </w:r>
            <w:r>
              <w:rPr>
                <w:rFonts w:hint="eastAsia" w:ascii="Times New Roman" w:hAnsi="Times New Roman" w:cs="Times New Roman"/>
                <w:sz w:val="18"/>
                <w:szCs w:val="18"/>
              </w:rPr>
              <w:t>生产混合型产品的企业废水中氯化物（以</w:t>
            </w:r>
            <w:r>
              <w:rPr>
                <w:rFonts w:ascii="Times New Roman" w:hAnsi="Times New Roman" w:cs="Times New Roman"/>
                <w:sz w:val="18"/>
                <w:szCs w:val="18"/>
              </w:rPr>
              <w:t>Cl</w:t>
            </w:r>
            <w:r>
              <w:rPr>
                <w:rFonts w:ascii="Times New Roman" w:hAnsi="Times New Roman" w:cs="Times New Roman"/>
                <w:sz w:val="18"/>
                <w:szCs w:val="18"/>
                <w:vertAlign w:val="superscript"/>
              </w:rPr>
              <w:t>-</w:t>
            </w:r>
            <w:r>
              <w:rPr>
                <w:rFonts w:hint="eastAsia" w:ascii="Times New Roman" w:hAnsi="Times New Roman" w:cs="Times New Roman"/>
                <w:sz w:val="18"/>
                <w:szCs w:val="18"/>
              </w:rPr>
              <w:t>计）和单位产品基准排水量要求：若榨菜产品废水与其它腌制蔬菜产品废水为分流制，则两种废水分别执行表</w:t>
            </w:r>
            <w:r>
              <w:rPr>
                <w:rFonts w:ascii="Times New Roman" w:hAnsi="Times New Roman" w:cs="Times New Roman"/>
                <w:sz w:val="18"/>
                <w:szCs w:val="18"/>
              </w:rPr>
              <w:t>3</w:t>
            </w:r>
            <w:r>
              <w:rPr>
                <w:rFonts w:hint="eastAsia" w:ascii="Times New Roman" w:hAnsi="Times New Roman" w:cs="Times New Roman"/>
                <w:sz w:val="18"/>
                <w:szCs w:val="18"/>
              </w:rPr>
              <w:t>中榨菜型产品企业及其它腌制蔬菜产品企业要求；若榨菜产品废水与其它腌制蔬菜产品废水为合流制，则执行表</w:t>
            </w:r>
            <w:r>
              <w:rPr>
                <w:rFonts w:ascii="Times New Roman" w:hAnsi="Times New Roman" w:cs="Times New Roman"/>
                <w:sz w:val="18"/>
                <w:szCs w:val="18"/>
              </w:rPr>
              <w:t>3</w:t>
            </w:r>
            <w:r>
              <w:rPr>
                <w:rFonts w:hint="eastAsia" w:ascii="Times New Roman" w:hAnsi="Times New Roman" w:cs="Times New Roman"/>
                <w:sz w:val="18"/>
                <w:szCs w:val="18"/>
              </w:rPr>
              <w:t>中混合型产品企业要求。</w:t>
            </w:r>
          </w:p>
          <w:p>
            <w:pPr>
              <w:tabs>
                <w:tab w:val="left" w:pos="420"/>
              </w:tabs>
              <w:spacing w:line="360" w:lineRule="auto"/>
              <w:jc w:val="left"/>
              <w:rPr>
                <w:rFonts w:ascii="宋体" w:hAnsi="宋体"/>
                <w:kern w:val="0"/>
                <w:sz w:val="18"/>
                <w:szCs w:val="18"/>
              </w:rPr>
            </w:pPr>
            <w:r>
              <w:rPr>
                <w:rFonts w:hint="eastAsia" w:ascii="Times New Roman" w:hAnsi="Times New Roman" w:cs="Times New Roman"/>
                <w:sz w:val="18"/>
                <w:szCs w:val="18"/>
                <w:lang w:val="en-US" w:eastAsia="zh-CN"/>
              </w:rPr>
              <w:t>注2:</w:t>
            </w:r>
            <w:r>
              <w:rPr>
                <w:rFonts w:ascii="Times New Roman" w:hAnsi="Times New Roman" w:cs="Times New Roman"/>
                <w:sz w:val="18"/>
                <w:szCs w:val="18"/>
              </w:rPr>
              <w:t xml:space="preserve"> </w:t>
            </w:r>
            <w:r>
              <w:rPr>
                <w:rFonts w:hint="eastAsia" w:ascii="Times New Roman" w:hAnsi="Times New Roman" w:cs="Times New Roman"/>
                <w:sz w:val="18"/>
                <w:szCs w:val="18"/>
              </w:rPr>
              <w:t>括号外数值为水温大于</w:t>
            </w:r>
            <w:r>
              <w:rPr>
                <w:rFonts w:ascii="Times New Roman" w:hAnsi="Times New Roman" w:cs="Times New Roman"/>
                <w:sz w:val="18"/>
                <w:szCs w:val="18"/>
              </w:rPr>
              <w:t>12</w:t>
            </w:r>
            <w:r>
              <w:rPr>
                <w:rFonts w:hint="eastAsia" w:ascii="Times New Roman" w:hAnsi="Times New Roman" w:cs="Times New Roman"/>
                <w:sz w:val="18"/>
                <w:szCs w:val="18"/>
              </w:rPr>
              <w:t>℃时的控制指标，括号内数值为水温小于</w:t>
            </w:r>
            <w:r>
              <w:rPr>
                <w:rFonts w:ascii="Times New Roman" w:hAnsi="Times New Roman" w:cs="Times New Roman"/>
                <w:sz w:val="18"/>
                <w:szCs w:val="18"/>
              </w:rPr>
              <w:t>12</w:t>
            </w:r>
            <w:r>
              <w:rPr>
                <w:rFonts w:hint="eastAsia" w:ascii="Times New Roman" w:hAnsi="Times New Roman" w:cs="Times New Roman"/>
                <w:sz w:val="18"/>
                <w:szCs w:val="18"/>
              </w:rPr>
              <w:t>℃时的控制指标。</w:t>
            </w:r>
          </w:p>
        </w:tc>
      </w:tr>
    </w:tbl>
    <w:p>
      <w:pPr>
        <w:tabs>
          <w:tab w:val="left" w:pos="420"/>
        </w:tabs>
        <w:spacing w:line="360" w:lineRule="exact"/>
        <w:jc w:val="center"/>
        <w:rPr>
          <w:rFonts w:ascii="Times New Roman" w:hAnsi="Times New Roman" w:eastAsia="黑体" w:cs="Times New Roman"/>
        </w:rPr>
      </w:pPr>
    </w:p>
    <w:p>
      <w:pPr>
        <w:pStyle w:val="2"/>
        <w:numPr>
          <w:ilvl w:val="0"/>
          <w:numId w:val="0"/>
        </w:numPr>
        <w:ind w:left="432" w:hanging="432"/>
      </w:pPr>
      <w:bookmarkStart w:id="22" w:name="_Toc46345948"/>
      <w:bookmarkEnd w:id="22"/>
      <w:bookmarkStart w:id="23" w:name="_Toc46345912"/>
      <w:bookmarkEnd w:id="23"/>
      <w:bookmarkStart w:id="24" w:name="_Toc46345947"/>
      <w:bookmarkEnd w:id="24"/>
      <w:bookmarkStart w:id="25" w:name="_Toc46345911"/>
      <w:bookmarkEnd w:id="25"/>
      <w:bookmarkStart w:id="26" w:name="_Toc46345949"/>
      <w:r>
        <w:rPr>
          <w:rFonts w:hint="eastAsia"/>
        </w:rPr>
        <w:t>5</w:t>
      </w:r>
      <w:r>
        <w:t xml:space="preserve">  </w:t>
      </w:r>
      <w:r>
        <w:rPr>
          <w:rFonts w:hint="eastAsia"/>
        </w:rPr>
        <w:t>废水控盐技术要求</w:t>
      </w:r>
      <w:bookmarkEnd w:id="26"/>
    </w:p>
    <w:p>
      <w:pPr>
        <w:pStyle w:val="4"/>
        <w:numPr>
          <w:ilvl w:val="0"/>
          <w:numId w:val="0"/>
        </w:numPr>
        <w:spacing w:before="120" w:beforeLines="50" w:afterLines="50" w:line="360" w:lineRule="auto"/>
        <w:rPr>
          <w:rFonts w:ascii="黑体"/>
        </w:rPr>
      </w:pPr>
      <w:r>
        <w:rPr>
          <w:rFonts w:ascii="黑体"/>
        </w:rPr>
        <w:t>5.1</w:t>
      </w:r>
      <w:r>
        <w:rPr>
          <w:rFonts w:hint="eastAsia" w:ascii="黑体"/>
        </w:rPr>
        <w:t>源头控制</w:t>
      </w:r>
    </w:p>
    <w:p>
      <w:pPr>
        <w:pStyle w:val="6"/>
        <w:numPr>
          <w:ilvl w:val="2"/>
          <w:numId w:val="0"/>
        </w:numPr>
        <w:spacing w:after="0" w:line="360" w:lineRule="auto"/>
      </w:pPr>
      <w:bookmarkStart w:id="27" w:name="_Hlk27237185"/>
      <w:r>
        <w:rPr>
          <w:rFonts w:ascii="黑体" w:hAnsi="黑体" w:eastAsia="黑体"/>
          <w:bCs w:val="0"/>
        </w:rPr>
        <w:t xml:space="preserve">5.1.1 </w:t>
      </w:r>
      <w:r>
        <w:rPr>
          <w:rFonts w:hint="eastAsia"/>
        </w:rPr>
        <w:t>榨菜生产企业宜</w:t>
      </w:r>
      <w:r>
        <w:t>采用风脱水、低盐腌制、分阶段加盐</w:t>
      </w:r>
      <w:r>
        <w:rPr>
          <w:rFonts w:hint="eastAsia"/>
        </w:rPr>
        <w:t>腌制工艺，减少腌制过程用盐量，增加含盐水再利用率。</w:t>
      </w:r>
    </w:p>
    <w:p>
      <w:pPr>
        <w:spacing w:line="360" w:lineRule="auto"/>
        <w:rPr>
          <w:rFonts w:ascii="Times New Roman" w:hAnsi="Times New Roman" w:cs="Times New Roman"/>
          <w:bCs/>
          <w:szCs w:val="20"/>
        </w:rPr>
      </w:pPr>
      <w:r>
        <w:rPr>
          <w:rFonts w:ascii="黑体" w:hAnsi="黑体" w:eastAsia="黑体" w:cs="Times New Roman"/>
          <w:szCs w:val="20"/>
        </w:rPr>
        <w:t xml:space="preserve">5.1.2 </w:t>
      </w:r>
      <w:r>
        <w:rPr>
          <w:rFonts w:hint="eastAsia" w:ascii="Times New Roman" w:hAnsi="Times New Roman" w:cs="Times New Roman"/>
          <w:bCs/>
          <w:szCs w:val="20"/>
        </w:rPr>
        <w:t>榨菜生产企业在收购粗加工产品时，应一并收取相应的榨菜废水，输送至自建污水处理设施或园区污水处理厂或城镇污水处理厂，处理达标后，向排污许可证规定区域排放，严禁向土壤和农田排放，防止土地盐碱化。</w:t>
      </w:r>
    </w:p>
    <w:p>
      <w:pPr>
        <w:spacing w:line="360" w:lineRule="auto"/>
        <w:rPr>
          <w:rFonts w:ascii="Times New Roman" w:hAnsi="Times New Roman" w:cs="Times New Roman"/>
          <w:bCs/>
          <w:szCs w:val="20"/>
        </w:rPr>
      </w:pPr>
      <w:r>
        <w:rPr>
          <w:rFonts w:ascii="黑体" w:hAnsi="黑体" w:eastAsia="黑体" w:cs="Times New Roman"/>
          <w:szCs w:val="20"/>
        </w:rPr>
        <w:t>5.1.3</w:t>
      </w:r>
      <w:r>
        <w:t xml:space="preserve"> </w:t>
      </w:r>
      <w:r>
        <w:rPr>
          <w:rFonts w:hint="eastAsia"/>
        </w:rPr>
        <w:t>严禁</w:t>
      </w:r>
      <w:r>
        <w:rPr>
          <w:rFonts w:hint="eastAsia" w:ascii="Times New Roman" w:hAnsi="Times New Roman" w:cs="Times New Roman"/>
          <w:bCs/>
          <w:szCs w:val="20"/>
        </w:rPr>
        <w:t>榨菜粗加工个体经营户将未被企业收取的榨菜废水直接排向环境，该部分榨菜废水去向应向</w:t>
      </w:r>
      <w:r>
        <w:rPr>
          <w:rFonts w:hint="eastAsia" w:ascii="宋体" w:hAnsi="宋体"/>
        </w:rPr>
        <w:t>生态环境主管部门</w:t>
      </w:r>
      <w:r>
        <w:rPr>
          <w:rFonts w:hint="eastAsia" w:ascii="Times New Roman" w:hAnsi="Times New Roman" w:cs="Times New Roman"/>
          <w:bCs/>
          <w:szCs w:val="20"/>
        </w:rPr>
        <w:t>申报得到批准后，输送至园区污水处理厂或城镇污水处理厂处理。</w:t>
      </w:r>
    </w:p>
    <w:p>
      <w:pPr>
        <w:pStyle w:val="4"/>
        <w:numPr>
          <w:ilvl w:val="0"/>
          <w:numId w:val="0"/>
        </w:numPr>
        <w:spacing w:before="120" w:beforeLines="50" w:afterLines="50" w:line="360" w:lineRule="auto"/>
        <w:rPr>
          <w:rFonts w:ascii="黑体"/>
          <w:bCs/>
        </w:rPr>
      </w:pPr>
      <w:r>
        <w:rPr>
          <w:rFonts w:ascii="黑体"/>
        </w:rPr>
        <w:t>5.2</w:t>
      </w:r>
      <w:r>
        <w:rPr>
          <w:rFonts w:hint="eastAsia" w:ascii="黑体"/>
        </w:rPr>
        <w:t>过程控制</w:t>
      </w:r>
    </w:p>
    <w:p>
      <w:pPr>
        <w:pStyle w:val="6"/>
        <w:numPr>
          <w:ilvl w:val="2"/>
          <w:numId w:val="0"/>
        </w:numPr>
        <w:spacing w:after="0" w:line="360" w:lineRule="auto"/>
      </w:pPr>
      <w:r>
        <w:rPr>
          <w:rFonts w:ascii="黑体" w:hAnsi="黑体" w:eastAsia="黑体"/>
          <w:bCs w:val="0"/>
        </w:rPr>
        <w:t>5,2.1</w:t>
      </w:r>
      <w:r>
        <w:t xml:space="preserve"> 榨菜生产企业</w:t>
      </w:r>
      <w:r>
        <w:rPr>
          <w:rFonts w:hint="eastAsia"/>
        </w:rPr>
        <w:t>宜采用减少脱盐用水量的技术。</w:t>
      </w:r>
    </w:p>
    <w:p>
      <w:pPr>
        <w:spacing w:line="360" w:lineRule="auto"/>
        <w:rPr>
          <w:rFonts w:ascii="Times New Roman" w:hAnsi="Times New Roman" w:cs="Times New Roman"/>
        </w:rPr>
      </w:pPr>
      <w:r>
        <w:rPr>
          <w:rFonts w:ascii="黑体" w:hAnsi="黑体" w:eastAsia="黑体" w:cs="Times New Roman"/>
          <w:szCs w:val="20"/>
        </w:rPr>
        <w:t xml:space="preserve">5.2.2 </w:t>
      </w:r>
      <w:r>
        <w:rPr>
          <w:rFonts w:hint="eastAsia" w:ascii="Times New Roman" w:hAnsi="Times New Roman" w:cs="Times New Roman"/>
        </w:rPr>
        <w:t>榨菜生产企业宜将二腌和三腌废水进行回用或综合利用。</w:t>
      </w:r>
    </w:p>
    <w:p>
      <w:pPr>
        <w:pStyle w:val="4"/>
        <w:numPr>
          <w:ilvl w:val="0"/>
          <w:numId w:val="0"/>
        </w:numPr>
        <w:spacing w:before="120" w:beforeLines="50" w:afterLines="50" w:line="360" w:lineRule="auto"/>
        <w:rPr>
          <w:rFonts w:ascii="黑体"/>
        </w:rPr>
      </w:pPr>
      <w:r>
        <w:rPr>
          <w:rFonts w:ascii="黑体"/>
        </w:rPr>
        <w:t>5.3</w:t>
      </w:r>
      <w:r>
        <w:rPr>
          <w:rFonts w:hint="eastAsia" w:ascii="黑体"/>
        </w:rPr>
        <w:t>末端控制</w:t>
      </w:r>
    </w:p>
    <w:bookmarkEnd w:id="27"/>
    <w:p>
      <w:pPr>
        <w:spacing w:line="360" w:lineRule="auto"/>
        <w:rPr>
          <w:rFonts w:ascii="Times New Roman" w:hAnsi="Times New Roman" w:cs="Times New Roman"/>
        </w:rPr>
      </w:pPr>
      <w:r>
        <w:rPr>
          <w:rFonts w:ascii="黑体" w:hAnsi="黑体" w:eastAsia="黑体" w:cs="Times New Roman"/>
          <w:szCs w:val="20"/>
        </w:rPr>
        <w:t xml:space="preserve">5.3.1 </w:t>
      </w:r>
      <w:r>
        <w:rPr>
          <w:rFonts w:hint="eastAsia" w:ascii="Times New Roman" w:hAnsi="Times New Roman" w:cs="Times New Roman"/>
        </w:rPr>
        <w:t>除标准规定的化学需氧量、氨氮、总磷、悬浮物、</w:t>
      </w:r>
      <w:r>
        <w:rPr>
          <w:rFonts w:ascii="Times New Roman" w:hAnsi="Times New Roman" w:cs="Times New Roman"/>
        </w:rPr>
        <w:t>pH值</w:t>
      </w:r>
      <w:r>
        <w:rPr>
          <w:rFonts w:hint="eastAsia" w:ascii="Times New Roman" w:hAnsi="Times New Roman" w:cs="Times New Roman"/>
        </w:rPr>
        <w:t>和氯化物（以</w:t>
      </w:r>
      <w:r>
        <w:rPr>
          <w:rFonts w:ascii="Times New Roman" w:hAnsi="Times New Roman" w:cs="Times New Roman"/>
        </w:rPr>
        <w:t>Cl</w:t>
      </w:r>
      <w:r>
        <w:rPr>
          <w:rFonts w:ascii="Times New Roman" w:hAnsi="Times New Roman" w:cs="Times New Roman"/>
          <w:vertAlign w:val="superscript"/>
        </w:rPr>
        <w:t>-</w:t>
      </w:r>
      <w:r>
        <w:rPr>
          <w:rFonts w:hint="eastAsia" w:ascii="Times New Roman" w:hAnsi="Times New Roman" w:cs="Times New Roman"/>
        </w:rPr>
        <w:t>计）外，在日常运行监测或监督性监测中，应增加监测总氮指标。</w:t>
      </w:r>
    </w:p>
    <w:p>
      <w:pPr>
        <w:spacing w:line="360" w:lineRule="auto"/>
        <w:rPr>
          <w:rFonts w:ascii="Times New Roman" w:hAnsi="Times New Roman" w:cs="Times New Roman"/>
        </w:rPr>
      </w:pPr>
      <w:r>
        <w:rPr>
          <w:rFonts w:ascii="黑体" w:hAnsi="黑体" w:eastAsia="黑体" w:cs="Times New Roman"/>
          <w:szCs w:val="20"/>
        </w:rPr>
        <w:t xml:space="preserve">5.3.2 </w:t>
      </w:r>
      <w:r>
        <w:rPr>
          <w:rFonts w:hint="eastAsia" w:ascii="Times New Roman" w:hAnsi="Times New Roman" w:cs="Times New Roman"/>
        </w:rPr>
        <w:t>综合考虑水生态功能保护需求、行业产排污特点、治理技术现状等，对榨菜行业高盐水实施精细化管控要求，按不同产品品种，执行相应的氯化物排放限值。</w:t>
      </w:r>
    </w:p>
    <w:p>
      <w:pPr>
        <w:pStyle w:val="2"/>
        <w:numPr>
          <w:ilvl w:val="0"/>
          <w:numId w:val="0"/>
        </w:numPr>
        <w:ind w:left="432" w:hanging="432"/>
      </w:pPr>
      <w:bookmarkStart w:id="28" w:name="_Toc46345950"/>
      <w:r>
        <w:rPr>
          <w:rFonts w:hint="eastAsia"/>
        </w:rPr>
        <w:t>6</w:t>
      </w:r>
      <w:r>
        <w:t xml:space="preserve">  </w:t>
      </w:r>
      <w:r>
        <w:rPr>
          <w:rFonts w:hint="eastAsia"/>
        </w:rPr>
        <w:t>污染物监测与评价</w:t>
      </w:r>
      <w:bookmarkEnd w:id="28"/>
    </w:p>
    <w:p>
      <w:pPr>
        <w:pStyle w:val="2"/>
        <w:numPr>
          <w:ilvl w:val="0"/>
          <w:numId w:val="0"/>
        </w:numPr>
        <w:spacing w:before="0" w:beforeLines="0" w:after="0" w:afterLines="0" w:line="360" w:lineRule="auto"/>
        <w:rPr>
          <w:rFonts w:ascii="宋体" w:hAnsi="宋体" w:eastAsia="宋体"/>
          <w:b w:val="0"/>
          <w:kern w:val="2"/>
          <w:szCs w:val="20"/>
        </w:rPr>
      </w:pPr>
      <w:bookmarkStart w:id="29" w:name="_Toc46345951"/>
      <w:r>
        <w:rPr>
          <w:rFonts w:ascii="黑体" w:hAnsi="黑体"/>
          <w:b w:val="0"/>
          <w:kern w:val="2"/>
          <w:szCs w:val="20"/>
        </w:rPr>
        <w:t xml:space="preserve">6.1 </w:t>
      </w:r>
      <w:r>
        <w:rPr>
          <w:rFonts w:hint="eastAsia" w:ascii="宋体" w:hAnsi="宋体" w:eastAsia="宋体"/>
          <w:b w:val="0"/>
          <w:kern w:val="2"/>
          <w:szCs w:val="20"/>
        </w:rPr>
        <w:t>排污单位应按照环境监测管理规定和技术规范的要求，设计、建设、维护永久性采样口、采样测试平台和排污口标志。</w:t>
      </w:r>
      <w:bookmarkEnd w:id="29"/>
    </w:p>
    <w:p>
      <w:pPr>
        <w:pStyle w:val="2"/>
        <w:numPr>
          <w:ilvl w:val="0"/>
          <w:numId w:val="0"/>
        </w:numPr>
        <w:spacing w:before="0" w:beforeLines="0" w:after="0" w:afterLines="0" w:line="360" w:lineRule="auto"/>
        <w:rPr>
          <w:rFonts w:ascii="宋体" w:hAnsi="宋体" w:eastAsia="宋体"/>
          <w:b w:val="0"/>
          <w:kern w:val="2"/>
          <w:szCs w:val="20"/>
        </w:rPr>
      </w:pPr>
      <w:bookmarkStart w:id="30" w:name="_Toc46345952"/>
      <w:r>
        <w:rPr>
          <w:rFonts w:ascii="黑体" w:hAnsi="黑体"/>
          <w:b w:val="0"/>
          <w:kern w:val="2"/>
          <w:szCs w:val="20"/>
        </w:rPr>
        <w:t>6,2</w:t>
      </w:r>
      <w:r>
        <w:rPr>
          <w:rFonts w:ascii="宋体" w:hAnsi="宋体" w:eastAsia="宋体"/>
          <w:b w:val="0"/>
          <w:kern w:val="2"/>
          <w:szCs w:val="20"/>
        </w:rPr>
        <w:t xml:space="preserve"> </w:t>
      </w:r>
      <w:r>
        <w:rPr>
          <w:rFonts w:hint="eastAsia" w:ascii="宋体" w:hAnsi="宋体" w:eastAsia="宋体"/>
          <w:b w:val="0"/>
          <w:kern w:val="2"/>
          <w:szCs w:val="20"/>
        </w:rPr>
        <w:t>排污单位应按照污染物排放自动监控设备的要求，按有关法律和《污染物自动监控管理办法》的规定执行。</w:t>
      </w:r>
      <w:bookmarkEnd w:id="30"/>
    </w:p>
    <w:p>
      <w:pPr>
        <w:pStyle w:val="2"/>
        <w:numPr>
          <w:ilvl w:val="0"/>
          <w:numId w:val="0"/>
        </w:numPr>
        <w:spacing w:before="0" w:beforeLines="0" w:after="0" w:afterLines="0" w:line="360" w:lineRule="auto"/>
        <w:rPr>
          <w:rFonts w:ascii="宋体" w:hAnsi="宋体" w:eastAsia="宋体"/>
          <w:b w:val="0"/>
          <w:kern w:val="2"/>
          <w:szCs w:val="20"/>
        </w:rPr>
      </w:pPr>
      <w:bookmarkStart w:id="31" w:name="_Toc46345953"/>
      <w:r>
        <w:rPr>
          <w:rFonts w:ascii="黑体" w:hAnsi="黑体"/>
          <w:b w:val="0"/>
          <w:kern w:val="2"/>
          <w:szCs w:val="20"/>
        </w:rPr>
        <w:t>6.3</w:t>
      </w:r>
      <w:r>
        <w:rPr>
          <w:rFonts w:hint="eastAsia" w:ascii="宋体" w:hAnsi="宋体" w:eastAsia="宋体"/>
          <w:b w:val="0"/>
          <w:kern w:val="2"/>
          <w:szCs w:val="20"/>
        </w:rPr>
        <w:t>排污单位应按照有关法律和《环境监测管理办法》等规定，建立单位内监测制度，制定监测方案，对污染物排放状况开展自行监测，保存原始监测记录，并公开监测结果。</w:t>
      </w:r>
      <w:bookmarkEnd w:id="31"/>
    </w:p>
    <w:p>
      <w:pPr>
        <w:pStyle w:val="2"/>
        <w:numPr>
          <w:ilvl w:val="0"/>
          <w:numId w:val="0"/>
        </w:numPr>
        <w:spacing w:before="0" w:beforeLines="0" w:after="0" w:afterLines="0" w:line="360" w:lineRule="auto"/>
        <w:rPr>
          <w:rFonts w:ascii="宋体" w:hAnsi="宋体" w:eastAsia="宋体"/>
          <w:b w:val="0"/>
          <w:kern w:val="2"/>
          <w:szCs w:val="20"/>
        </w:rPr>
      </w:pPr>
      <w:bookmarkStart w:id="32" w:name="_Toc46345954"/>
      <w:r>
        <w:rPr>
          <w:rFonts w:ascii="黑体" w:hAnsi="黑体"/>
          <w:b w:val="0"/>
          <w:kern w:val="2"/>
          <w:szCs w:val="20"/>
        </w:rPr>
        <w:t>6.4</w:t>
      </w:r>
      <w:r>
        <w:rPr>
          <w:rFonts w:ascii="宋体" w:hAnsi="宋体" w:eastAsia="宋体"/>
          <w:b w:val="0"/>
          <w:kern w:val="2"/>
          <w:szCs w:val="20"/>
        </w:rPr>
        <w:t xml:space="preserve"> </w:t>
      </w:r>
      <w:r>
        <w:rPr>
          <w:rFonts w:hint="eastAsia" w:ascii="宋体" w:hAnsi="宋体" w:eastAsia="宋体"/>
          <w:b w:val="0"/>
          <w:kern w:val="2"/>
          <w:szCs w:val="20"/>
        </w:rPr>
        <w:t>取样频率为至少每</w:t>
      </w:r>
      <w:r>
        <w:rPr>
          <w:rFonts w:eastAsia="宋体"/>
          <w:b w:val="0"/>
          <w:kern w:val="2"/>
          <w:szCs w:val="20"/>
        </w:rPr>
        <w:t>2 h一次，取24 h混</w:t>
      </w:r>
      <w:r>
        <w:rPr>
          <w:rFonts w:ascii="宋体" w:hAnsi="宋体" w:eastAsia="宋体"/>
          <w:b w:val="0"/>
          <w:kern w:val="2"/>
          <w:szCs w:val="20"/>
        </w:rPr>
        <w:t>合样，以日均值计。</w:t>
      </w:r>
      <w:bookmarkEnd w:id="32"/>
    </w:p>
    <w:p>
      <w:pPr>
        <w:pStyle w:val="2"/>
        <w:numPr>
          <w:ilvl w:val="0"/>
          <w:numId w:val="0"/>
        </w:numPr>
        <w:spacing w:before="0" w:beforeLines="0" w:after="0" w:afterLines="0" w:line="360" w:lineRule="auto"/>
        <w:rPr>
          <w:rFonts w:ascii="宋体" w:hAnsi="宋体" w:eastAsia="宋体"/>
          <w:b w:val="0"/>
          <w:kern w:val="2"/>
          <w:szCs w:val="20"/>
        </w:rPr>
      </w:pPr>
      <w:bookmarkStart w:id="33" w:name="_Toc46345955"/>
      <w:r>
        <w:rPr>
          <w:rFonts w:ascii="黑体" w:hAnsi="黑体"/>
          <w:b w:val="0"/>
          <w:kern w:val="2"/>
          <w:szCs w:val="20"/>
        </w:rPr>
        <w:t>6.5</w:t>
      </w:r>
      <w:r>
        <w:rPr>
          <w:rFonts w:ascii="宋体" w:hAnsi="宋体" w:eastAsia="宋体"/>
          <w:b w:val="0"/>
          <w:kern w:val="2"/>
          <w:szCs w:val="20"/>
        </w:rPr>
        <w:t xml:space="preserve"> </w:t>
      </w:r>
      <w:r>
        <w:rPr>
          <w:rFonts w:hint="eastAsia" w:ascii="宋体" w:hAnsi="宋体" w:eastAsia="宋体"/>
          <w:b w:val="0"/>
          <w:kern w:val="2"/>
          <w:szCs w:val="20"/>
        </w:rPr>
        <w:t xml:space="preserve">对水污染物排放浓度的测定应按照表 </w:t>
      </w:r>
      <w:r>
        <w:rPr>
          <w:rFonts w:eastAsia="宋体"/>
          <w:b w:val="0"/>
          <w:kern w:val="2"/>
          <w:szCs w:val="20"/>
        </w:rPr>
        <w:t xml:space="preserve">4 </w:t>
      </w:r>
      <w:r>
        <w:rPr>
          <w:rFonts w:hint="eastAsia" w:ascii="宋体" w:hAnsi="宋体" w:eastAsia="宋体"/>
          <w:b w:val="0"/>
          <w:kern w:val="2"/>
          <w:szCs w:val="20"/>
        </w:rPr>
        <w:t>所列的监测方法或国家生态环境主管部门认定的等效方法执行。</w:t>
      </w:r>
      <w:bookmarkEnd w:id="33"/>
    </w:p>
    <w:p>
      <w:pPr>
        <w:pStyle w:val="2"/>
        <w:numPr>
          <w:ilvl w:val="0"/>
          <w:numId w:val="0"/>
        </w:numPr>
        <w:spacing w:before="0" w:beforeLines="0" w:after="0" w:afterLines="0" w:line="360" w:lineRule="auto"/>
        <w:rPr>
          <w:rFonts w:eastAsia="宋体"/>
          <w:b w:val="0"/>
          <w:kern w:val="2"/>
          <w:szCs w:val="20"/>
        </w:rPr>
      </w:pPr>
      <w:bookmarkStart w:id="34" w:name="_Toc46345956"/>
      <w:r>
        <w:rPr>
          <w:rFonts w:ascii="黑体" w:hAnsi="黑体"/>
          <w:b w:val="0"/>
          <w:kern w:val="2"/>
          <w:szCs w:val="20"/>
        </w:rPr>
        <w:t>6.6</w:t>
      </w:r>
      <w:r>
        <w:rPr>
          <w:rFonts w:ascii="宋体" w:hAnsi="宋体" w:eastAsia="宋体"/>
          <w:b w:val="0"/>
          <w:kern w:val="2"/>
          <w:szCs w:val="20"/>
        </w:rPr>
        <w:t xml:space="preserve"> </w:t>
      </w:r>
      <w:r>
        <w:rPr>
          <w:rFonts w:hint="eastAsia" w:ascii="宋体" w:hAnsi="宋体" w:eastAsia="宋体"/>
          <w:b w:val="0"/>
          <w:kern w:val="2"/>
          <w:szCs w:val="20"/>
        </w:rPr>
        <w:t>在</w:t>
      </w:r>
      <w:r>
        <w:rPr>
          <w:rFonts w:ascii="宋体" w:hAnsi="宋体" w:eastAsia="宋体"/>
          <w:b w:val="0"/>
          <w:kern w:val="2"/>
          <w:szCs w:val="20"/>
        </w:rPr>
        <w:t>氯离子浓度不</w:t>
      </w:r>
      <w:r>
        <w:rPr>
          <w:rFonts w:eastAsia="宋体"/>
          <w:b w:val="0"/>
          <w:kern w:val="2"/>
          <w:szCs w:val="20"/>
        </w:rPr>
        <w:t>超过2000 mg/L，铵离子浓度不超过1000 mg/L</w:t>
      </w:r>
      <w:r>
        <w:rPr>
          <w:rFonts w:hint="eastAsia" w:eastAsia="宋体"/>
          <w:b w:val="0"/>
          <w:kern w:val="2"/>
          <w:szCs w:val="20"/>
        </w:rPr>
        <w:t>时，其</w:t>
      </w:r>
      <w:r>
        <w:rPr>
          <w:rFonts w:eastAsia="宋体"/>
          <w:b w:val="0"/>
          <w:kern w:val="2"/>
          <w:szCs w:val="20"/>
        </w:rPr>
        <w:t>化学需氧量的测定</w:t>
      </w:r>
      <w:r>
        <w:rPr>
          <w:rFonts w:hint="eastAsia" w:eastAsia="宋体"/>
          <w:b w:val="0"/>
          <w:kern w:val="2"/>
          <w:szCs w:val="20"/>
        </w:rPr>
        <w:t>采用</w:t>
      </w:r>
      <w:r>
        <w:rPr>
          <w:rFonts w:eastAsia="宋体"/>
          <w:b w:val="0"/>
          <w:kern w:val="2"/>
          <w:szCs w:val="20"/>
        </w:rPr>
        <w:t>氯离子校正法（GB/T 31195）</w:t>
      </w:r>
      <w:r>
        <w:rPr>
          <w:rFonts w:hint="eastAsia" w:eastAsia="宋体"/>
          <w:b w:val="0"/>
          <w:kern w:val="2"/>
          <w:szCs w:val="20"/>
        </w:rPr>
        <w:t>或高氯废水化学需氧量的测定氯气校正法（</w:t>
      </w:r>
      <w:r>
        <w:rPr>
          <w:rFonts w:eastAsia="宋体"/>
          <w:b w:val="0"/>
          <w:kern w:val="2"/>
          <w:szCs w:val="20"/>
        </w:rPr>
        <w:t>HJ/T 70</w:t>
      </w:r>
      <w:r>
        <w:rPr>
          <w:rFonts w:hint="eastAsia" w:eastAsia="宋体"/>
          <w:b w:val="0"/>
          <w:kern w:val="2"/>
          <w:szCs w:val="20"/>
        </w:rPr>
        <w:t>）</w:t>
      </w:r>
      <w:r>
        <w:rPr>
          <w:rFonts w:eastAsia="宋体"/>
          <w:b w:val="0"/>
          <w:kern w:val="2"/>
          <w:szCs w:val="20"/>
        </w:rPr>
        <w:t>。</w:t>
      </w:r>
      <w:bookmarkEnd w:id="34"/>
    </w:p>
    <w:p/>
    <w:p/>
    <w:p>
      <w:pPr>
        <w:numPr>
          <w:ilvl w:val="0"/>
          <w:numId w:val="3"/>
        </w:numPr>
        <w:spacing w:line="360" w:lineRule="exact"/>
        <w:ind w:left="0" w:firstLine="0"/>
        <w:jc w:val="center"/>
        <w:rPr>
          <w:rFonts w:ascii="Times New Roman" w:hAnsi="Times New Roman" w:eastAsia="黑体" w:cs="Times New Roman"/>
        </w:rPr>
      </w:pPr>
      <w:r>
        <w:rPr>
          <w:rFonts w:hint="eastAsia" w:ascii="Times New Roman" w:hAnsi="Times New Roman" w:eastAsia="黑体" w:cs="Times New Roman"/>
        </w:rPr>
        <w:t xml:space="preserve"> 水污染物浓度测定方法</w:t>
      </w:r>
    </w:p>
    <w:tbl>
      <w:tblPr>
        <w:tblStyle w:val="27"/>
        <w:tblW w:w="9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130"/>
        <w:gridCol w:w="4722"/>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5" w:type="dxa"/>
            <w:vAlign w:val="center"/>
          </w:tcPr>
          <w:p>
            <w:pPr>
              <w:jc w:val="center"/>
              <w:rPr>
                <w:rFonts w:ascii="宋体" w:hAnsi="宋体" w:cs="Times New Roman"/>
                <w:sz w:val="18"/>
                <w:szCs w:val="18"/>
              </w:rPr>
            </w:pPr>
            <w:r>
              <w:rPr>
                <w:rFonts w:hint="eastAsia" w:ascii="宋体" w:hAnsi="宋体" w:cs="Times New Roman"/>
                <w:sz w:val="18"/>
                <w:szCs w:val="18"/>
              </w:rPr>
              <w:t>序号</w:t>
            </w:r>
          </w:p>
        </w:tc>
        <w:tc>
          <w:tcPr>
            <w:tcW w:w="2130" w:type="dxa"/>
            <w:vAlign w:val="center"/>
          </w:tcPr>
          <w:p>
            <w:pPr>
              <w:jc w:val="center"/>
              <w:rPr>
                <w:rFonts w:ascii="宋体" w:hAnsi="宋体" w:cs="Times New Roman"/>
                <w:sz w:val="18"/>
                <w:szCs w:val="18"/>
              </w:rPr>
            </w:pPr>
            <w:r>
              <w:rPr>
                <w:rFonts w:hint="eastAsia" w:ascii="宋体" w:hAnsi="宋体" w:cs="Times New Roman"/>
                <w:sz w:val="18"/>
                <w:szCs w:val="18"/>
              </w:rPr>
              <w:t>污染物项目</w:t>
            </w:r>
          </w:p>
        </w:tc>
        <w:tc>
          <w:tcPr>
            <w:tcW w:w="4722" w:type="dxa"/>
            <w:vAlign w:val="center"/>
          </w:tcPr>
          <w:p>
            <w:pPr>
              <w:jc w:val="center"/>
              <w:rPr>
                <w:rFonts w:ascii="宋体" w:hAnsi="宋体" w:cs="Times New Roman"/>
                <w:sz w:val="18"/>
                <w:szCs w:val="18"/>
              </w:rPr>
            </w:pPr>
            <w:r>
              <w:rPr>
                <w:rFonts w:hint="eastAsia" w:ascii="宋体" w:hAnsi="宋体" w:cs="Times New Roman"/>
                <w:sz w:val="18"/>
                <w:szCs w:val="18"/>
              </w:rPr>
              <w:t>方法标准名称</w:t>
            </w:r>
          </w:p>
        </w:tc>
        <w:tc>
          <w:tcPr>
            <w:tcW w:w="1736" w:type="dxa"/>
            <w:vAlign w:val="center"/>
          </w:tcPr>
          <w:p>
            <w:pPr>
              <w:jc w:val="center"/>
              <w:rPr>
                <w:rFonts w:ascii="宋体" w:hAnsi="宋体" w:cs="Times New Roman"/>
                <w:sz w:val="18"/>
                <w:szCs w:val="18"/>
              </w:rPr>
            </w:pPr>
            <w:r>
              <w:rPr>
                <w:rFonts w:hint="eastAsia" w:ascii="宋体" w:hAnsi="宋体" w:cs="Times New Roman"/>
                <w:sz w:val="18"/>
                <w:szCs w:val="18"/>
              </w:rPr>
              <w:t>方法标准号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5" w:type="dxa"/>
            <w:vAlign w:val="center"/>
          </w:tcPr>
          <w:p>
            <w:pPr>
              <w:jc w:val="center"/>
              <w:rPr>
                <w:rFonts w:ascii="宋体" w:hAnsi="宋体" w:cs="Times New Roman"/>
                <w:sz w:val="18"/>
                <w:szCs w:val="18"/>
              </w:rPr>
            </w:pPr>
          </w:p>
        </w:tc>
        <w:tc>
          <w:tcPr>
            <w:tcW w:w="2130" w:type="dxa"/>
            <w:vAlign w:val="center"/>
          </w:tcPr>
          <w:p>
            <w:pPr>
              <w:jc w:val="center"/>
              <w:rPr>
                <w:rFonts w:ascii="宋体" w:hAnsi="宋体" w:cs="Times New Roman"/>
                <w:sz w:val="18"/>
                <w:szCs w:val="18"/>
              </w:rPr>
            </w:pPr>
            <w:r>
              <w:rPr>
                <w:rFonts w:ascii="Times New Roman" w:hAnsi="Times New Roman" w:cs="Times New Roman"/>
                <w:sz w:val="18"/>
                <w:szCs w:val="18"/>
              </w:rPr>
              <w:t>pH值</w:t>
            </w:r>
          </w:p>
        </w:tc>
        <w:tc>
          <w:tcPr>
            <w:tcW w:w="4722" w:type="dxa"/>
            <w:vAlign w:val="center"/>
          </w:tcPr>
          <w:p>
            <w:pPr>
              <w:jc w:val="center"/>
              <w:rPr>
                <w:rFonts w:ascii="宋体" w:hAnsi="宋体" w:cs="Times New Roman"/>
                <w:sz w:val="18"/>
                <w:szCs w:val="18"/>
              </w:rPr>
            </w:pPr>
            <w:r>
              <w:rPr>
                <w:rFonts w:hint="eastAsia" w:ascii="Times New Roman" w:hAnsi="Times New Roman" w:cs="Times New Roman"/>
                <w:sz w:val="18"/>
                <w:szCs w:val="18"/>
              </w:rPr>
              <w:t>水质</w:t>
            </w:r>
            <w:r>
              <w:rPr>
                <w:rFonts w:ascii="Times New Roman" w:hAnsi="Times New Roman" w:cs="Times New Roman"/>
                <w:sz w:val="18"/>
                <w:szCs w:val="18"/>
              </w:rPr>
              <w:t xml:space="preserve"> pH值的测定 </w:t>
            </w:r>
            <w:r>
              <w:rPr>
                <w:rFonts w:hint="eastAsia" w:ascii="Times New Roman" w:hAnsi="Times New Roman" w:cs="Times New Roman"/>
                <w:sz w:val="18"/>
                <w:szCs w:val="18"/>
              </w:rPr>
              <w:t>玻璃电极法</w:t>
            </w:r>
          </w:p>
        </w:tc>
        <w:tc>
          <w:tcPr>
            <w:tcW w:w="1736" w:type="dxa"/>
            <w:vAlign w:val="center"/>
          </w:tcPr>
          <w:p>
            <w:pPr>
              <w:jc w:val="center"/>
              <w:rPr>
                <w:rFonts w:ascii="宋体" w:hAnsi="宋体" w:cs="Times New Roman"/>
                <w:sz w:val="18"/>
                <w:szCs w:val="18"/>
              </w:rPr>
            </w:pPr>
            <w:r>
              <w:rPr>
                <w:rFonts w:ascii="Times New Roman" w:hAnsi="Times New Roman" w:cs="Times New Roman"/>
                <w:sz w:val="18"/>
                <w:szCs w:val="18"/>
              </w:rPr>
              <w:t>GB 6920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5"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2130" w:type="dxa"/>
            <w:vMerge w:val="restart"/>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化学需氧量（</w:t>
            </w:r>
            <w:r>
              <w:rPr>
                <w:rFonts w:ascii="Times New Roman" w:hAnsi="Times New Roman" w:cs="Times New Roman"/>
                <w:sz w:val="18"/>
                <w:szCs w:val="18"/>
              </w:rPr>
              <w:t>COD</w:t>
            </w:r>
            <w:r>
              <w:rPr>
                <w:rFonts w:hint="eastAsia" w:ascii="Times New Roman" w:hAnsi="Times New Roman" w:cs="Times New Roman"/>
                <w:sz w:val="18"/>
                <w:szCs w:val="18"/>
              </w:rPr>
              <w:t>）</w:t>
            </w:r>
          </w:p>
        </w:tc>
        <w:tc>
          <w:tcPr>
            <w:tcW w:w="4722"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高氯高氨废水</w:t>
            </w:r>
            <w:r>
              <w:rPr>
                <w:rFonts w:ascii="Times New Roman" w:hAnsi="Times New Roman" w:cs="Times New Roman"/>
                <w:sz w:val="18"/>
                <w:szCs w:val="18"/>
              </w:rPr>
              <w:t xml:space="preserve"> </w:t>
            </w:r>
            <w:r>
              <w:rPr>
                <w:rFonts w:hint="eastAsia" w:ascii="Times New Roman" w:hAnsi="Times New Roman" w:cs="Times New Roman"/>
                <w:sz w:val="18"/>
                <w:szCs w:val="18"/>
              </w:rPr>
              <w:t>化学需氧量的测定</w:t>
            </w:r>
            <w:r>
              <w:rPr>
                <w:rFonts w:ascii="Times New Roman" w:hAnsi="Times New Roman" w:cs="Times New Roman"/>
                <w:sz w:val="18"/>
                <w:szCs w:val="18"/>
              </w:rPr>
              <w:t xml:space="preserve"> </w:t>
            </w:r>
            <w:r>
              <w:rPr>
                <w:rFonts w:hint="eastAsia" w:ascii="Times New Roman" w:hAnsi="Times New Roman" w:cs="Times New Roman"/>
                <w:sz w:val="18"/>
                <w:szCs w:val="18"/>
              </w:rPr>
              <w:t>氯离子校正法</w:t>
            </w:r>
          </w:p>
        </w:tc>
        <w:tc>
          <w:tcPr>
            <w:tcW w:w="1736"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GB/T 31195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5" w:type="dxa"/>
            <w:vMerge w:val="continue"/>
            <w:vAlign w:val="center"/>
          </w:tcPr>
          <w:p>
            <w:pPr>
              <w:jc w:val="center"/>
              <w:rPr>
                <w:rFonts w:ascii="Times New Roman" w:hAnsi="Times New Roman" w:cs="Times New Roman"/>
                <w:sz w:val="18"/>
                <w:szCs w:val="18"/>
              </w:rPr>
            </w:pPr>
          </w:p>
        </w:tc>
        <w:tc>
          <w:tcPr>
            <w:tcW w:w="2130" w:type="dxa"/>
            <w:vMerge w:val="continue"/>
            <w:vAlign w:val="center"/>
          </w:tcPr>
          <w:p>
            <w:pPr>
              <w:jc w:val="center"/>
              <w:rPr>
                <w:rFonts w:ascii="Times New Roman" w:hAnsi="Times New Roman" w:cs="Times New Roman"/>
                <w:sz w:val="18"/>
                <w:szCs w:val="18"/>
              </w:rPr>
            </w:pPr>
          </w:p>
        </w:tc>
        <w:tc>
          <w:tcPr>
            <w:tcW w:w="4722"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高氯废水</w:t>
            </w:r>
            <w:r>
              <w:rPr>
                <w:rFonts w:ascii="Times New Roman" w:hAnsi="Times New Roman" w:cs="Times New Roman"/>
                <w:sz w:val="18"/>
                <w:szCs w:val="18"/>
              </w:rPr>
              <w:t xml:space="preserve"> </w:t>
            </w:r>
            <w:r>
              <w:rPr>
                <w:rFonts w:hint="eastAsia" w:ascii="Times New Roman" w:hAnsi="Times New Roman" w:cs="Times New Roman"/>
                <w:sz w:val="18"/>
                <w:szCs w:val="18"/>
              </w:rPr>
              <w:t>化学需氧量的测定</w:t>
            </w:r>
            <w:r>
              <w:rPr>
                <w:rFonts w:ascii="Times New Roman" w:hAnsi="Times New Roman" w:cs="Times New Roman"/>
                <w:sz w:val="18"/>
                <w:szCs w:val="18"/>
              </w:rPr>
              <w:t xml:space="preserve"> </w:t>
            </w:r>
            <w:r>
              <w:rPr>
                <w:rFonts w:hint="eastAsia" w:ascii="Times New Roman" w:hAnsi="Times New Roman" w:cs="Times New Roman"/>
                <w:sz w:val="18"/>
                <w:szCs w:val="18"/>
              </w:rPr>
              <w:t>氯气校正法</w:t>
            </w:r>
          </w:p>
        </w:tc>
        <w:tc>
          <w:tcPr>
            <w:tcW w:w="1736" w:type="dxa"/>
            <w:vAlign w:val="center"/>
          </w:tcPr>
          <w:p>
            <w:pPr>
              <w:jc w:val="center"/>
              <w:rPr>
                <w:rFonts w:ascii="Times New Roman" w:hAnsi="Times New Roman" w:cs="Times New Roman"/>
                <w:sz w:val="18"/>
                <w:szCs w:val="18"/>
              </w:rPr>
            </w:pPr>
            <w:r>
              <w:rPr>
                <w:rFonts w:ascii="Times New Roman" w:hAnsi="Times New Roman" w:cs="Times New Roman"/>
                <w:sz w:val="18"/>
                <w:szCs w:val="18"/>
              </w:rPr>
              <w:t>HJ/T 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5" w:type="dxa"/>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2130"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悬浮物（</w:t>
            </w:r>
            <w:r>
              <w:rPr>
                <w:rFonts w:ascii="Times New Roman" w:hAnsi="Times New Roman" w:cs="Times New Roman"/>
                <w:sz w:val="18"/>
                <w:szCs w:val="18"/>
              </w:rPr>
              <w:t>SS</w:t>
            </w:r>
            <w:r>
              <w:rPr>
                <w:rFonts w:hint="eastAsia" w:ascii="Times New Roman" w:hAnsi="Times New Roman" w:cs="Times New Roman"/>
                <w:sz w:val="18"/>
                <w:szCs w:val="18"/>
              </w:rPr>
              <w:t>）</w:t>
            </w:r>
          </w:p>
        </w:tc>
        <w:tc>
          <w:tcPr>
            <w:tcW w:w="4722"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水质</w:t>
            </w:r>
            <w:r>
              <w:rPr>
                <w:rFonts w:ascii="Times New Roman" w:hAnsi="Times New Roman" w:cs="Times New Roman"/>
                <w:sz w:val="18"/>
                <w:szCs w:val="18"/>
              </w:rPr>
              <w:t xml:space="preserve"> </w:t>
            </w:r>
            <w:r>
              <w:rPr>
                <w:rFonts w:hint="eastAsia" w:ascii="Times New Roman" w:hAnsi="Times New Roman" w:cs="Times New Roman"/>
                <w:sz w:val="18"/>
                <w:szCs w:val="18"/>
              </w:rPr>
              <w:t>悬浮物的测定</w:t>
            </w:r>
            <w:r>
              <w:rPr>
                <w:rFonts w:ascii="Times New Roman" w:hAnsi="Times New Roman" w:cs="Times New Roman"/>
                <w:sz w:val="18"/>
                <w:szCs w:val="18"/>
              </w:rPr>
              <w:t xml:space="preserve"> </w:t>
            </w:r>
            <w:r>
              <w:rPr>
                <w:rFonts w:hint="eastAsia" w:ascii="Times New Roman" w:hAnsi="Times New Roman" w:cs="Times New Roman"/>
                <w:sz w:val="18"/>
                <w:szCs w:val="18"/>
              </w:rPr>
              <w:t>重量法</w:t>
            </w:r>
          </w:p>
        </w:tc>
        <w:tc>
          <w:tcPr>
            <w:tcW w:w="1736"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 11901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5" w:type="dxa"/>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2130"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总氮</w:t>
            </w:r>
          </w:p>
        </w:tc>
        <w:tc>
          <w:tcPr>
            <w:tcW w:w="4722"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水质</w:t>
            </w:r>
            <w:r>
              <w:rPr>
                <w:rFonts w:ascii="Times New Roman" w:hAnsi="Times New Roman" w:cs="Times New Roman"/>
                <w:sz w:val="18"/>
                <w:szCs w:val="18"/>
              </w:rPr>
              <w:t xml:space="preserve"> </w:t>
            </w:r>
            <w:r>
              <w:rPr>
                <w:rFonts w:hint="eastAsia" w:ascii="Times New Roman" w:hAnsi="Times New Roman" w:cs="Times New Roman"/>
                <w:sz w:val="18"/>
                <w:szCs w:val="18"/>
              </w:rPr>
              <w:t>总氮的测定</w:t>
            </w:r>
            <w:r>
              <w:rPr>
                <w:rFonts w:ascii="Times New Roman" w:hAnsi="Times New Roman" w:cs="Times New Roman"/>
                <w:sz w:val="18"/>
                <w:szCs w:val="18"/>
              </w:rPr>
              <w:t xml:space="preserve"> </w:t>
            </w:r>
            <w:r>
              <w:rPr>
                <w:rFonts w:hint="eastAsia" w:ascii="Times New Roman" w:hAnsi="Times New Roman" w:cs="Times New Roman"/>
                <w:sz w:val="18"/>
                <w:szCs w:val="18"/>
              </w:rPr>
              <w:t>碱性过硫酸钾消解紫外分光光度计法</w:t>
            </w:r>
          </w:p>
        </w:tc>
        <w:tc>
          <w:tcPr>
            <w:tcW w:w="1736" w:type="dxa"/>
            <w:vAlign w:val="center"/>
          </w:tcPr>
          <w:p>
            <w:pPr>
              <w:jc w:val="center"/>
              <w:rPr>
                <w:rFonts w:ascii="Times New Roman" w:hAnsi="Times New Roman" w:cs="Times New Roman"/>
                <w:sz w:val="18"/>
                <w:szCs w:val="18"/>
              </w:rPr>
            </w:pPr>
            <w:r>
              <w:rPr>
                <w:rFonts w:ascii="Times New Roman" w:hAnsi="Times New Roman" w:cs="Times New Roman"/>
                <w:sz w:val="18"/>
                <w:szCs w:val="18"/>
              </w:rPr>
              <w:t>HJ 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5" w:type="dxa"/>
            <w:vAlign w:val="center"/>
          </w:tcPr>
          <w:p>
            <w:pPr>
              <w:jc w:val="center"/>
              <w:rPr>
                <w:rFonts w:ascii="Times New Roman" w:hAnsi="Times New Roman" w:cs="Times New Roman"/>
                <w:sz w:val="18"/>
                <w:szCs w:val="18"/>
              </w:rPr>
            </w:pPr>
            <w:r>
              <w:rPr>
                <w:rFonts w:ascii="Times New Roman" w:hAnsi="Times New Roman" w:cs="Times New Roman"/>
                <w:sz w:val="18"/>
                <w:szCs w:val="18"/>
              </w:rPr>
              <w:t>4</w:t>
            </w:r>
          </w:p>
        </w:tc>
        <w:tc>
          <w:tcPr>
            <w:tcW w:w="2130"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氨氮</w:t>
            </w:r>
          </w:p>
        </w:tc>
        <w:tc>
          <w:tcPr>
            <w:tcW w:w="4722"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水质</w:t>
            </w:r>
            <w:r>
              <w:rPr>
                <w:rFonts w:ascii="Times New Roman" w:hAnsi="Times New Roman" w:cs="Times New Roman"/>
                <w:sz w:val="18"/>
                <w:szCs w:val="18"/>
              </w:rPr>
              <w:t xml:space="preserve"> </w:t>
            </w:r>
            <w:r>
              <w:rPr>
                <w:rFonts w:hint="eastAsia" w:ascii="Times New Roman" w:hAnsi="Times New Roman" w:cs="Times New Roman"/>
                <w:sz w:val="18"/>
                <w:szCs w:val="18"/>
              </w:rPr>
              <w:t>氨氮的测定</w:t>
            </w:r>
            <w:r>
              <w:rPr>
                <w:rFonts w:ascii="Times New Roman" w:hAnsi="Times New Roman" w:cs="Times New Roman"/>
                <w:sz w:val="18"/>
                <w:szCs w:val="18"/>
              </w:rPr>
              <w:t xml:space="preserve"> </w:t>
            </w:r>
            <w:r>
              <w:rPr>
                <w:rFonts w:hint="eastAsia" w:ascii="Times New Roman" w:hAnsi="Times New Roman" w:cs="Times New Roman"/>
                <w:sz w:val="18"/>
                <w:szCs w:val="18"/>
              </w:rPr>
              <w:t>蒸馏</w:t>
            </w:r>
            <w:r>
              <w:rPr>
                <w:rFonts w:ascii="Times New Roman" w:hAnsi="Times New Roman" w:cs="Times New Roman"/>
                <w:sz w:val="18"/>
                <w:szCs w:val="18"/>
              </w:rPr>
              <w:t>-</w:t>
            </w:r>
            <w:r>
              <w:rPr>
                <w:rFonts w:hint="eastAsia" w:ascii="Times New Roman" w:hAnsi="Times New Roman" w:cs="Times New Roman"/>
                <w:sz w:val="18"/>
                <w:szCs w:val="18"/>
              </w:rPr>
              <w:t>中和滴定</w:t>
            </w:r>
          </w:p>
        </w:tc>
        <w:tc>
          <w:tcPr>
            <w:tcW w:w="1736" w:type="dxa"/>
            <w:vAlign w:val="center"/>
          </w:tcPr>
          <w:p>
            <w:pPr>
              <w:jc w:val="center"/>
              <w:rPr>
                <w:rFonts w:ascii="Times New Roman" w:hAnsi="Times New Roman" w:cs="Times New Roman"/>
                <w:sz w:val="18"/>
                <w:szCs w:val="18"/>
              </w:rPr>
            </w:pPr>
            <w:r>
              <w:rPr>
                <w:rFonts w:ascii="Times New Roman" w:hAnsi="Times New Roman" w:cs="Times New Roman"/>
                <w:sz w:val="18"/>
                <w:szCs w:val="18"/>
              </w:rPr>
              <w:t>HJ 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5" w:type="dxa"/>
            <w:vAlign w:val="center"/>
          </w:tcPr>
          <w:p>
            <w:pPr>
              <w:jc w:val="center"/>
              <w:rPr>
                <w:rFonts w:ascii="Times New Roman" w:hAnsi="Times New Roman" w:cs="Times New Roman"/>
                <w:sz w:val="18"/>
                <w:szCs w:val="18"/>
              </w:rPr>
            </w:pPr>
            <w:r>
              <w:rPr>
                <w:rFonts w:ascii="Times New Roman" w:hAnsi="Times New Roman" w:cs="Times New Roman"/>
                <w:sz w:val="18"/>
                <w:szCs w:val="18"/>
              </w:rPr>
              <w:t>5</w:t>
            </w:r>
          </w:p>
        </w:tc>
        <w:tc>
          <w:tcPr>
            <w:tcW w:w="2130"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总磷</w:t>
            </w:r>
          </w:p>
        </w:tc>
        <w:tc>
          <w:tcPr>
            <w:tcW w:w="4722"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水质</w:t>
            </w:r>
            <w:r>
              <w:rPr>
                <w:rFonts w:ascii="Times New Roman" w:hAnsi="Times New Roman" w:cs="Times New Roman"/>
                <w:sz w:val="18"/>
                <w:szCs w:val="18"/>
              </w:rPr>
              <w:t xml:space="preserve"> </w:t>
            </w:r>
            <w:r>
              <w:rPr>
                <w:rFonts w:hint="eastAsia" w:ascii="Times New Roman" w:hAnsi="Times New Roman" w:cs="Times New Roman"/>
                <w:sz w:val="18"/>
                <w:szCs w:val="18"/>
              </w:rPr>
              <w:t>总磷的测定</w:t>
            </w:r>
            <w:r>
              <w:rPr>
                <w:rFonts w:ascii="Times New Roman" w:hAnsi="Times New Roman" w:cs="Times New Roman"/>
                <w:sz w:val="18"/>
                <w:szCs w:val="18"/>
              </w:rPr>
              <w:t xml:space="preserve"> </w:t>
            </w:r>
            <w:r>
              <w:rPr>
                <w:rFonts w:hint="eastAsia" w:ascii="Times New Roman" w:hAnsi="Times New Roman" w:cs="Times New Roman"/>
                <w:sz w:val="18"/>
                <w:szCs w:val="18"/>
              </w:rPr>
              <w:t>钼酸铵分光光度法</w:t>
            </w:r>
          </w:p>
        </w:tc>
        <w:tc>
          <w:tcPr>
            <w:tcW w:w="1736"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GB/T 11893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5"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6</w:t>
            </w:r>
          </w:p>
        </w:tc>
        <w:tc>
          <w:tcPr>
            <w:tcW w:w="2130" w:type="dxa"/>
            <w:vMerge w:val="restart"/>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氯离子（</w:t>
            </w:r>
            <w:r>
              <w:rPr>
                <w:rFonts w:ascii="Times New Roman" w:hAnsi="Times New Roman" w:cs="Times New Roman"/>
                <w:sz w:val="18"/>
                <w:szCs w:val="18"/>
              </w:rPr>
              <w:t>Cl</w:t>
            </w:r>
            <w:r>
              <w:rPr>
                <w:rFonts w:ascii="Times New Roman" w:hAnsi="Times New Roman" w:cs="Times New Roman"/>
                <w:sz w:val="18"/>
                <w:szCs w:val="18"/>
                <w:vertAlign w:val="superscript"/>
              </w:rPr>
              <w:t>-</w:t>
            </w:r>
            <w:r>
              <w:rPr>
                <w:rFonts w:hint="eastAsia" w:ascii="Times New Roman" w:hAnsi="Times New Roman" w:cs="Times New Roman"/>
                <w:sz w:val="18"/>
                <w:szCs w:val="18"/>
              </w:rPr>
              <w:t>）</w:t>
            </w:r>
          </w:p>
        </w:tc>
        <w:tc>
          <w:tcPr>
            <w:tcW w:w="4722"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水质</w:t>
            </w:r>
            <w:r>
              <w:rPr>
                <w:rFonts w:ascii="Times New Roman" w:hAnsi="Times New Roman" w:cs="Times New Roman"/>
                <w:sz w:val="18"/>
                <w:szCs w:val="18"/>
              </w:rPr>
              <w:t xml:space="preserve"> </w:t>
            </w:r>
            <w:r>
              <w:rPr>
                <w:rFonts w:hint="eastAsia" w:ascii="Times New Roman" w:hAnsi="Times New Roman" w:cs="Times New Roman"/>
                <w:sz w:val="18"/>
                <w:szCs w:val="18"/>
              </w:rPr>
              <w:t>氯化物的测定</w:t>
            </w:r>
            <w:r>
              <w:rPr>
                <w:rFonts w:ascii="Times New Roman" w:hAnsi="Times New Roman" w:cs="Times New Roman"/>
                <w:sz w:val="18"/>
                <w:szCs w:val="18"/>
              </w:rPr>
              <w:t xml:space="preserve"> </w:t>
            </w:r>
            <w:r>
              <w:rPr>
                <w:rFonts w:hint="eastAsia" w:ascii="Times New Roman" w:hAnsi="Times New Roman" w:cs="Times New Roman"/>
                <w:sz w:val="18"/>
                <w:szCs w:val="18"/>
              </w:rPr>
              <w:t>硝酸银滴定法</w:t>
            </w:r>
          </w:p>
        </w:tc>
        <w:tc>
          <w:tcPr>
            <w:tcW w:w="1736"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GB/T 11896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5" w:type="dxa"/>
            <w:vMerge w:val="continue"/>
            <w:vAlign w:val="center"/>
          </w:tcPr>
          <w:p>
            <w:pPr>
              <w:jc w:val="center"/>
              <w:rPr>
                <w:rFonts w:ascii="Times New Roman" w:hAnsi="Times New Roman" w:cs="Times New Roman"/>
                <w:sz w:val="18"/>
                <w:szCs w:val="18"/>
              </w:rPr>
            </w:pPr>
          </w:p>
        </w:tc>
        <w:tc>
          <w:tcPr>
            <w:tcW w:w="2130" w:type="dxa"/>
            <w:vMerge w:val="continue"/>
            <w:vAlign w:val="center"/>
          </w:tcPr>
          <w:p>
            <w:pPr>
              <w:jc w:val="center"/>
              <w:rPr>
                <w:rFonts w:ascii="Times New Roman" w:hAnsi="Times New Roman" w:cs="Times New Roman"/>
                <w:sz w:val="18"/>
                <w:szCs w:val="18"/>
              </w:rPr>
            </w:pPr>
          </w:p>
        </w:tc>
        <w:tc>
          <w:tcPr>
            <w:tcW w:w="4722"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水质</w:t>
            </w:r>
            <w:r>
              <w:rPr>
                <w:rFonts w:ascii="Times New Roman" w:hAnsi="Times New Roman" w:cs="Times New Roman"/>
                <w:sz w:val="18"/>
                <w:szCs w:val="18"/>
              </w:rPr>
              <w:t xml:space="preserve"> </w:t>
            </w:r>
            <w:r>
              <w:rPr>
                <w:rFonts w:hint="eastAsia" w:ascii="Times New Roman" w:hAnsi="Times New Roman" w:cs="Times New Roman"/>
                <w:sz w:val="18"/>
                <w:szCs w:val="18"/>
              </w:rPr>
              <w:t>无机阴离子的测定</w:t>
            </w:r>
            <w:r>
              <w:rPr>
                <w:rFonts w:ascii="Times New Roman" w:hAnsi="Times New Roman" w:cs="Times New Roman"/>
                <w:sz w:val="18"/>
                <w:szCs w:val="18"/>
              </w:rPr>
              <w:t xml:space="preserve"> </w:t>
            </w:r>
            <w:r>
              <w:rPr>
                <w:rFonts w:hint="eastAsia" w:ascii="Times New Roman" w:hAnsi="Times New Roman" w:cs="Times New Roman"/>
                <w:sz w:val="18"/>
                <w:szCs w:val="18"/>
              </w:rPr>
              <w:t>离子色谱法</w:t>
            </w:r>
          </w:p>
        </w:tc>
        <w:tc>
          <w:tcPr>
            <w:tcW w:w="1736" w:type="dxa"/>
            <w:vAlign w:val="center"/>
          </w:tcPr>
          <w:p>
            <w:pPr>
              <w:jc w:val="center"/>
              <w:rPr>
                <w:rFonts w:ascii="Times New Roman" w:hAnsi="Times New Roman" w:cs="Times New Roman"/>
                <w:sz w:val="18"/>
                <w:szCs w:val="18"/>
              </w:rPr>
            </w:pPr>
            <w:r>
              <w:rPr>
                <w:rFonts w:ascii="Times New Roman" w:hAnsi="Times New Roman" w:cs="Times New Roman"/>
                <w:sz w:val="18"/>
                <w:szCs w:val="18"/>
              </w:rPr>
              <w:t>HJ/T 84</w:t>
            </w:r>
          </w:p>
        </w:tc>
      </w:tr>
    </w:tbl>
    <w:p>
      <w:pPr>
        <w:pStyle w:val="2"/>
        <w:numPr>
          <w:ilvl w:val="0"/>
          <w:numId w:val="0"/>
        </w:numPr>
        <w:ind w:left="432" w:hanging="432"/>
      </w:pPr>
      <w:bookmarkStart w:id="35" w:name="_Toc46345957"/>
      <w:bookmarkEnd w:id="35"/>
      <w:bookmarkStart w:id="36" w:name="_Toc46345958"/>
      <w:r>
        <w:rPr>
          <w:rFonts w:hint="eastAsia"/>
        </w:rPr>
        <w:t>7</w:t>
      </w:r>
      <w:r>
        <w:t xml:space="preserve">  </w:t>
      </w:r>
      <w:r>
        <w:rPr>
          <w:rFonts w:hint="eastAsia"/>
        </w:rPr>
        <w:t>实施要求</w:t>
      </w:r>
      <w:bookmarkEnd w:id="36"/>
    </w:p>
    <w:p>
      <w:pPr>
        <w:pStyle w:val="6"/>
        <w:numPr>
          <w:ilvl w:val="2"/>
          <w:numId w:val="0"/>
        </w:numPr>
        <w:spacing w:after="0" w:line="360" w:lineRule="auto"/>
        <w:ind w:left="718" w:hanging="718" w:hangingChars="342"/>
        <w:rPr>
          <w:rFonts w:eastAsia="黑体"/>
          <w:b/>
          <w:bCs w:val="0"/>
          <w:kern w:val="0"/>
          <w:szCs w:val="21"/>
        </w:rPr>
      </w:pPr>
      <w:r>
        <w:rPr>
          <w:rFonts w:ascii="黑体" w:hAnsi="黑体" w:eastAsia="黑体"/>
          <w:bCs w:val="0"/>
        </w:rPr>
        <w:t xml:space="preserve">7.1 </w:t>
      </w:r>
      <w:r>
        <w:rPr>
          <w:rFonts w:hint="eastAsia"/>
          <w:bCs w:val="0"/>
          <w:szCs w:val="21"/>
        </w:rPr>
        <w:t>各县级人民政府应基于本标准制定辖区内榨菜生产企业排污管理实施办法。</w:t>
      </w:r>
    </w:p>
    <w:p>
      <w:pPr>
        <w:pStyle w:val="6"/>
        <w:numPr>
          <w:ilvl w:val="2"/>
          <w:numId w:val="0"/>
        </w:numPr>
        <w:spacing w:after="0" w:line="360" w:lineRule="auto"/>
        <w:ind w:left="718" w:hanging="718" w:hangingChars="342"/>
        <w:rPr>
          <w:bCs w:val="0"/>
        </w:rPr>
      </w:pPr>
      <w:r>
        <w:rPr>
          <w:rFonts w:ascii="黑体" w:hAnsi="黑体" w:eastAsia="黑体"/>
          <w:bCs w:val="0"/>
        </w:rPr>
        <w:t>7.2</w:t>
      </w:r>
      <w:r>
        <w:rPr>
          <w:rFonts w:eastAsia="黑体"/>
          <w:b/>
          <w:kern w:val="0"/>
        </w:rPr>
        <w:t xml:space="preserve"> </w:t>
      </w:r>
      <w:r>
        <w:rPr>
          <w:rFonts w:hint="eastAsia"/>
          <w:bCs w:val="0"/>
        </w:rPr>
        <w:t>本标准由</w:t>
      </w:r>
      <w:bookmarkStart w:id="37" w:name="_Hlk46394181"/>
      <w:r>
        <w:rPr>
          <w:rFonts w:hint="eastAsia"/>
          <w:bCs w:val="0"/>
        </w:rPr>
        <w:t>县级</w:t>
      </w:r>
      <w:bookmarkEnd w:id="37"/>
      <w:r>
        <w:rPr>
          <w:rFonts w:hint="eastAsia"/>
          <w:bCs w:val="0"/>
        </w:rPr>
        <w:t>以上人民政府生态环境主管部门负责实施与监督。</w:t>
      </w:r>
    </w:p>
    <w:p/>
    <w:p/>
    <w:p>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391160</wp:posOffset>
                </wp:positionV>
                <wp:extent cx="17526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17526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top:30.8pt;height:0pt;width:138pt;mso-position-horizontal:center;mso-position-horizontal-relative:margin;z-index:251662336;mso-width-relative:page;mso-height-relative:page;" filled="f" stroked="t" coordsize="21600,21600" o:gfxdata="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wyXn3TAAAABgEAAA8AAAAAAAAAAQAg&#10;AAAAIgAAAGRycy9kb3ducmV2LnhtbFBLAQIUABQAAAAIAIdO4kB9kgI+oQEAABwDAAAOAAAAAAAA&#10;AAEAIAAAACIBAABkcnMvZTJvRG9jLnhtbFBLBQYAAAAABgAGAFkBAAA1BQAAAAA=&#10;">
                <v:fill on="f" focussize="0,0"/>
                <v:stroke color="#000000" joinstyle="round"/>
                <v:imagedata o:title=""/>
                <o:lock v:ext="edit" aspectratio="f"/>
              </v:line>
            </w:pict>
          </mc:Fallback>
        </mc:AlternateContent>
      </w:r>
    </w:p>
    <w:sectPr>
      <w:headerReference r:id="rId11" w:type="first"/>
      <w:footerReference r:id="rId13" w:type="first"/>
      <w:footerReference r:id="rId12" w:type="default"/>
      <w:pgSz w:w="11906" w:h="16838"/>
      <w:pgMar w:top="1814" w:right="1134" w:bottom="1418" w:left="1418" w:header="1418" w:footer="992"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黑体_GBK">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r>
      <w:fldChar w:fldCharType="begin"/>
    </w:r>
    <w:r>
      <w:instrText xml:space="preserve"> PAGE   \* MERGEFORMAT </w:instrText>
    </w:r>
    <w:r>
      <w:fldChar w:fldCharType="separate"/>
    </w:r>
    <w: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jc w:val="right"/>
    </w:pPr>
    <w:r>
      <w:fldChar w:fldCharType="begin"/>
    </w:r>
    <w:r>
      <w:instrText xml:space="preserve"> PAGE   \* MERGEFORMAT </w:instrText>
    </w:r>
    <w:r>
      <w:fldChar w:fldCharType="separate"/>
    </w:r>
    <w: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jc w:val="right"/>
    </w:pPr>
    <w:r>
      <w:fldChar w:fldCharType="begin"/>
    </w:r>
    <w:r>
      <w:instrText xml:space="preserve"> PAGE   \* MERGEFORMAT </w:instrText>
    </w:r>
    <w:r>
      <w:fldChar w:fldCharType="separate"/>
    </w:r>
    <w:r>
      <w:t>5</w:t>
    </w:r>
    <w:r>
      <w:fldChar w:fldCharType="end"/>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jc w:val="right"/>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t>DB50/  XXXX—201x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pPr>
    <w:r>
      <w:rPr>
        <w:rFonts w:hint="eastAsia" w:ascii="黑体" w:hAnsi="黑体" w:eastAsia="黑体"/>
        <w:sz w:val="21"/>
        <w:szCs w:val="21"/>
      </w:rPr>
      <w:t xml:space="preserve">DB50/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rPr>
        <w:rFonts w:hint="eastAsia" w:ascii="黑体" w:hAnsi="黑体" w:eastAsia="黑体"/>
        <w:sz w:val="21"/>
        <w:szCs w:val="21"/>
      </w:rPr>
      <w:t xml:space="preserve">DB50/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rFonts w:ascii="黑体" w:hAnsi="黑体" w:eastAsia="黑体"/>
        <w:sz w:val="21"/>
        <w:szCs w:val="21"/>
      </w:rPr>
    </w:pPr>
    <w:r>
      <w:rPr>
        <w:rFonts w:hint="eastAsia" w:ascii="黑体" w:hAnsi="黑体" w:eastAsia="黑体"/>
        <w:sz w:val="21"/>
        <w:szCs w:val="21"/>
      </w:rPr>
      <w:t xml:space="preserve">DB50/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rPr>
        <w:rFonts w:ascii="黑体" w:hAnsi="黑体" w:eastAsia="黑体"/>
        <w:sz w:val="21"/>
        <w:szCs w:val="21"/>
      </w:rPr>
    </w:pPr>
    <w:r>
      <w:rPr>
        <w:rFonts w:hint="eastAsia" w:ascii="黑体" w:hAnsi="黑体" w:eastAsia="黑体"/>
        <w:sz w:val="21"/>
        <w:szCs w:val="21"/>
      </w:rPr>
      <w:t xml:space="preserve">DB50/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rFonts w:ascii="黑体" w:hAnsi="黑体" w:eastAsia="黑体"/>
        <w:sz w:val="21"/>
        <w:szCs w:val="21"/>
      </w:rPr>
    </w:pPr>
    <w:r>
      <w:rPr>
        <w:rFonts w:hint="eastAsia" w:ascii="黑体" w:hAnsi="黑体" w:eastAsia="黑体"/>
        <w:sz w:val="21"/>
        <w:szCs w:val="21"/>
      </w:rPr>
      <w:t xml:space="preserve">DB50/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tentative="0">
      <w:start w:val="1"/>
      <w:numFmt w:val="decimal"/>
      <w:lvlText w:val="表%1"/>
      <w:lvlJc w:val="left"/>
      <w:pPr>
        <w:tabs>
          <w:tab w:val="left" w:pos="420"/>
        </w:tabs>
        <w:ind w:left="420" w:hanging="420"/>
      </w:pPr>
      <w:rPr>
        <w:rFonts w:hint="default" w:ascii="Times New Roman" w:hAnsi="Times New Roman"/>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4C50F90"/>
    <w:multiLevelType w:val="multilevel"/>
    <w:tmpl w:val="44C50F90"/>
    <w:lvl w:ilvl="0" w:tentative="0">
      <w:start w:val="1"/>
      <w:numFmt w:val="lowerLetter"/>
      <w:pStyle w:val="51"/>
      <w:lvlText w:val="%1)"/>
      <w:lvlJc w:val="left"/>
      <w:pPr>
        <w:tabs>
          <w:tab w:val="left" w:pos="840"/>
        </w:tabs>
        <w:ind w:left="839" w:hanging="419"/>
      </w:pPr>
      <w:rPr>
        <w:rFonts w:hint="eastAsia" w:ascii="宋体" w:eastAsia="宋体" w:cs="Times New Roman"/>
        <w:b w:val="0"/>
        <w:bCs w:val="0"/>
        <w:i w:val="0"/>
        <w:iCs w:val="0"/>
        <w:sz w:val="21"/>
        <w:szCs w:val="21"/>
      </w:rPr>
    </w:lvl>
    <w:lvl w:ilvl="1" w:tentative="0">
      <w:start w:val="1"/>
      <w:numFmt w:val="decimal"/>
      <w:pStyle w:val="45"/>
      <w:lvlText w:val="%2)"/>
      <w:lvlJc w:val="left"/>
      <w:pPr>
        <w:tabs>
          <w:tab w:val="left" w:pos="1260"/>
        </w:tabs>
        <w:ind w:left="1259" w:hanging="419"/>
      </w:pPr>
      <w:rPr>
        <w:rFonts w:hint="eastAsia" w:cs="Times New Roman"/>
      </w:rPr>
    </w:lvl>
    <w:lvl w:ilvl="2" w:tentative="0">
      <w:start w:val="1"/>
      <w:numFmt w:val="decimal"/>
      <w:pStyle w:val="54"/>
      <w:lvlText w:val="(%3)"/>
      <w:lvlJc w:val="left"/>
      <w:pPr>
        <w:tabs>
          <w:tab w:val="left" w:pos="0"/>
        </w:tabs>
        <w:ind w:left="1679" w:hanging="420"/>
      </w:pPr>
      <w:rPr>
        <w:rFonts w:hint="eastAsia" w:ascii="宋体" w:eastAsia="宋体" w:cs="Times New Roman"/>
        <w:b w:val="0"/>
        <w:bCs w:val="0"/>
        <w:i w:val="0"/>
        <w:iCs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2">
    <w:nsid w:val="6A934934"/>
    <w:multiLevelType w:val="multilevel"/>
    <w:tmpl w:val="6A934934"/>
    <w:lvl w:ilvl="0" w:tentative="0">
      <w:start w:val="1"/>
      <w:numFmt w:val="decimal"/>
      <w:pStyle w:val="2"/>
      <w:lvlText w:val="%1"/>
      <w:lvlJc w:val="left"/>
      <w:pPr>
        <w:ind w:left="432" w:hanging="432"/>
      </w:pPr>
      <w:rPr>
        <w:rFonts w:hint="eastAsia"/>
      </w:rPr>
    </w:lvl>
    <w:lvl w:ilvl="1" w:tentative="0">
      <w:start w:val="4"/>
      <w:numFmt w:val="decimal"/>
      <w:pStyle w:val="4"/>
      <w:lvlText w:val="%1.%2"/>
      <w:lvlJc w:val="left"/>
      <w:pPr>
        <w:ind w:left="576" w:hanging="576"/>
      </w:pPr>
      <w:rPr>
        <w:rFonts w:hint="default" w:ascii="Times New Roman" w:hAnsi="Times New Roman" w:cs="Times New Roman"/>
      </w:rPr>
    </w:lvl>
    <w:lvl w:ilvl="2" w:tentative="0">
      <w:start w:val="1"/>
      <w:numFmt w:val="decimal"/>
      <w:pStyle w:val="6"/>
      <w:suff w:val="space"/>
      <w:lvlText w:val="%1.%2.%3"/>
      <w:lvlJc w:val="left"/>
      <w:pPr>
        <w:ind w:left="720" w:hanging="720"/>
      </w:pPr>
      <w:rPr>
        <w:rFonts w:hint="eastAsia"/>
      </w:rPr>
    </w:lvl>
    <w:lvl w:ilvl="3" w:tentative="0">
      <w:start w:val="1"/>
      <w:numFmt w:val="decimal"/>
      <w:pStyle w:val="7"/>
      <w:lvlText w:val="%1.%2.%3.%4"/>
      <w:lvlJc w:val="left"/>
      <w:pPr>
        <w:ind w:left="864" w:hanging="864"/>
      </w:pPr>
      <w:rPr>
        <w:rFonts w:hint="eastAsia"/>
      </w:rPr>
    </w:lvl>
    <w:lvl w:ilvl="4" w:tentative="0">
      <w:start w:val="1"/>
      <w:numFmt w:val="decimal"/>
      <w:pStyle w:val="8"/>
      <w:lvlText w:val="%1.%2.%3.%4.%5"/>
      <w:lvlJc w:val="left"/>
      <w:pPr>
        <w:ind w:left="1008" w:hanging="1008"/>
      </w:pPr>
      <w:rPr>
        <w:rFonts w:hint="eastAsia"/>
      </w:rPr>
    </w:lvl>
    <w:lvl w:ilvl="5" w:tentative="0">
      <w:start w:val="1"/>
      <w:numFmt w:val="decimal"/>
      <w:pStyle w:val="9"/>
      <w:lvlText w:val="%1.%2.%3.%4.%5.%6"/>
      <w:lvlJc w:val="left"/>
      <w:pPr>
        <w:ind w:left="1152" w:hanging="1152"/>
      </w:pPr>
      <w:rPr>
        <w:rFonts w:hint="eastAsia"/>
      </w:rPr>
    </w:lvl>
    <w:lvl w:ilvl="6" w:tentative="0">
      <w:start w:val="1"/>
      <w:numFmt w:val="decimal"/>
      <w:pStyle w:val="10"/>
      <w:lvlText w:val="%1.%2.%3.%4.%5.%6.%7"/>
      <w:lvlJc w:val="left"/>
      <w:pPr>
        <w:ind w:left="1296" w:hanging="1296"/>
      </w:pPr>
      <w:rPr>
        <w:rFonts w:hint="eastAsia"/>
      </w:rPr>
    </w:lvl>
    <w:lvl w:ilvl="7" w:tentative="0">
      <w:start w:val="1"/>
      <w:numFmt w:val="decimal"/>
      <w:pStyle w:val="11"/>
      <w:lvlText w:val="%1.%2.%3.%4.%5.%6.%7.%8"/>
      <w:lvlJc w:val="left"/>
      <w:pPr>
        <w:ind w:left="1440" w:hanging="1440"/>
      </w:pPr>
      <w:rPr>
        <w:rFonts w:hint="eastAsia"/>
      </w:rPr>
    </w:lvl>
    <w:lvl w:ilvl="8" w:tentative="0">
      <w:start w:val="1"/>
      <w:numFmt w:val="decimal"/>
      <w:pStyle w:val="12"/>
      <w:lvlText w:val="%1.%2.%3.%4.%5.%6.%7.%8.%9"/>
      <w:lvlJc w:val="left"/>
      <w:pPr>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9BC"/>
    <w:rsid w:val="000056EC"/>
    <w:rsid w:val="000100A1"/>
    <w:rsid w:val="00010D85"/>
    <w:rsid w:val="00014EA4"/>
    <w:rsid w:val="00027375"/>
    <w:rsid w:val="000314A0"/>
    <w:rsid w:val="00031621"/>
    <w:rsid w:val="0003247F"/>
    <w:rsid w:val="0003290C"/>
    <w:rsid w:val="000339D6"/>
    <w:rsid w:val="000351A7"/>
    <w:rsid w:val="00035C52"/>
    <w:rsid w:val="000379FF"/>
    <w:rsid w:val="00041A51"/>
    <w:rsid w:val="000443F1"/>
    <w:rsid w:val="0004588E"/>
    <w:rsid w:val="000478E1"/>
    <w:rsid w:val="00051E15"/>
    <w:rsid w:val="0005462C"/>
    <w:rsid w:val="000560FB"/>
    <w:rsid w:val="000616D2"/>
    <w:rsid w:val="00065BD9"/>
    <w:rsid w:val="0006654A"/>
    <w:rsid w:val="00066E72"/>
    <w:rsid w:val="00076C1D"/>
    <w:rsid w:val="000773EA"/>
    <w:rsid w:val="000778D8"/>
    <w:rsid w:val="000806FC"/>
    <w:rsid w:val="000818AE"/>
    <w:rsid w:val="00085A60"/>
    <w:rsid w:val="00086685"/>
    <w:rsid w:val="00090E2D"/>
    <w:rsid w:val="00092686"/>
    <w:rsid w:val="00093295"/>
    <w:rsid w:val="00096074"/>
    <w:rsid w:val="00096487"/>
    <w:rsid w:val="00096829"/>
    <w:rsid w:val="000A3A75"/>
    <w:rsid w:val="000A56DD"/>
    <w:rsid w:val="000A6EAB"/>
    <w:rsid w:val="000B1D9C"/>
    <w:rsid w:val="000B235B"/>
    <w:rsid w:val="000B2F67"/>
    <w:rsid w:val="000B4065"/>
    <w:rsid w:val="000B4823"/>
    <w:rsid w:val="000B4CA8"/>
    <w:rsid w:val="000B50F0"/>
    <w:rsid w:val="000B5B2C"/>
    <w:rsid w:val="000B62B4"/>
    <w:rsid w:val="000C01C1"/>
    <w:rsid w:val="000C0AF3"/>
    <w:rsid w:val="000C3FC9"/>
    <w:rsid w:val="000C52B0"/>
    <w:rsid w:val="000C613F"/>
    <w:rsid w:val="000D0087"/>
    <w:rsid w:val="000D03E8"/>
    <w:rsid w:val="000D07F2"/>
    <w:rsid w:val="000D127A"/>
    <w:rsid w:val="000D1937"/>
    <w:rsid w:val="000D6110"/>
    <w:rsid w:val="000F0BD8"/>
    <w:rsid w:val="000F2034"/>
    <w:rsid w:val="000F2737"/>
    <w:rsid w:val="000F6EE0"/>
    <w:rsid w:val="0010075D"/>
    <w:rsid w:val="00104489"/>
    <w:rsid w:val="00106A4F"/>
    <w:rsid w:val="001112AB"/>
    <w:rsid w:val="0011395E"/>
    <w:rsid w:val="001154C8"/>
    <w:rsid w:val="0011668A"/>
    <w:rsid w:val="001208E9"/>
    <w:rsid w:val="00122609"/>
    <w:rsid w:val="001226E1"/>
    <w:rsid w:val="00123B44"/>
    <w:rsid w:val="00131E4C"/>
    <w:rsid w:val="00131EA9"/>
    <w:rsid w:val="001323D4"/>
    <w:rsid w:val="001333DF"/>
    <w:rsid w:val="00133AFF"/>
    <w:rsid w:val="001345B9"/>
    <w:rsid w:val="001357BB"/>
    <w:rsid w:val="00141A67"/>
    <w:rsid w:val="00143D47"/>
    <w:rsid w:val="0014568C"/>
    <w:rsid w:val="00151AD2"/>
    <w:rsid w:val="00152865"/>
    <w:rsid w:val="00153641"/>
    <w:rsid w:val="00161778"/>
    <w:rsid w:val="0016226B"/>
    <w:rsid w:val="0016305A"/>
    <w:rsid w:val="00164CD7"/>
    <w:rsid w:val="00166982"/>
    <w:rsid w:val="001706DE"/>
    <w:rsid w:val="00171928"/>
    <w:rsid w:val="00171E0F"/>
    <w:rsid w:val="001726C5"/>
    <w:rsid w:val="00172B4D"/>
    <w:rsid w:val="0017357B"/>
    <w:rsid w:val="00180D86"/>
    <w:rsid w:val="00183451"/>
    <w:rsid w:val="0018475B"/>
    <w:rsid w:val="001873B1"/>
    <w:rsid w:val="00187C68"/>
    <w:rsid w:val="0019167C"/>
    <w:rsid w:val="001937F7"/>
    <w:rsid w:val="001939F4"/>
    <w:rsid w:val="001A3EE2"/>
    <w:rsid w:val="001A53C9"/>
    <w:rsid w:val="001B19FF"/>
    <w:rsid w:val="001B4A6C"/>
    <w:rsid w:val="001B5DC0"/>
    <w:rsid w:val="001B66BD"/>
    <w:rsid w:val="001C0637"/>
    <w:rsid w:val="001C2F1B"/>
    <w:rsid w:val="001C34FB"/>
    <w:rsid w:val="001C73C0"/>
    <w:rsid w:val="001C7D22"/>
    <w:rsid w:val="001D0D60"/>
    <w:rsid w:val="001D22F4"/>
    <w:rsid w:val="001D2EA9"/>
    <w:rsid w:val="001D2F2E"/>
    <w:rsid w:val="001E1999"/>
    <w:rsid w:val="001E1C6B"/>
    <w:rsid w:val="001E3149"/>
    <w:rsid w:val="001E3BD5"/>
    <w:rsid w:val="001E48D6"/>
    <w:rsid w:val="001E78A9"/>
    <w:rsid w:val="001E7A4D"/>
    <w:rsid w:val="001F2563"/>
    <w:rsid w:val="001F5D8D"/>
    <w:rsid w:val="001F77A3"/>
    <w:rsid w:val="002000BE"/>
    <w:rsid w:val="00201D57"/>
    <w:rsid w:val="00203E1E"/>
    <w:rsid w:val="0020582F"/>
    <w:rsid w:val="00210609"/>
    <w:rsid w:val="00211B13"/>
    <w:rsid w:val="00216E0A"/>
    <w:rsid w:val="0021795E"/>
    <w:rsid w:val="002212C2"/>
    <w:rsid w:val="00223119"/>
    <w:rsid w:val="0022364D"/>
    <w:rsid w:val="002264E3"/>
    <w:rsid w:val="0023093D"/>
    <w:rsid w:val="00232A56"/>
    <w:rsid w:val="002345E2"/>
    <w:rsid w:val="00235184"/>
    <w:rsid w:val="00235A77"/>
    <w:rsid w:val="00236873"/>
    <w:rsid w:val="0023725F"/>
    <w:rsid w:val="00242F75"/>
    <w:rsid w:val="00245F6E"/>
    <w:rsid w:val="002501E7"/>
    <w:rsid w:val="002507C4"/>
    <w:rsid w:val="0025280D"/>
    <w:rsid w:val="00253AA6"/>
    <w:rsid w:val="00254C53"/>
    <w:rsid w:val="00255D65"/>
    <w:rsid w:val="002634F4"/>
    <w:rsid w:val="0026355F"/>
    <w:rsid w:val="002668F9"/>
    <w:rsid w:val="00272E62"/>
    <w:rsid w:val="002770BB"/>
    <w:rsid w:val="00281344"/>
    <w:rsid w:val="00283719"/>
    <w:rsid w:val="00283E37"/>
    <w:rsid w:val="002848B5"/>
    <w:rsid w:val="00285B93"/>
    <w:rsid w:val="002872D9"/>
    <w:rsid w:val="00292A15"/>
    <w:rsid w:val="00292AA0"/>
    <w:rsid w:val="00295419"/>
    <w:rsid w:val="0029743E"/>
    <w:rsid w:val="002A2438"/>
    <w:rsid w:val="002A3C27"/>
    <w:rsid w:val="002A7543"/>
    <w:rsid w:val="002B5112"/>
    <w:rsid w:val="002B5AA0"/>
    <w:rsid w:val="002B769E"/>
    <w:rsid w:val="002C1BFE"/>
    <w:rsid w:val="002C3F85"/>
    <w:rsid w:val="002C5A33"/>
    <w:rsid w:val="002C67AF"/>
    <w:rsid w:val="002D0818"/>
    <w:rsid w:val="002D31DF"/>
    <w:rsid w:val="002D34EB"/>
    <w:rsid w:val="002D5054"/>
    <w:rsid w:val="002E060E"/>
    <w:rsid w:val="002E0A8C"/>
    <w:rsid w:val="002E32DA"/>
    <w:rsid w:val="002E54AB"/>
    <w:rsid w:val="002E5B7D"/>
    <w:rsid w:val="002E60F7"/>
    <w:rsid w:val="002E78DD"/>
    <w:rsid w:val="002F18B0"/>
    <w:rsid w:val="002F1AB5"/>
    <w:rsid w:val="002F36B7"/>
    <w:rsid w:val="002F7277"/>
    <w:rsid w:val="00300F95"/>
    <w:rsid w:val="003010A1"/>
    <w:rsid w:val="003038EE"/>
    <w:rsid w:val="00310973"/>
    <w:rsid w:val="00312FDA"/>
    <w:rsid w:val="003167F5"/>
    <w:rsid w:val="003233C2"/>
    <w:rsid w:val="003245AE"/>
    <w:rsid w:val="0033098D"/>
    <w:rsid w:val="00330D1E"/>
    <w:rsid w:val="00331903"/>
    <w:rsid w:val="003325DB"/>
    <w:rsid w:val="0033487F"/>
    <w:rsid w:val="00335AF5"/>
    <w:rsid w:val="00337977"/>
    <w:rsid w:val="00342C77"/>
    <w:rsid w:val="00344F31"/>
    <w:rsid w:val="00347109"/>
    <w:rsid w:val="00353D8F"/>
    <w:rsid w:val="00355F4D"/>
    <w:rsid w:val="003606A9"/>
    <w:rsid w:val="00361FC5"/>
    <w:rsid w:val="00362EA6"/>
    <w:rsid w:val="00363A5E"/>
    <w:rsid w:val="00363DCE"/>
    <w:rsid w:val="003643F9"/>
    <w:rsid w:val="00366165"/>
    <w:rsid w:val="003673A4"/>
    <w:rsid w:val="00370146"/>
    <w:rsid w:val="003711ED"/>
    <w:rsid w:val="00371658"/>
    <w:rsid w:val="0037496C"/>
    <w:rsid w:val="00374EC0"/>
    <w:rsid w:val="00376331"/>
    <w:rsid w:val="00380E3F"/>
    <w:rsid w:val="00380E4E"/>
    <w:rsid w:val="00382539"/>
    <w:rsid w:val="003836A6"/>
    <w:rsid w:val="003904B7"/>
    <w:rsid w:val="003911A6"/>
    <w:rsid w:val="003923E4"/>
    <w:rsid w:val="003955DE"/>
    <w:rsid w:val="00395A49"/>
    <w:rsid w:val="00395C05"/>
    <w:rsid w:val="00397179"/>
    <w:rsid w:val="003A0A7C"/>
    <w:rsid w:val="003A221C"/>
    <w:rsid w:val="003A3C89"/>
    <w:rsid w:val="003A6D1D"/>
    <w:rsid w:val="003B21C2"/>
    <w:rsid w:val="003B26E5"/>
    <w:rsid w:val="003B3897"/>
    <w:rsid w:val="003B541C"/>
    <w:rsid w:val="003C2B30"/>
    <w:rsid w:val="003C2B6C"/>
    <w:rsid w:val="003C3D29"/>
    <w:rsid w:val="003C5285"/>
    <w:rsid w:val="003C52FC"/>
    <w:rsid w:val="003C5D8A"/>
    <w:rsid w:val="003C6829"/>
    <w:rsid w:val="003C6D8C"/>
    <w:rsid w:val="003D0372"/>
    <w:rsid w:val="003D0B2B"/>
    <w:rsid w:val="003D5A5D"/>
    <w:rsid w:val="003D7721"/>
    <w:rsid w:val="003E1E2F"/>
    <w:rsid w:val="003E2EEA"/>
    <w:rsid w:val="003E39A4"/>
    <w:rsid w:val="003E49F9"/>
    <w:rsid w:val="003E54D3"/>
    <w:rsid w:val="003E6185"/>
    <w:rsid w:val="003E684C"/>
    <w:rsid w:val="003F0EE5"/>
    <w:rsid w:val="003F2536"/>
    <w:rsid w:val="003F3CD4"/>
    <w:rsid w:val="003F4957"/>
    <w:rsid w:val="003F664C"/>
    <w:rsid w:val="003F7A1C"/>
    <w:rsid w:val="00402AC3"/>
    <w:rsid w:val="0040406C"/>
    <w:rsid w:val="004119AE"/>
    <w:rsid w:val="00414707"/>
    <w:rsid w:val="004147D8"/>
    <w:rsid w:val="00415965"/>
    <w:rsid w:val="004166BA"/>
    <w:rsid w:val="00417D6A"/>
    <w:rsid w:val="004206DC"/>
    <w:rsid w:val="00425F8B"/>
    <w:rsid w:val="00431010"/>
    <w:rsid w:val="00431810"/>
    <w:rsid w:val="004323AA"/>
    <w:rsid w:val="0043626B"/>
    <w:rsid w:val="004366DB"/>
    <w:rsid w:val="00442AFB"/>
    <w:rsid w:val="004448B1"/>
    <w:rsid w:val="00447AE8"/>
    <w:rsid w:val="00452F11"/>
    <w:rsid w:val="004608D3"/>
    <w:rsid w:val="0046117F"/>
    <w:rsid w:val="00461D54"/>
    <w:rsid w:val="00462941"/>
    <w:rsid w:val="00463B89"/>
    <w:rsid w:val="00464702"/>
    <w:rsid w:val="004662EC"/>
    <w:rsid w:val="00471CDA"/>
    <w:rsid w:val="00472D9B"/>
    <w:rsid w:val="004740B7"/>
    <w:rsid w:val="00474EAA"/>
    <w:rsid w:val="0048142E"/>
    <w:rsid w:val="00485C6B"/>
    <w:rsid w:val="00486A76"/>
    <w:rsid w:val="004958B9"/>
    <w:rsid w:val="004964B0"/>
    <w:rsid w:val="00497095"/>
    <w:rsid w:val="004A1696"/>
    <w:rsid w:val="004A7FDE"/>
    <w:rsid w:val="004B250E"/>
    <w:rsid w:val="004B47E6"/>
    <w:rsid w:val="004C273A"/>
    <w:rsid w:val="004C44E0"/>
    <w:rsid w:val="004C53E3"/>
    <w:rsid w:val="004C56E7"/>
    <w:rsid w:val="004C5F3E"/>
    <w:rsid w:val="004D04D2"/>
    <w:rsid w:val="004D1ACE"/>
    <w:rsid w:val="004D4809"/>
    <w:rsid w:val="004D520F"/>
    <w:rsid w:val="004D57C3"/>
    <w:rsid w:val="004D5DF8"/>
    <w:rsid w:val="004D6E82"/>
    <w:rsid w:val="004E11FA"/>
    <w:rsid w:val="004E251F"/>
    <w:rsid w:val="004E4DD8"/>
    <w:rsid w:val="004E6318"/>
    <w:rsid w:val="004E714F"/>
    <w:rsid w:val="004E74F1"/>
    <w:rsid w:val="004F0C44"/>
    <w:rsid w:val="004F159A"/>
    <w:rsid w:val="004F1989"/>
    <w:rsid w:val="004F27C2"/>
    <w:rsid w:val="004F57E6"/>
    <w:rsid w:val="004F79A3"/>
    <w:rsid w:val="00500ED3"/>
    <w:rsid w:val="00502B7C"/>
    <w:rsid w:val="00504DB0"/>
    <w:rsid w:val="00505524"/>
    <w:rsid w:val="00510C4A"/>
    <w:rsid w:val="00512E55"/>
    <w:rsid w:val="00513DD0"/>
    <w:rsid w:val="00516499"/>
    <w:rsid w:val="00520B01"/>
    <w:rsid w:val="0052153C"/>
    <w:rsid w:val="00524B54"/>
    <w:rsid w:val="00524D7E"/>
    <w:rsid w:val="00526EF2"/>
    <w:rsid w:val="00531B91"/>
    <w:rsid w:val="00531DAE"/>
    <w:rsid w:val="00532D07"/>
    <w:rsid w:val="00541564"/>
    <w:rsid w:val="00542861"/>
    <w:rsid w:val="00544D9F"/>
    <w:rsid w:val="00545C9E"/>
    <w:rsid w:val="0055531B"/>
    <w:rsid w:val="005555E4"/>
    <w:rsid w:val="00557614"/>
    <w:rsid w:val="0056078F"/>
    <w:rsid w:val="00564855"/>
    <w:rsid w:val="005652ED"/>
    <w:rsid w:val="005721F7"/>
    <w:rsid w:val="005765FC"/>
    <w:rsid w:val="00580817"/>
    <w:rsid w:val="0058206A"/>
    <w:rsid w:val="00584066"/>
    <w:rsid w:val="00584BEC"/>
    <w:rsid w:val="005854A6"/>
    <w:rsid w:val="00585973"/>
    <w:rsid w:val="005907B3"/>
    <w:rsid w:val="00592680"/>
    <w:rsid w:val="00594928"/>
    <w:rsid w:val="0059530F"/>
    <w:rsid w:val="005A2FE6"/>
    <w:rsid w:val="005A3940"/>
    <w:rsid w:val="005B076E"/>
    <w:rsid w:val="005B09E8"/>
    <w:rsid w:val="005B0BB3"/>
    <w:rsid w:val="005B530C"/>
    <w:rsid w:val="005C2E85"/>
    <w:rsid w:val="005C5F18"/>
    <w:rsid w:val="005C5F1C"/>
    <w:rsid w:val="005C656D"/>
    <w:rsid w:val="005C74A1"/>
    <w:rsid w:val="005D26F5"/>
    <w:rsid w:val="005D3266"/>
    <w:rsid w:val="005D5626"/>
    <w:rsid w:val="005E0DE8"/>
    <w:rsid w:val="005E3084"/>
    <w:rsid w:val="005E6066"/>
    <w:rsid w:val="005E639B"/>
    <w:rsid w:val="005E6529"/>
    <w:rsid w:val="005E7E24"/>
    <w:rsid w:val="005F4D86"/>
    <w:rsid w:val="005F6136"/>
    <w:rsid w:val="005F63A1"/>
    <w:rsid w:val="005F7B77"/>
    <w:rsid w:val="006027A9"/>
    <w:rsid w:val="006063BE"/>
    <w:rsid w:val="00607E07"/>
    <w:rsid w:val="0061027F"/>
    <w:rsid w:val="00611144"/>
    <w:rsid w:val="00611F11"/>
    <w:rsid w:val="006130AD"/>
    <w:rsid w:val="006159AB"/>
    <w:rsid w:val="00616654"/>
    <w:rsid w:val="00617D0B"/>
    <w:rsid w:val="00620445"/>
    <w:rsid w:val="00621A29"/>
    <w:rsid w:val="00627230"/>
    <w:rsid w:val="00631264"/>
    <w:rsid w:val="00631872"/>
    <w:rsid w:val="00633BF5"/>
    <w:rsid w:val="0063760E"/>
    <w:rsid w:val="0063798F"/>
    <w:rsid w:val="00642EB2"/>
    <w:rsid w:val="0064397B"/>
    <w:rsid w:val="0064435F"/>
    <w:rsid w:val="00647705"/>
    <w:rsid w:val="00647E4B"/>
    <w:rsid w:val="006639C6"/>
    <w:rsid w:val="0066484F"/>
    <w:rsid w:val="0067478A"/>
    <w:rsid w:val="00682015"/>
    <w:rsid w:val="00682369"/>
    <w:rsid w:val="00682FDC"/>
    <w:rsid w:val="006844D0"/>
    <w:rsid w:val="00684661"/>
    <w:rsid w:val="00685043"/>
    <w:rsid w:val="00685ABB"/>
    <w:rsid w:val="00687167"/>
    <w:rsid w:val="00687BC7"/>
    <w:rsid w:val="00687FE4"/>
    <w:rsid w:val="00691487"/>
    <w:rsid w:val="00694CE5"/>
    <w:rsid w:val="006A0598"/>
    <w:rsid w:val="006A0C0F"/>
    <w:rsid w:val="006A221E"/>
    <w:rsid w:val="006A308C"/>
    <w:rsid w:val="006A4291"/>
    <w:rsid w:val="006A6056"/>
    <w:rsid w:val="006A6E66"/>
    <w:rsid w:val="006B09F7"/>
    <w:rsid w:val="006B2516"/>
    <w:rsid w:val="006B704D"/>
    <w:rsid w:val="006C2487"/>
    <w:rsid w:val="006C24DA"/>
    <w:rsid w:val="006C464D"/>
    <w:rsid w:val="006C6D61"/>
    <w:rsid w:val="006D21E4"/>
    <w:rsid w:val="006D2362"/>
    <w:rsid w:val="006D2CC9"/>
    <w:rsid w:val="006D47AE"/>
    <w:rsid w:val="006D659B"/>
    <w:rsid w:val="006D6F97"/>
    <w:rsid w:val="006E0444"/>
    <w:rsid w:val="006E07C5"/>
    <w:rsid w:val="006E4289"/>
    <w:rsid w:val="006F098F"/>
    <w:rsid w:val="006F2BA4"/>
    <w:rsid w:val="006F2F83"/>
    <w:rsid w:val="006F333D"/>
    <w:rsid w:val="0070171B"/>
    <w:rsid w:val="00702285"/>
    <w:rsid w:val="0070590D"/>
    <w:rsid w:val="00715DB5"/>
    <w:rsid w:val="00716263"/>
    <w:rsid w:val="00717232"/>
    <w:rsid w:val="00724E58"/>
    <w:rsid w:val="007250DC"/>
    <w:rsid w:val="00725E4E"/>
    <w:rsid w:val="007305DA"/>
    <w:rsid w:val="00730FC0"/>
    <w:rsid w:val="007365FD"/>
    <w:rsid w:val="007366B4"/>
    <w:rsid w:val="007407E4"/>
    <w:rsid w:val="00744FA3"/>
    <w:rsid w:val="007456D9"/>
    <w:rsid w:val="00751FDD"/>
    <w:rsid w:val="00752E35"/>
    <w:rsid w:val="007551BC"/>
    <w:rsid w:val="007564BE"/>
    <w:rsid w:val="00760047"/>
    <w:rsid w:val="00762AB8"/>
    <w:rsid w:val="00763462"/>
    <w:rsid w:val="00763B85"/>
    <w:rsid w:val="007670FA"/>
    <w:rsid w:val="0076776E"/>
    <w:rsid w:val="007679ED"/>
    <w:rsid w:val="00767B07"/>
    <w:rsid w:val="00770A14"/>
    <w:rsid w:val="00771F0A"/>
    <w:rsid w:val="00772723"/>
    <w:rsid w:val="00773C68"/>
    <w:rsid w:val="007769E1"/>
    <w:rsid w:val="00781679"/>
    <w:rsid w:val="00781BB2"/>
    <w:rsid w:val="0078516F"/>
    <w:rsid w:val="00786350"/>
    <w:rsid w:val="0078673B"/>
    <w:rsid w:val="00790608"/>
    <w:rsid w:val="00792B50"/>
    <w:rsid w:val="007930A2"/>
    <w:rsid w:val="007939AF"/>
    <w:rsid w:val="00797725"/>
    <w:rsid w:val="007A1341"/>
    <w:rsid w:val="007A1E2E"/>
    <w:rsid w:val="007A5A7D"/>
    <w:rsid w:val="007A6C51"/>
    <w:rsid w:val="007B0ED8"/>
    <w:rsid w:val="007B2401"/>
    <w:rsid w:val="007B49AE"/>
    <w:rsid w:val="007B49E7"/>
    <w:rsid w:val="007B5DD6"/>
    <w:rsid w:val="007B62CF"/>
    <w:rsid w:val="007B79C3"/>
    <w:rsid w:val="007C010D"/>
    <w:rsid w:val="007C3099"/>
    <w:rsid w:val="007C31D7"/>
    <w:rsid w:val="007C3306"/>
    <w:rsid w:val="007C37E8"/>
    <w:rsid w:val="007C49A1"/>
    <w:rsid w:val="007D084F"/>
    <w:rsid w:val="007D2BB6"/>
    <w:rsid w:val="007D3C56"/>
    <w:rsid w:val="007D4335"/>
    <w:rsid w:val="007D4D5A"/>
    <w:rsid w:val="007E0241"/>
    <w:rsid w:val="007E3CAD"/>
    <w:rsid w:val="007E4B63"/>
    <w:rsid w:val="007E5C86"/>
    <w:rsid w:val="007E63CE"/>
    <w:rsid w:val="007E69D4"/>
    <w:rsid w:val="007F0D08"/>
    <w:rsid w:val="007F3955"/>
    <w:rsid w:val="007F49A1"/>
    <w:rsid w:val="007F7414"/>
    <w:rsid w:val="007F7F32"/>
    <w:rsid w:val="0080291C"/>
    <w:rsid w:val="00804465"/>
    <w:rsid w:val="00807F24"/>
    <w:rsid w:val="00810A4C"/>
    <w:rsid w:val="008111AE"/>
    <w:rsid w:val="00823ED6"/>
    <w:rsid w:val="00823F5A"/>
    <w:rsid w:val="00824250"/>
    <w:rsid w:val="008270B7"/>
    <w:rsid w:val="008307E3"/>
    <w:rsid w:val="00833933"/>
    <w:rsid w:val="008347C1"/>
    <w:rsid w:val="0083565F"/>
    <w:rsid w:val="008370D9"/>
    <w:rsid w:val="00837B90"/>
    <w:rsid w:val="00840EC1"/>
    <w:rsid w:val="00840F38"/>
    <w:rsid w:val="008436FC"/>
    <w:rsid w:val="00845081"/>
    <w:rsid w:val="00845475"/>
    <w:rsid w:val="00845649"/>
    <w:rsid w:val="008475BB"/>
    <w:rsid w:val="008534AC"/>
    <w:rsid w:val="008628EE"/>
    <w:rsid w:val="0086357C"/>
    <w:rsid w:val="00863BBF"/>
    <w:rsid w:val="008646D5"/>
    <w:rsid w:val="00864835"/>
    <w:rsid w:val="00864F21"/>
    <w:rsid w:val="0086539B"/>
    <w:rsid w:val="00865554"/>
    <w:rsid w:val="008671AE"/>
    <w:rsid w:val="00871203"/>
    <w:rsid w:val="00871436"/>
    <w:rsid w:val="008729BE"/>
    <w:rsid w:val="00874F57"/>
    <w:rsid w:val="00876C4C"/>
    <w:rsid w:val="008778CA"/>
    <w:rsid w:val="00877B88"/>
    <w:rsid w:val="008809D7"/>
    <w:rsid w:val="00884D50"/>
    <w:rsid w:val="00885D6D"/>
    <w:rsid w:val="00891072"/>
    <w:rsid w:val="0089134F"/>
    <w:rsid w:val="008919C2"/>
    <w:rsid w:val="00891DAC"/>
    <w:rsid w:val="008957F1"/>
    <w:rsid w:val="00896F42"/>
    <w:rsid w:val="00897B0B"/>
    <w:rsid w:val="008A1864"/>
    <w:rsid w:val="008A3276"/>
    <w:rsid w:val="008A4EEF"/>
    <w:rsid w:val="008A71AA"/>
    <w:rsid w:val="008B0DAD"/>
    <w:rsid w:val="008B2E1A"/>
    <w:rsid w:val="008B32ED"/>
    <w:rsid w:val="008B3592"/>
    <w:rsid w:val="008B428D"/>
    <w:rsid w:val="008B595A"/>
    <w:rsid w:val="008C062E"/>
    <w:rsid w:val="008C2166"/>
    <w:rsid w:val="008C49FB"/>
    <w:rsid w:val="008D0F63"/>
    <w:rsid w:val="008D1F7D"/>
    <w:rsid w:val="008D2092"/>
    <w:rsid w:val="008D48D6"/>
    <w:rsid w:val="008D4B32"/>
    <w:rsid w:val="008D665B"/>
    <w:rsid w:val="008D7090"/>
    <w:rsid w:val="008E073E"/>
    <w:rsid w:val="008E0B07"/>
    <w:rsid w:val="008E5442"/>
    <w:rsid w:val="008E5578"/>
    <w:rsid w:val="008E6E5C"/>
    <w:rsid w:val="008E6F7A"/>
    <w:rsid w:val="008E790E"/>
    <w:rsid w:val="008E7C1F"/>
    <w:rsid w:val="008F2FB7"/>
    <w:rsid w:val="008F39F5"/>
    <w:rsid w:val="008F3F2F"/>
    <w:rsid w:val="008F7367"/>
    <w:rsid w:val="009076E3"/>
    <w:rsid w:val="00907E4A"/>
    <w:rsid w:val="00910CAD"/>
    <w:rsid w:val="00912169"/>
    <w:rsid w:val="009162FB"/>
    <w:rsid w:val="00916821"/>
    <w:rsid w:val="009175F8"/>
    <w:rsid w:val="009218AF"/>
    <w:rsid w:val="00925563"/>
    <w:rsid w:val="009258D8"/>
    <w:rsid w:val="0092591B"/>
    <w:rsid w:val="009301EB"/>
    <w:rsid w:val="00930476"/>
    <w:rsid w:val="0093336D"/>
    <w:rsid w:val="00935FE2"/>
    <w:rsid w:val="0093742B"/>
    <w:rsid w:val="00937AF2"/>
    <w:rsid w:val="00941CDE"/>
    <w:rsid w:val="009422AC"/>
    <w:rsid w:val="009428D4"/>
    <w:rsid w:val="00942E84"/>
    <w:rsid w:val="00943CF9"/>
    <w:rsid w:val="009477AE"/>
    <w:rsid w:val="00951F4D"/>
    <w:rsid w:val="00952C32"/>
    <w:rsid w:val="009535DB"/>
    <w:rsid w:val="00955398"/>
    <w:rsid w:val="00955D61"/>
    <w:rsid w:val="00957418"/>
    <w:rsid w:val="009577BF"/>
    <w:rsid w:val="009620C0"/>
    <w:rsid w:val="009659D8"/>
    <w:rsid w:val="00966345"/>
    <w:rsid w:val="00970910"/>
    <w:rsid w:val="00970E07"/>
    <w:rsid w:val="0097376F"/>
    <w:rsid w:val="0097487A"/>
    <w:rsid w:val="009748C5"/>
    <w:rsid w:val="00977F06"/>
    <w:rsid w:val="00982897"/>
    <w:rsid w:val="00983217"/>
    <w:rsid w:val="00983701"/>
    <w:rsid w:val="00985E73"/>
    <w:rsid w:val="00987C57"/>
    <w:rsid w:val="00992873"/>
    <w:rsid w:val="00993147"/>
    <w:rsid w:val="009A03F6"/>
    <w:rsid w:val="009A0D5D"/>
    <w:rsid w:val="009A1434"/>
    <w:rsid w:val="009A27D0"/>
    <w:rsid w:val="009A4852"/>
    <w:rsid w:val="009A5126"/>
    <w:rsid w:val="009B259F"/>
    <w:rsid w:val="009B2D1A"/>
    <w:rsid w:val="009B58E9"/>
    <w:rsid w:val="009C3088"/>
    <w:rsid w:val="009C7D26"/>
    <w:rsid w:val="009C7E52"/>
    <w:rsid w:val="009D30AF"/>
    <w:rsid w:val="009E0922"/>
    <w:rsid w:val="009E6A09"/>
    <w:rsid w:val="00A02583"/>
    <w:rsid w:val="00A02602"/>
    <w:rsid w:val="00A03D20"/>
    <w:rsid w:val="00A061A1"/>
    <w:rsid w:val="00A12063"/>
    <w:rsid w:val="00A20F05"/>
    <w:rsid w:val="00A21102"/>
    <w:rsid w:val="00A26953"/>
    <w:rsid w:val="00A30454"/>
    <w:rsid w:val="00A30BF3"/>
    <w:rsid w:val="00A32640"/>
    <w:rsid w:val="00A32D76"/>
    <w:rsid w:val="00A35131"/>
    <w:rsid w:val="00A40910"/>
    <w:rsid w:val="00A472CD"/>
    <w:rsid w:val="00A50696"/>
    <w:rsid w:val="00A50849"/>
    <w:rsid w:val="00A51512"/>
    <w:rsid w:val="00A53DA1"/>
    <w:rsid w:val="00A60C20"/>
    <w:rsid w:val="00A61788"/>
    <w:rsid w:val="00A6271C"/>
    <w:rsid w:val="00A6610D"/>
    <w:rsid w:val="00A717F6"/>
    <w:rsid w:val="00A71BFC"/>
    <w:rsid w:val="00A724B8"/>
    <w:rsid w:val="00A7376C"/>
    <w:rsid w:val="00A73E53"/>
    <w:rsid w:val="00A80AC4"/>
    <w:rsid w:val="00A82C31"/>
    <w:rsid w:val="00A82E0F"/>
    <w:rsid w:val="00A8515F"/>
    <w:rsid w:val="00A905B8"/>
    <w:rsid w:val="00A9145D"/>
    <w:rsid w:val="00A91A1C"/>
    <w:rsid w:val="00A91C4E"/>
    <w:rsid w:val="00A91ED3"/>
    <w:rsid w:val="00A9507F"/>
    <w:rsid w:val="00A973B2"/>
    <w:rsid w:val="00AA3A67"/>
    <w:rsid w:val="00AA4FC9"/>
    <w:rsid w:val="00AB4D17"/>
    <w:rsid w:val="00AC2067"/>
    <w:rsid w:val="00AC2D2C"/>
    <w:rsid w:val="00AD1530"/>
    <w:rsid w:val="00AD28D6"/>
    <w:rsid w:val="00AD4830"/>
    <w:rsid w:val="00AD5D6B"/>
    <w:rsid w:val="00AE04EE"/>
    <w:rsid w:val="00AE23CB"/>
    <w:rsid w:val="00AE2794"/>
    <w:rsid w:val="00AE4694"/>
    <w:rsid w:val="00AE46B0"/>
    <w:rsid w:val="00AE4A27"/>
    <w:rsid w:val="00AE4A28"/>
    <w:rsid w:val="00AF7546"/>
    <w:rsid w:val="00AF7EE1"/>
    <w:rsid w:val="00B00F27"/>
    <w:rsid w:val="00B0275F"/>
    <w:rsid w:val="00B06A1E"/>
    <w:rsid w:val="00B12112"/>
    <w:rsid w:val="00B12B02"/>
    <w:rsid w:val="00B12FE3"/>
    <w:rsid w:val="00B14958"/>
    <w:rsid w:val="00B1671C"/>
    <w:rsid w:val="00B20E4C"/>
    <w:rsid w:val="00B24C64"/>
    <w:rsid w:val="00B25BAC"/>
    <w:rsid w:val="00B36C9A"/>
    <w:rsid w:val="00B37175"/>
    <w:rsid w:val="00B3736B"/>
    <w:rsid w:val="00B4057D"/>
    <w:rsid w:val="00B41EBE"/>
    <w:rsid w:val="00B4349F"/>
    <w:rsid w:val="00B5067B"/>
    <w:rsid w:val="00B506A0"/>
    <w:rsid w:val="00B52BB3"/>
    <w:rsid w:val="00B53918"/>
    <w:rsid w:val="00B53ECD"/>
    <w:rsid w:val="00B55DF7"/>
    <w:rsid w:val="00B601AB"/>
    <w:rsid w:val="00B750DC"/>
    <w:rsid w:val="00B812FF"/>
    <w:rsid w:val="00B848DC"/>
    <w:rsid w:val="00B84FBC"/>
    <w:rsid w:val="00B864B2"/>
    <w:rsid w:val="00B86F41"/>
    <w:rsid w:val="00B90B2B"/>
    <w:rsid w:val="00B92082"/>
    <w:rsid w:val="00B94073"/>
    <w:rsid w:val="00B94C30"/>
    <w:rsid w:val="00BA0C84"/>
    <w:rsid w:val="00BA123C"/>
    <w:rsid w:val="00BA191B"/>
    <w:rsid w:val="00BA258F"/>
    <w:rsid w:val="00BA3305"/>
    <w:rsid w:val="00BA4114"/>
    <w:rsid w:val="00BA49F0"/>
    <w:rsid w:val="00BA58E4"/>
    <w:rsid w:val="00BA6C18"/>
    <w:rsid w:val="00BB085C"/>
    <w:rsid w:val="00BB0CB4"/>
    <w:rsid w:val="00BB2F49"/>
    <w:rsid w:val="00BB338D"/>
    <w:rsid w:val="00BB3F93"/>
    <w:rsid w:val="00BB61BA"/>
    <w:rsid w:val="00BB6C5B"/>
    <w:rsid w:val="00BC5A3B"/>
    <w:rsid w:val="00BC6391"/>
    <w:rsid w:val="00BD1FBF"/>
    <w:rsid w:val="00BD2714"/>
    <w:rsid w:val="00BD59A8"/>
    <w:rsid w:val="00BE2563"/>
    <w:rsid w:val="00BE2F21"/>
    <w:rsid w:val="00BE460A"/>
    <w:rsid w:val="00BE4D9A"/>
    <w:rsid w:val="00BE6782"/>
    <w:rsid w:val="00BF0926"/>
    <w:rsid w:val="00BF14CB"/>
    <w:rsid w:val="00BF1C46"/>
    <w:rsid w:val="00BF1FB0"/>
    <w:rsid w:val="00BF3AFB"/>
    <w:rsid w:val="00BF520D"/>
    <w:rsid w:val="00BF6B0C"/>
    <w:rsid w:val="00C00369"/>
    <w:rsid w:val="00C00420"/>
    <w:rsid w:val="00C02D4C"/>
    <w:rsid w:val="00C056AB"/>
    <w:rsid w:val="00C06A7C"/>
    <w:rsid w:val="00C115B7"/>
    <w:rsid w:val="00C12082"/>
    <w:rsid w:val="00C14844"/>
    <w:rsid w:val="00C14E04"/>
    <w:rsid w:val="00C15E79"/>
    <w:rsid w:val="00C17718"/>
    <w:rsid w:val="00C17B60"/>
    <w:rsid w:val="00C17DCC"/>
    <w:rsid w:val="00C218FD"/>
    <w:rsid w:val="00C219EA"/>
    <w:rsid w:val="00C23D18"/>
    <w:rsid w:val="00C25DB1"/>
    <w:rsid w:val="00C27907"/>
    <w:rsid w:val="00C3167D"/>
    <w:rsid w:val="00C31997"/>
    <w:rsid w:val="00C3424E"/>
    <w:rsid w:val="00C37A9D"/>
    <w:rsid w:val="00C40019"/>
    <w:rsid w:val="00C43F23"/>
    <w:rsid w:val="00C45C8F"/>
    <w:rsid w:val="00C47C49"/>
    <w:rsid w:val="00C51B41"/>
    <w:rsid w:val="00C52E50"/>
    <w:rsid w:val="00C56E4B"/>
    <w:rsid w:val="00C57283"/>
    <w:rsid w:val="00C6221F"/>
    <w:rsid w:val="00C62356"/>
    <w:rsid w:val="00C6592A"/>
    <w:rsid w:val="00C65F3C"/>
    <w:rsid w:val="00C6625C"/>
    <w:rsid w:val="00C675CA"/>
    <w:rsid w:val="00C70CE7"/>
    <w:rsid w:val="00C70FE6"/>
    <w:rsid w:val="00C71239"/>
    <w:rsid w:val="00C7495A"/>
    <w:rsid w:val="00C87645"/>
    <w:rsid w:val="00C87839"/>
    <w:rsid w:val="00C902A1"/>
    <w:rsid w:val="00C914B8"/>
    <w:rsid w:val="00C931A0"/>
    <w:rsid w:val="00C93C76"/>
    <w:rsid w:val="00C94F35"/>
    <w:rsid w:val="00C95281"/>
    <w:rsid w:val="00C95715"/>
    <w:rsid w:val="00C96411"/>
    <w:rsid w:val="00C97456"/>
    <w:rsid w:val="00CA0430"/>
    <w:rsid w:val="00CA080B"/>
    <w:rsid w:val="00CA144E"/>
    <w:rsid w:val="00CA1ED4"/>
    <w:rsid w:val="00CA37D8"/>
    <w:rsid w:val="00CA599B"/>
    <w:rsid w:val="00CA7D11"/>
    <w:rsid w:val="00CB07B4"/>
    <w:rsid w:val="00CB1B46"/>
    <w:rsid w:val="00CB2373"/>
    <w:rsid w:val="00CB37C4"/>
    <w:rsid w:val="00CB6E8B"/>
    <w:rsid w:val="00CC01C9"/>
    <w:rsid w:val="00CC4172"/>
    <w:rsid w:val="00CC57ED"/>
    <w:rsid w:val="00CC79BC"/>
    <w:rsid w:val="00CD25F1"/>
    <w:rsid w:val="00CD3E75"/>
    <w:rsid w:val="00CD4479"/>
    <w:rsid w:val="00CD58E4"/>
    <w:rsid w:val="00CD5CE2"/>
    <w:rsid w:val="00CE1DCF"/>
    <w:rsid w:val="00CE353A"/>
    <w:rsid w:val="00CE55C6"/>
    <w:rsid w:val="00CE7618"/>
    <w:rsid w:val="00CF26A7"/>
    <w:rsid w:val="00CF288F"/>
    <w:rsid w:val="00CF344B"/>
    <w:rsid w:val="00CF3641"/>
    <w:rsid w:val="00CF37C5"/>
    <w:rsid w:val="00CF4237"/>
    <w:rsid w:val="00D014A2"/>
    <w:rsid w:val="00D04A42"/>
    <w:rsid w:val="00D04D5D"/>
    <w:rsid w:val="00D058A5"/>
    <w:rsid w:val="00D0642F"/>
    <w:rsid w:val="00D066F0"/>
    <w:rsid w:val="00D121F2"/>
    <w:rsid w:val="00D12A46"/>
    <w:rsid w:val="00D1322B"/>
    <w:rsid w:val="00D13504"/>
    <w:rsid w:val="00D22049"/>
    <w:rsid w:val="00D22243"/>
    <w:rsid w:val="00D238D2"/>
    <w:rsid w:val="00D25738"/>
    <w:rsid w:val="00D3135A"/>
    <w:rsid w:val="00D324D8"/>
    <w:rsid w:val="00D35A94"/>
    <w:rsid w:val="00D42083"/>
    <w:rsid w:val="00D4274D"/>
    <w:rsid w:val="00D43FD7"/>
    <w:rsid w:val="00D44967"/>
    <w:rsid w:val="00D615B3"/>
    <w:rsid w:val="00D66DCF"/>
    <w:rsid w:val="00D701A4"/>
    <w:rsid w:val="00D73B0A"/>
    <w:rsid w:val="00D73C87"/>
    <w:rsid w:val="00D75D06"/>
    <w:rsid w:val="00D763F3"/>
    <w:rsid w:val="00D82B83"/>
    <w:rsid w:val="00D83513"/>
    <w:rsid w:val="00D83B9B"/>
    <w:rsid w:val="00D83F99"/>
    <w:rsid w:val="00D84906"/>
    <w:rsid w:val="00D84F1D"/>
    <w:rsid w:val="00D87AC7"/>
    <w:rsid w:val="00D92FCE"/>
    <w:rsid w:val="00D9647F"/>
    <w:rsid w:val="00D97FA9"/>
    <w:rsid w:val="00DA09F0"/>
    <w:rsid w:val="00DA15B3"/>
    <w:rsid w:val="00DA22ED"/>
    <w:rsid w:val="00DA2D90"/>
    <w:rsid w:val="00DA4E29"/>
    <w:rsid w:val="00DA67A4"/>
    <w:rsid w:val="00DB1862"/>
    <w:rsid w:val="00DB1EAE"/>
    <w:rsid w:val="00DB1F70"/>
    <w:rsid w:val="00DB3DC2"/>
    <w:rsid w:val="00DB7E7C"/>
    <w:rsid w:val="00DC12B7"/>
    <w:rsid w:val="00DC1B67"/>
    <w:rsid w:val="00DC225E"/>
    <w:rsid w:val="00DC3D1B"/>
    <w:rsid w:val="00DC4FDE"/>
    <w:rsid w:val="00DC6678"/>
    <w:rsid w:val="00DC7461"/>
    <w:rsid w:val="00DC7BAE"/>
    <w:rsid w:val="00DD447D"/>
    <w:rsid w:val="00DD7AE3"/>
    <w:rsid w:val="00DF52AA"/>
    <w:rsid w:val="00DF7CED"/>
    <w:rsid w:val="00DF7D31"/>
    <w:rsid w:val="00E008A0"/>
    <w:rsid w:val="00E017BA"/>
    <w:rsid w:val="00E0251D"/>
    <w:rsid w:val="00E04EF8"/>
    <w:rsid w:val="00E05B36"/>
    <w:rsid w:val="00E06563"/>
    <w:rsid w:val="00E0695D"/>
    <w:rsid w:val="00E07D0A"/>
    <w:rsid w:val="00E1201F"/>
    <w:rsid w:val="00E12BCC"/>
    <w:rsid w:val="00E1483B"/>
    <w:rsid w:val="00E171F0"/>
    <w:rsid w:val="00E2122C"/>
    <w:rsid w:val="00E21F66"/>
    <w:rsid w:val="00E25731"/>
    <w:rsid w:val="00E265D4"/>
    <w:rsid w:val="00E26CD8"/>
    <w:rsid w:val="00E30727"/>
    <w:rsid w:val="00E30941"/>
    <w:rsid w:val="00E31A7F"/>
    <w:rsid w:val="00E33A14"/>
    <w:rsid w:val="00E37407"/>
    <w:rsid w:val="00E40179"/>
    <w:rsid w:val="00E41746"/>
    <w:rsid w:val="00E43C8E"/>
    <w:rsid w:val="00E44FA0"/>
    <w:rsid w:val="00E45480"/>
    <w:rsid w:val="00E468A0"/>
    <w:rsid w:val="00E47B3C"/>
    <w:rsid w:val="00E500D4"/>
    <w:rsid w:val="00E51119"/>
    <w:rsid w:val="00E51774"/>
    <w:rsid w:val="00E52CA2"/>
    <w:rsid w:val="00E5726F"/>
    <w:rsid w:val="00E57556"/>
    <w:rsid w:val="00E60A00"/>
    <w:rsid w:val="00E64FF8"/>
    <w:rsid w:val="00E730EE"/>
    <w:rsid w:val="00E8318B"/>
    <w:rsid w:val="00E83502"/>
    <w:rsid w:val="00E84F91"/>
    <w:rsid w:val="00E8627B"/>
    <w:rsid w:val="00E86660"/>
    <w:rsid w:val="00E86B0F"/>
    <w:rsid w:val="00E87214"/>
    <w:rsid w:val="00E91B71"/>
    <w:rsid w:val="00EA0D69"/>
    <w:rsid w:val="00EA52A0"/>
    <w:rsid w:val="00EA563A"/>
    <w:rsid w:val="00EA62E4"/>
    <w:rsid w:val="00EA655D"/>
    <w:rsid w:val="00EA714A"/>
    <w:rsid w:val="00EB14CF"/>
    <w:rsid w:val="00EB2823"/>
    <w:rsid w:val="00EB2C53"/>
    <w:rsid w:val="00EB3AC2"/>
    <w:rsid w:val="00EB427F"/>
    <w:rsid w:val="00EB6AEC"/>
    <w:rsid w:val="00EB7864"/>
    <w:rsid w:val="00EC0281"/>
    <w:rsid w:val="00EC1BE9"/>
    <w:rsid w:val="00EC4A51"/>
    <w:rsid w:val="00ED625A"/>
    <w:rsid w:val="00ED717F"/>
    <w:rsid w:val="00EE094C"/>
    <w:rsid w:val="00EE0B1F"/>
    <w:rsid w:val="00EE2AFA"/>
    <w:rsid w:val="00EF0EC6"/>
    <w:rsid w:val="00EF11B7"/>
    <w:rsid w:val="00EF1203"/>
    <w:rsid w:val="00EF182B"/>
    <w:rsid w:val="00EF24CE"/>
    <w:rsid w:val="00EF3AD4"/>
    <w:rsid w:val="00EF61C7"/>
    <w:rsid w:val="00EF6FEE"/>
    <w:rsid w:val="00EF74D3"/>
    <w:rsid w:val="00F05056"/>
    <w:rsid w:val="00F05FCE"/>
    <w:rsid w:val="00F06110"/>
    <w:rsid w:val="00F11C01"/>
    <w:rsid w:val="00F133B9"/>
    <w:rsid w:val="00F13445"/>
    <w:rsid w:val="00F140BE"/>
    <w:rsid w:val="00F200AB"/>
    <w:rsid w:val="00F2216E"/>
    <w:rsid w:val="00F22E36"/>
    <w:rsid w:val="00F249A7"/>
    <w:rsid w:val="00F24D1F"/>
    <w:rsid w:val="00F2683C"/>
    <w:rsid w:val="00F33E07"/>
    <w:rsid w:val="00F35352"/>
    <w:rsid w:val="00F4389D"/>
    <w:rsid w:val="00F44516"/>
    <w:rsid w:val="00F46B8C"/>
    <w:rsid w:val="00F5113E"/>
    <w:rsid w:val="00F523AA"/>
    <w:rsid w:val="00F54C2E"/>
    <w:rsid w:val="00F6008C"/>
    <w:rsid w:val="00F61027"/>
    <w:rsid w:val="00F61F2D"/>
    <w:rsid w:val="00F63C22"/>
    <w:rsid w:val="00F64367"/>
    <w:rsid w:val="00F66B1C"/>
    <w:rsid w:val="00F72FBD"/>
    <w:rsid w:val="00F741D1"/>
    <w:rsid w:val="00F74D1D"/>
    <w:rsid w:val="00F7685E"/>
    <w:rsid w:val="00F8204F"/>
    <w:rsid w:val="00F83966"/>
    <w:rsid w:val="00F850F8"/>
    <w:rsid w:val="00F85996"/>
    <w:rsid w:val="00F905A1"/>
    <w:rsid w:val="00F90ABB"/>
    <w:rsid w:val="00F93EA3"/>
    <w:rsid w:val="00FA3A1D"/>
    <w:rsid w:val="00FA5872"/>
    <w:rsid w:val="00FA6944"/>
    <w:rsid w:val="00FB19F4"/>
    <w:rsid w:val="00FC2444"/>
    <w:rsid w:val="00FC741E"/>
    <w:rsid w:val="00FD06A0"/>
    <w:rsid w:val="00FD0823"/>
    <w:rsid w:val="00FD14DA"/>
    <w:rsid w:val="00FD7DE7"/>
    <w:rsid w:val="00FE2690"/>
    <w:rsid w:val="00FE35C2"/>
    <w:rsid w:val="00FE69DF"/>
    <w:rsid w:val="00FF1E16"/>
    <w:rsid w:val="00FF392F"/>
    <w:rsid w:val="00FF67B5"/>
    <w:rsid w:val="00FF703E"/>
    <w:rsid w:val="015F21F2"/>
    <w:rsid w:val="02D33458"/>
    <w:rsid w:val="037E242F"/>
    <w:rsid w:val="04A85A9A"/>
    <w:rsid w:val="05ED69E4"/>
    <w:rsid w:val="07773D63"/>
    <w:rsid w:val="07CF4DDF"/>
    <w:rsid w:val="08B62A63"/>
    <w:rsid w:val="097C3DA4"/>
    <w:rsid w:val="0A3718BB"/>
    <w:rsid w:val="0A3C192C"/>
    <w:rsid w:val="0D454199"/>
    <w:rsid w:val="0E07471F"/>
    <w:rsid w:val="0F3877AC"/>
    <w:rsid w:val="0FBB0FC3"/>
    <w:rsid w:val="0FE63A8C"/>
    <w:rsid w:val="101750F9"/>
    <w:rsid w:val="12F11555"/>
    <w:rsid w:val="13696BB5"/>
    <w:rsid w:val="13FA30C9"/>
    <w:rsid w:val="150E4F3B"/>
    <w:rsid w:val="1510555D"/>
    <w:rsid w:val="173F1664"/>
    <w:rsid w:val="18247439"/>
    <w:rsid w:val="185934B4"/>
    <w:rsid w:val="187B3C4B"/>
    <w:rsid w:val="187E73AE"/>
    <w:rsid w:val="194B6FCB"/>
    <w:rsid w:val="1AFE098B"/>
    <w:rsid w:val="1B5972FA"/>
    <w:rsid w:val="1C3A22FA"/>
    <w:rsid w:val="1D4C6596"/>
    <w:rsid w:val="1E326191"/>
    <w:rsid w:val="1F135C3C"/>
    <w:rsid w:val="1F9450B5"/>
    <w:rsid w:val="20FF71E3"/>
    <w:rsid w:val="210747C5"/>
    <w:rsid w:val="21680E33"/>
    <w:rsid w:val="22026C0E"/>
    <w:rsid w:val="24887950"/>
    <w:rsid w:val="25CA5177"/>
    <w:rsid w:val="26B04F27"/>
    <w:rsid w:val="27794CD9"/>
    <w:rsid w:val="29C834AD"/>
    <w:rsid w:val="2ACF7D9B"/>
    <w:rsid w:val="2C080237"/>
    <w:rsid w:val="2C8A5B12"/>
    <w:rsid w:val="2EE70AF2"/>
    <w:rsid w:val="2FD02504"/>
    <w:rsid w:val="30090D2F"/>
    <w:rsid w:val="30CE5892"/>
    <w:rsid w:val="33093E95"/>
    <w:rsid w:val="365F6E31"/>
    <w:rsid w:val="36764B5F"/>
    <w:rsid w:val="38856359"/>
    <w:rsid w:val="38BA4693"/>
    <w:rsid w:val="3A71663E"/>
    <w:rsid w:val="3A826C20"/>
    <w:rsid w:val="3BFE0828"/>
    <w:rsid w:val="3CF91B21"/>
    <w:rsid w:val="3D095522"/>
    <w:rsid w:val="3E586B0E"/>
    <w:rsid w:val="3E9836F1"/>
    <w:rsid w:val="3EAA1D78"/>
    <w:rsid w:val="403D4BEA"/>
    <w:rsid w:val="40CE7D02"/>
    <w:rsid w:val="410757C5"/>
    <w:rsid w:val="41265C12"/>
    <w:rsid w:val="450562E2"/>
    <w:rsid w:val="47C61D0E"/>
    <w:rsid w:val="49972998"/>
    <w:rsid w:val="4AFA2C5B"/>
    <w:rsid w:val="4B4E5A5D"/>
    <w:rsid w:val="4BE75CBB"/>
    <w:rsid w:val="4EC118E3"/>
    <w:rsid w:val="4F595D2A"/>
    <w:rsid w:val="50D77222"/>
    <w:rsid w:val="5127638C"/>
    <w:rsid w:val="54704104"/>
    <w:rsid w:val="554C4A3C"/>
    <w:rsid w:val="55546079"/>
    <w:rsid w:val="559E7075"/>
    <w:rsid w:val="57896521"/>
    <w:rsid w:val="5954543F"/>
    <w:rsid w:val="59AC1D71"/>
    <w:rsid w:val="5B5F0A54"/>
    <w:rsid w:val="5C5C1656"/>
    <w:rsid w:val="5D962F70"/>
    <w:rsid w:val="5DB9366C"/>
    <w:rsid w:val="5F115001"/>
    <w:rsid w:val="5FF61691"/>
    <w:rsid w:val="603422A9"/>
    <w:rsid w:val="60DB3289"/>
    <w:rsid w:val="625820F2"/>
    <w:rsid w:val="63001316"/>
    <w:rsid w:val="632D4DD5"/>
    <w:rsid w:val="63373CFE"/>
    <w:rsid w:val="64647AB6"/>
    <w:rsid w:val="658C2F7A"/>
    <w:rsid w:val="65921E13"/>
    <w:rsid w:val="662C7597"/>
    <w:rsid w:val="671F131F"/>
    <w:rsid w:val="688642D7"/>
    <w:rsid w:val="693750EE"/>
    <w:rsid w:val="6BCD005E"/>
    <w:rsid w:val="6D406914"/>
    <w:rsid w:val="706C3585"/>
    <w:rsid w:val="71411686"/>
    <w:rsid w:val="71F4136D"/>
    <w:rsid w:val="721F74C2"/>
    <w:rsid w:val="72536F24"/>
    <w:rsid w:val="7308707C"/>
    <w:rsid w:val="737B424D"/>
    <w:rsid w:val="73E44095"/>
    <w:rsid w:val="77F82287"/>
    <w:rsid w:val="7A3B0859"/>
    <w:rsid w:val="7A741366"/>
    <w:rsid w:val="7A74611B"/>
    <w:rsid w:val="7D7B3B00"/>
    <w:rsid w:val="7E593B62"/>
    <w:rsid w:val="7EA32842"/>
    <w:rsid w:val="7F695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semiHidden="0" w:name="heading 3" w:locked="1"/>
    <w:lsdException w:qFormat="1" w:uiPriority="0" w:semiHidden="0" w:name="heading 4" w:locked="1"/>
    <w:lsdException w:qFormat="1" w:uiPriority="0" w:semiHidden="0" w:name="heading 5" w:locked="1"/>
    <w:lsdException w:qFormat="1" w:uiPriority="0" w:semiHidden="0" w:name="heading 6" w:locked="1"/>
    <w:lsdException w:qFormat="1" w:uiPriority="0" w:semiHidden="0" w:name="heading 7" w:locked="1"/>
    <w:lsdException w:qFormat="1" w:uiPriority="0" w:semiHidden="0" w:name="heading 8" w:locked="1"/>
    <w:lsdException w:qFormat="1" w:uiPriority="0" w:semiHidden="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ocked="1"/>
    <w:lsdException w:unhideWhenUsed="0" w:uiPriority="0" w:name="toc 4" w:locked="1"/>
    <w:lsdException w:unhideWhenUsed="0" w:uiPriority="0" w:name="toc 5" w:locked="1"/>
    <w:lsdException w:unhideWhenUsed="0" w:uiPriority="0" w:name="toc 6" w:locked="1"/>
    <w:lsdException w:unhideWhenUsed="0" w:uiPriority="0" w:name="toc 7" w:locked="1"/>
    <w:lsdException w:unhideWhenUsed="0" w:uiPriority="0" w:name="toc 8" w:locked="1"/>
    <w:lsdException w:unhideWhenUsed="0" w:uiPriority="0" w:name="toc 9" w:locked="1"/>
    <w:lsdException w:qFormat="1"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3"/>
    <w:next w:val="1"/>
    <w:link w:val="65"/>
    <w:qFormat/>
    <w:locked/>
    <w:uiPriority w:val="0"/>
    <w:pPr>
      <w:numPr>
        <w:ilvl w:val="0"/>
        <w:numId w:val="1"/>
      </w:numPr>
      <w:spacing w:before="240" w:beforeLines="100" w:after="240" w:afterLines="100"/>
      <w:outlineLvl w:val="0"/>
    </w:pPr>
    <w:rPr>
      <w:rFonts w:ascii="Times New Roman" w:cs="Times New Roman"/>
      <w:b/>
    </w:rPr>
  </w:style>
  <w:style w:type="paragraph" w:styleId="4">
    <w:name w:val="heading 2"/>
    <w:basedOn w:val="1"/>
    <w:next w:val="5"/>
    <w:link w:val="64"/>
    <w:qFormat/>
    <w:locked/>
    <w:uiPriority w:val="0"/>
    <w:pPr>
      <w:keepNext/>
      <w:keepLines/>
      <w:numPr>
        <w:ilvl w:val="1"/>
        <w:numId w:val="1"/>
      </w:numPr>
      <w:tabs>
        <w:tab w:val="left" w:pos="426"/>
      </w:tabs>
      <w:spacing w:before="240" w:after="120" w:line="360" w:lineRule="exact"/>
      <w:jc w:val="left"/>
      <w:outlineLvl w:val="1"/>
    </w:pPr>
    <w:rPr>
      <w:rFonts w:ascii="Times New Roman" w:hAnsi="黑体" w:eastAsia="黑体" w:cs="Times New Roman"/>
      <w:szCs w:val="20"/>
    </w:rPr>
  </w:style>
  <w:style w:type="paragraph" w:styleId="6">
    <w:name w:val="heading 3"/>
    <w:basedOn w:val="1"/>
    <w:next w:val="1"/>
    <w:link w:val="67"/>
    <w:unhideWhenUsed/>
    <w:qFormat/>
    <w:locked/>
    <w:uiPriority w:val="0"/>
    <w:pPr>
      <w:numPr>
        <w:ilvl w:val="2"/>
        <w:numId w:val="1"/>
      </w:numPr>
      <w:tabs>
        <w:tab w:val="left" w:pos="567"/>
      </w:tabs>
      <w:spacing w:after="60" w:line="360" w:lineRule="exact"/>
      <w:outlineLvl w:val="2"/>
    </w:pPr>
    <w:rPr>
      <w:rFonts w:ascii="Times New Roman" w:hAnsi="Times New Roman" w:cs="Times New Roman"/>
      <w:bCs/>
      <w:szCs w:val="20"/>
    </w:rPr>
  </w:style>
  <w:style w:type="paragraph" w:styleId="7">
    <w:name w:val="heading 4"/>
    <w:basedOn w:val="1"/>
    <w:next w:val="1"/>
    <w:link w:val="68"/>
    <w:unhideWhenUsed/>
    <w:qFormat/>
    <w:locked/>
    <w:uiPriority w:val="0"/>
    <w:pPr>
      <w:keepNext/>
      <w:keepLines/>
      <w:numPr>
        <w:ilvl w:val="3"/>
        <w:numId w:val="1"/>
      </w:numPr>
      <w:spacing w:before="280" w:after="290" w:line="376" w:lineRule="auto"/>
      <w:outlineLvl w:val="3"/>
    </w:pPr>
    <w:rPr>
      <w:rFonts w:ascii="等线 Light" w:hAnsi="等线 Light" w:eastAsia="等线 Light" w:cs="Times New Roman"/>
      <w:b/>
      <w:bCs/>
      <w:sz w:val="28"/>
      <w:szCs w:val="28"/>
    </w:rPr>
  </w:style>
  <w:style w:type="paragraph" w:styleId="8">
    <w:name w:val="heading 5"/>
    <w:basedOn w:val="1"/>
    <w:next w:val="1"/>
    <w:link w:val="69"/>
    <w:unhideWhenUsed/>
    <w:qFormat/>
    <w:locked/>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70"/>
    <w:unhideWhenUsed/>
    <w:qFormat/>
    <w:locked/>
    <w:uiPriority w:val="0"/>
    <w:pPr>
      <w:keepNext/>
      <w:keepLines/>
      <w:numPr>
        <w:ilvl w:val="5"/>
        <w:numId w:val="1"/>
      </w:numPr>
      <w:spacing w:before="240" w:after="64" w:line="320" w:lineRule="auto"/>
      <w:outlineLvl w:val="5"/>
    </w:pPr>
    <w:rPr>
      <w:rFonts w:ascii="等线 Light" w:hAnsi="等线 Light" w:eastAsia="等线 Light" w:cs="Times New Roman"/>
      <w:b/>
      <w:bCs/>
      <w:sz w:val="24"/>
      <w:szCs w:val="24"/>
    </w:rPr>
  </w:style>
  <w:style w:type="paragraph" w:styleId="10">
    <w:name w:val="heading 7"/>
    <w:basedOn w:val="1"/>
    <w:next w:val="1"/>
    <w:link w:val="71"/>
    <w:unhideWhenUsed/>
    <w:qFormat/>
    <w:locked/>
    <w:uiPriority w:val="0"/>
    <w:pPr>
      <w:keepNext/>
      <w:keepLines/>
      <w:numPr>
        <w:ilvl w:val="6"/>
        <w:numId w:val="1"/>
      </w:numPr>
      <w:spacing w:before="240" w:after="64" w:line="320" w:lineRule="auto"/>
      <w:outlineLvl w:val="6"/>
    </w:pPr>
    <w:rPr>
      <w:b/>
      <w:bCs/>
      <w:sz w:val="24"/>
      <w:szCs w:val="24"/>
    </w:rPr>
  </w:style>
  <w:style w:type="paragraph" w:styleId="11">
    <w:name w:val="heading 8"/>
    <w:basedOn w:val="1"/>
    <w:next w:val="1"/>
    <w:link w:val="72"/>
    <w:unhideWhenUsed/>
    <w:qFormat/>
    <w:locked/>
    <w:uiPriority w:val="0"/>
    <w:pPr>
      <w:keepNext/>
      <w:keepLines/>
      <w:numPr>
        <w:ilvl w:val="7"/>
        <w:numId w:val="1"/>
      </w:numPr>
      <w:spacing w:before="240" w:after="64" w:line="320" w:lineRule="auto"/>
      <w:outlineLvl w:val="7"/>
    </w:pPr>
    <w:rPr>
      <w:rFonts w:ascii="等线 Light" w:hAnsi="等线 Light" w:eastAsia="等线 Light" w:cs="Times New Roman"/>
      <w:sz w:val="24"/>
      <w:szCs w:val="24"/>
    </w:rPr>
  </w:style>
  <w:style w:type="paragraph" w:styleId="12">
    <w:name w:val="heading 9"/>
    <w:basedOn w:val="1"/>
    <w:next w:val="1"/>
    <w:link w:val="73"/>
    <w:unhideWhenUsed/>
    <w:qFormat/>
    <w:locked/>
    <w:uiPriority w:val="0"/>
    <w:pPr>
      <w:keepNext/>
      <w:keepLines/>
      <w:numPr>
        <w:ilvl w:val="8"/>
        <w:numId w:val="1"/>
      </w:numPr>
      <w:spacing w:before="240" w:after="64" w:line="320" w:lineRule="auto"/>
      <w:outlineLvl w:val="8"/>
    </w:pPr>
    <w:rPr>
      <w:rFonts w:ascii="等线 Light" w:hAnsi="等线 Light" w:eastAsia="等线 Light" w:cs="Times New Roman"/>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customStyle="1" w:styleId="3">
    <w:name w:val="章标题"/>
    <w:next w:val="1"/>
    <w:qFormat/>
    <w:uiPriority w:val="99"/>
    <w:pPr>
      <w:spacing w:beforeLines="50" w:afterLines="50"/>
      <w:jc w:val="both"/>
      <w:outlineLvl w:val="1"/>
    </w:pPr>
    <w:rPr>
      <w:rFonts w:ascii="黑体" w:hAnsi="Times New Roman" w:eastAsia="黑体" w:cs="黑体"/>
      <w:sz w:val="21"/>
      <w:szCs w:val="21"/>
      <w:lang w:val="en-US" w:eastAsia="zh-CN" w:bidi="ar-SA"/>
    </w:rPr>
  </w:style>
  <w:style w:type="paragraph" w:customStyle="1" w:styleId="5">
    <w:name w:val="正文1"/>
    <w:basedOn w:val="1"/>
    <w:link w:val="77"/>
    <w:qFormat/>
    <w:uiPriority w:val="0"/>
    <w:pPr>
      <w:autoSpaceDE w:val="0"/>
      <w:autoSpaceDN w:val="0"/>
      <w:adjustRightInd w:val="0"/>
      <w:spacing w:line="360" w:lineRule="auto"/>
      <w:ind w:firstLine="420" w:firstLineChars="200"/>
      <w:jc w:val="left"/>
    </w:pPr>
    <w:rPr>
      <w:rFonts w:ascii="Times New Roman" w:hAnsi="Times New Roman" w:cs="Times New Roman"/>
    </w:rPr>
  </w:style>
  <w:style w:type="paragraph" w:styleId="13">
    <w:name w:val="Normal Indent"/>
    <w:basedOn w:val="1"/>
    <w:unhideWhenUsed/>
    <w:qFormat/>
    <w:uiPriority w:val="99"/>
    <w:pPr>
      <w:ind w:firstLine="420" w:firstLineChars="200"/>
    </w:pPr>
  </w:style>
  <w:style w:type="paragraph" w:styleId="14">
    <w:name w:val="annotation text"/>
    <w:basedOn w:val="1"/>
    <w:link w:val="83"/>
    <w:unhideWhenUsed/>
    <w:qFormat/>
    <w:uiPriority w:val="99"/>
    <w:pPr>
      <w:jc w:val="left"/>
    </w:pPr>
  </w:style>
  <w:style w:type="paragraph" w:styleId="15">
    <w:name w:val="Body Text"/>
    <w:basedOn w:val="1"/>
    <w:link w:val="37"/>
    <w:qFormat/>
    <w:uiPriority w:val="99"/>
    <w:pPr>
      <w:spacing w:line="460" w:lineRule="exact"/>
    </w:pPr>
    <w:rPr>
      <w:rFonts w:ascii="Times New Roman" w:hAnsi="Times New Roman" w:cs="Times New Roman"/>
      <w:kern w:val="0"/>
      <w:sz w:val="24"/>
      <w:szCs w:val="24"/>
      <w:lang w:val="zh-CN"/>
    </w:rPr>
  </w:style>
  <w:style w:type="paragraph" w:styleId="16">
    <w:name w:val="toc 3"/>
    <w:basedOn w:val="1"/>
    <w:next w:val="1"/>
    <w:qFormat/>
    <w:locked/>
    <w:uiPriority w:val="39"/>
    <w:pPr>
      <w:ind w:left="840" w:leftChars="400"/>
    </w:pPr>
  </w:style>
  <w:style w:type="paragraph" w:styleId="17">
    <w:name w:val="Plain Text"/>
    <w:basedOn w:val="1"/>
    <w:link w:val="33"/>
    <w:semiHidden/>
    <w:qFormat/>
    <w:uiPriority w:val="99"/>
    <w:rPr>
      <w:rFonts w:ascii="宋体" w:hAnsi="Courier New" w:cs="Times New Roman"/>
      <w:kern w:val="0"/>
      <w:lang w:val="zh-CN"/>
    </w:rPr>
  </w:style>
  <w:style w:type="paragraph" w:styleId="18">
    <w:name w:val="Date"/>
    <w:basedOn w:val="1"/>
    <w:next w:val="1"/>
    <w:link w:val="81"/>
    <w:unhideWhenUsed/>
    <w:qFormat/>
    <w:uiPriority w:val="99"/>
    <w:pPr>
      <w:ind w:left="100" w:leftChars="2500"/>
    </w:pPr>
  </w:style>
  <w:style w:type="paragraph" w:styleId="19">
    <w:name w:val="Balloon Text"/>
    <w:basedOn w:val="1"/>
    <w:semiHidden/>
    <w:qFormat/>
    <w:uiPriority w:val="0"/>
    <w:rPr>
      <w:sz w:val="18"/>
      <w:szCs w:val="18"/>
    </w:rPr>
  </w:style>
  <w:style w:type="paragraph" w:styleId="20">
    <w:name w:val="footer"/>
    <w:basedOn w:val="1"/>
    <w:link w:val="32"/>
    <w:qFormat/>
    <w:uiPriority w:val="99"/>
    <w:pPr>
      <w:tabs>
        <w:tab w:val="center" w:pos="4153"/>
        <w:tab w:val="right" w:pos="8306"/>
      </w:tabs>
      <w:snapToGrid w:val="0"/>
      <w:jc w:val="left"/>
    </w:pPr>
    <w:rPr>
      <w:rFonts w:cs="Times New Roman"/>
      <w:kern w:val="0"/>
      <w:sz w:val="18"/>
      <w:szCs w:val="18"/>
      <w:lang w:val="zh-CN"/>
    </w:rPr>
  </w:style>
  <w:style w:type="paragraph" w:styleId="21">
    <w:name w:val="header"/>
    <w:basedOn w:val="1"/>
    <w:link w:val="38"/>
    <w:qFormat/>
    <w:uiPriority w:val="99"/>
    <w:pPr>
      <w:tabs>
        <w:tab w:val="center" w:pos="4153"/>
        <w:tab w:val="right" w:pos="8306"/>
      </w:tabs>
      <w:snapToGrid w:val="0"/>
      <w:jc w:val="center"/>
    </w:pPr>
    <w:rPr>
      <w:rFonts w:cs="Times New Roman"/>
      <w:sz w:val="18"/>
      <w:szCs w:val="18"/>
      <w:lang w:val="zh-CN"/>
    </w:rPr>
  </w:style>
  <w:style w:type="paragraph" w:styleId="22">
    <w:name w:val="toc 1"/>
    <w:basedOn w:val="1"/>
    <w:next w:val="1"/>
    <w:qFormat/>
    <w:uiPriority w:val="39"/>
  </w:style>
  <w:style w:type="paragraph" w:styleId="23">
    <w:name w:val="Body Text Indent 3"/>
    <w:basedOn w:val="1"/>
    <w:link w:val="34"/>
    <w:qFormat/>
    <w:uiPriority w:val="99"/>
    <w:pPr>
      <w:spacing w:after="120"/>
      <w:ind w:left="420" w:leftChars="200"/>
    </w:pPr>
    <w:rPr>
      <w:rFonts w:cs="Times New Roman"/>
      <w:kern w:val="0"/>
      <w:sz w:val="16"/>
      <w:szCs w:val="16"/>
      <w:lang w:val="zh-CN"/>
    </w:rPr>
  </w:style>
  <w:style w:type="paragraph" w:styleId="24">
    <w:name w:val="toc 2"/>
    <w:basedOn w:val="1"/>
    <w:next w:val="1"/>
    <w:qFormat/>
    <w:uiPriority w:val="39"/>
    <w:pPr>
      <w:ind w:left="420" w:leftChars="200"/>
    </w:pPr>
  </w:style>
  <w:style w:type="paragraph" w:styleId="25">
    <w:name w:val="Title"/>
    <w:basedOn w:val="3"/>
    <w:next w:val="1"/>
    <w:link w:val="66"/>
    <w:qFormat/>
    <w:locked/>
    <w:uiPriority w:val="0"/>
    <w:pPr>
      <w:spacing w:before="360" w:beforeLines="150" w:after="240" w:afterLines="100"/>
      <w:ind w:left="357"/>
      <w:jc w:val="center"/>
      <w:outlineLvl w:val="9"/>
    </w:pPr>
    <w:rPr>
      <w:rFonts w:ascii="Times New Roman" w:cs="Times New Roman"/>
      <w:sz w:val="32"/>
      <w:szCs w:val="32"/>
    </w:rPr>
  </w:style>
  <w:style w:type="paragraph" w:styleId="26">
    <w:name w:val="annotation subject"/>
    <w:basedOn w:val="14"/>
    <w:next w:val="14"/>
    <w:link w:val="84"/>
    <w:unhideWhenUsed/>
    <w:qFormat/>
    <w:uiPriority w:val="99"/>
    <w:rPr>
      <w:b/>
      <w:bCs/>
    </w:rPr>
  </w:style>
  <w:style w:type="table" w:styleId="28">
    <w:name w:val="Table Grid"/>
    <w:basedOn w:val="27"/>
    <w:qFormat/>
    <w:locked/>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Hyperlink"/>
    <w:qFormat/>
    <w:uiPriority w:val="99"/>
    <w:rPr>
      <w:rFonts w:cs="Times New Roman"/>
      <w:color w:val="0000FF"/>
      <w:u w:val="single"/>
    </w:rPr>
  </w:style>
  <w:style w:type="character" w:styleId="31">
    <w:name w:val="annotation reference"/>
    <w:basedOn w:val="29"/>
    <w:unhideWhenUsed/>
    <w:qFormat/>
    <w:uiPriority w:val="99"/>
    <w:rPr>
      <w:sz w:val="21"/>
      <w:szCs w:val="21"/>
    </w:rPr>
  </w:style>
  <w:style w:type="character" w:customStyle="1" w:styleId="32">
    <w:name w:val="页脚 Char"/>
    <w:link w:val="20"/>
    <w:qFormat/>
    <w:locked/>
    <w:uiPriority w:val="99"/>
    <w:rPr>
      <w:rFonts w:cs="Times New Roman"/>
      <w:sz w:val="18"/>
      <w:szCs w:val="18"/>
    </w:rPr>
  </w:style>
  <w:style w:type="character" w:customStyle="1" w:styleId="33">
    <w:name w:val="纯文本 Char"/>
    <w:link w:val="17"/>
    <w:semiHidden/>
    <w:qFormat/>
    <w:locked/>
    <w:uiPriority w:val="99"/>
    <w:rPr>
      <w:rFonts w:ascii="宋体" w:hAnsi="Courier New" w:eastAsia="宋体" w:cs="宋体"/>
      <w:sz w:val="21"/>
      <w:szCs w:val="21"/>
    </w:rPr>
  </w:style>
  <w:style w:type="character" w:customStyle="1" w:styleId="34">
    <w:name w:val="正文文本缩进 3 Char"/>
    <w:link w:val="23"/>
    <w:qFormat/>
    <w:locked/>
    <w:uiPriority w:val="99"/>
    <w:rPr>
      <w:rFonts w:ascii="Calibri" w:hAnsi="Calibri" w:eastAsia="宋体" w:cs="Calibri"/>
      <w:sz w:val="16"/>
      <w:szCs w:val="16"/>
    </w:rPr>
  </w:style>
  <w:style w:type="character" w:customStyle="1" w:styleId="35">
    <w:name w:val="段 Char"/>
    <w:link w:val="36"/>
    <w:qFormat/>
    <w:locked/>
    <w:uiPriority w:val="99"/>
    <w:rPr>
      <w:rFonts w:ascii="宋体" w:hAnsi="Times New Roman" w:cs="宋体"/>
      <w:sz w:val="21"/>
      <w:szCs w:val="21"/>
      <w:lang w:val="en-US" w:eastAsia="zh-CN" w:bidi="ar-SA"/>
    </w:rPr>
  </w:style>
  <w:style w:type="paragraph" w:customStyle="1" w:styleId="36">
    <w:name w:val="段"/>
    <w:link w:val="35"/>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37">
    <w:name w:val="正文文本 Char"/>
    <w:link w:val="15"/>
    <w:qFormat/>
    <w:locked/>
    <w:uiPriority w:val="99"/>
    <w:rPr>
      <w:rFonts w:ascii="Times New Roman" w:hAnsi="Times New Roman" w:eastAsia="宋体" w:cs="Times New Roman"/>
      <w:sz w:val="24"/>
      <w:szCs w:val="24"/>
    </w:rPr>
  </w:style>
  <w:style w:type="character" w:customStyle="1" w:styleId="38">
    <w:name w:val="页眉 Char"/>
    <w:link w:val="21"/>
    <w:qFormat/>
    <w:locked/>
    <w:uiPriority w:val="99"/>
    <w:rPr>
      <w:rFonts w:cs="Calibri"/>
      <w:kern w:val="2"/>
      <w:sz w:val="18"/>
      <w:szCs w:val="18"/>
    </w:rPr>
  </w:style>
  <w:style w:type="character" w:customStyle="1" w:styleId="39">
    <w:name w:val="发布"/>
    <w:qFormat/>
    <w:uiPriority w:val="99"/>
    <w:rPr>
      <w:rFonts w:ascii="黑体" w:eastAsia="黑体" w:cs="黑体"/>
      <w:spacing w:val="22"/>
      <w:w w:val="100"/>
      <w:position w:val="3"/>
      <w:sz w:val="28"/>
      <w:szCs w:val="28"/>
    </w:rPr>
  </w:style>
  <w:style w:type="paragraph" w:customStyle="1" w:styleId="40">
    <w:name w:val="目录 21"/>
    <w:basedOn w:val="1"/>
    <w:next w:val="1"/>
    <w:qFormat/>
    <w:uiPriority w:val="39"/>
    <w:pPr>
      <w:ind w:left="420" w:leftChars="200"/>
    </w:pPr>
  </w:style>
  <w:style w:type="paragraph" w:customStyle="1" w:styleId="41">
    <w:name w:val="目录 11"/>
    <w:basedOn w:val="1"/>
    <w:next w:val="1"/>
    <w:qFormat/>
    <w:uiPriority w:val="39"/>
  </w:style>
  <w:style w:type="paragraph" w:customStyle="1" w:styleId="4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3">
    <w:name w:val="二级条标题"/>
    <w:basedOn w:val="44"/>
    <w:next w:val="1"/>
    <w:qFormat/>
    <w:uiPriority w:val="99"/>
    <w:pPr>
      <w:outlineLvl w:val="3"/>
    </w:pPr>
  </w:style>
  <w:style w:type="paragraph" w:customStyle="1" w:styleId="44">
    <w:name w:val="一级条标题"/>
    <w:next w:val="1"/>
    <w:qFormat/>
    <w:uiPriority w:val="99"/>
    <w:pPr>
      <w:outlineLvl w:val="2"/>
    </w:pPr>
    <w:rPr>
      <w:rFonts w:ascii="Times New Roman" w:hAnsi="Times New Roman" w:eastAsia="黑体" w:cs="Times New Roman"/>
      <w:sz w:val="21"/>
      <w:szCs w:val="21"/>
      <w:lang w:val="en-US" w:eastAsia="zh-CN" w:bidi="ar-SA"/>
    </w:rPr>
  </w:style>
  <w:style w:type="paragraph" w:customStyle="1" w:styleId="45">
    <w:name w:val="数字编号列项（二级）"/>
    <w:qFormat/>
    <w:uiPriority w:val="99"/>
    <w:pPr>
      <w:numPr>
        <w:ilvl w:val="1"/>
        <w:numId w:val="2"/>
      </w:numPr>
      <w:jc w:val="both"/>
    </w:pPr>
    <w:rPr>
      <w:rFonts w:ascii="宋体" w:hAnsi="Times New Roman" w:eastAsia="宋体" w:cs="宋体"/>
      <w:sz w:val="21"/>
      <w:szCs w:val="21"/>
      <w:lang w:val="en-US" w:eastAsia="zh-CN" w:bidi="ar-SA"/>
    </w:rPr>
  </w:style>
  <w:style w:type="paragraph" w:customStyle="1" w:styleId="46">
    <w:name w:val="列表段落1"/>
    <w:basedOn w:val="1"/>
    <w:qFormat/>
    <w:uiPriority w:val="99"/>
    <w:pPr>
      <w:ind w:firstLine="420" w:firstLineChars="200"/>
    </w:pPr>
  </w:style>
  <w:style w:type="paragraph" w:customStyle="1" w:styleId="47">
    <w:name w:val="标准标志"/>
    <w:next w:val="1"/>
    <w:qFormat/>
    <w:uiPriority w:val="99"/>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bCs/>
      <w:w w:val="130"/>
      <w:sz w:val="96"/>
      <w:szCs w:val="96"/>
      <w:lang w:val="en-US" w:eastAsia="zh-CN" w:bidi="ar-SA"/>
    </w:rPr>
  </w:style>
  <w:style w:type="paragraph" w:customStyle="1" w:styleId="48">
    <w:name w:val="目次、标准名称标题"/>
    <w:basedOn w:val="49"/>
    <w:next w:val="1"/>
    <w:qFormat/>
    <w:uiPriority w:val="99"/>
    <w:pPr>
      <w:spacing w:line="460" w:lineRule="exact"/>
    </w:pPr>
  </w:style>
  <w:style w:type="paragraph" w:customStyle="1" w:styleId="49">
    <w:name w:val="前言、引言标题"/>
    <w:next w:val="1"/>
    <w:qFormat/>
    <w:uiPriority w:val="99"/>
    <w:pPr>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50">
    <w:name w:val="附录标识"/>
    <w:basedOn w:val="1"/>
    <w:next w:val="1"/>
    <w:qFormat/>
    <w:uiPriority w:val="0"/>
    <w:pPr>
      <w:keepNext/>
      <w:widowControl/>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51">
    <w:name w:val="字母编号列项（一级）"/>
    <w:qFormat/>
    <w:uiPriority w:val="99"/>
    <w:pPr>
      <w:numPr>
        <w:ilvl w:val="0"/>
        <w:numId w:val="2"/>
      </w:numPr>
      <w:jc w:val="both"/>
    </w:pPr>
    <w:rPr>
      <w:rFonts w:ascii="宋体" w:hAnsi="Times New Roman" w:eastAsia="宋体" w:cs="宋体"/>
      <w:sz w:val="21"/>
      <w:szCs w:val="21"/>
      <w:lang w:val="en-US" w:eastAsia="zh-CN" w:bidi="ar-SA"/>
    </w:rPr>
  </w:style>
  <w:style w:type="paragraph" w:customStyle="1" w:styleId="52">
    <w:name w:val="其他发布部门"/>
    <w:basedOn w:val="1"/>
    <w:qFormat/>
    <w:uiPriority w:val="99"/>
    <w:pPr>
      <w:framePr w:w="7433" w:h="585" w:hRule="exact" w:hSpace="180" w:vSpace="180" w:wrap="around" w:vAnchor="margin" w:hAnchor="margin" w:xAlign="center" w:y="14401" w:anchorLock="1"/>
      <w:widowControl/>
      <w:spacing w:line="240" w:lineRule="atLeast"/>
      <w:jc w:val="center"/>
    </w:pPr>
    <w:rPr>
      <w:rFonts w:ascii="黑体" w:hAnsi="Times New Roman" w:eastAsia="黑体" w:cs="黑体"/>
      <w:spacing w:val="20"/>
      <w:w w:val="135"/>
      <w:kern w:val="0"/>
      <w:sz w:val="36"/>
      <w:szCs w:val="36"/>
    </w:rPr>
  </w:style>
  <w:style w:type="paragraph" w:customStyle="1" w:styleId="53">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54">
    <w:name w:val="编号列项（三级）"/>
    <w:qFormat/>
    <w:uiPriority w:val="99"/>
    <w:pPr>
      <w:numPr>
        <w:ilvl w:val="2"/>
        <w:numId w:val="2"/>
      </w:numPr>
    </w:pPr>
    <w:rPr>
      <w:rFonts w:ascii="宋体" w:hAnsi="Times New Roman" w:eastAsia="宋体" w:cs="宋体"/>
      <w:sz w:val="21"/>
      <w:szCs w:val="21"/>
      <w:lang w:val="en-US" w:eastAsia="zh-CN" w:bidi="ar-SA"/>
    </w:rPr>
  </w:style>
  <w:style w:type="paragraph" w:customStyle="1" w:styleId="55">
    <w:name w:val="三级条标题"/>
    <w:basedOn w:val="43"/>
    <w:next w:val="1"/>
    <w:qFormat/>
    <w:uiPriority w:val="99"/>
    <w:pPr>
      <w:outlineLvl w:val="4"/>
    </w:pPr>
  </w:style>
  <w:style w:type="paragraph" w:customStyle="1" w:styleId="56">
    <w:name w:val="图表脚注"/>
    <w:next w:val="1"/>
    <w:qFormat/>
    <w:uiPriority w:val="99"/>
    <w:pPr>
      <w:jc w:val="both"/>
    </w:pPr>
    <w:rPr>
      <w:rFonts w:ascii="宋体" w:hAnsi="Times New Roman" w:eastAsia="宋体" w:cs="宋体"/>
      <w:sz w:val="18"/>
      <w:szCs w:val="18"/>
      <w:lang w:val="en-US" w:eastAsia="zh-CN" w:bidi="ar-SA"/>
    </w:rPr>
  </w:style>
  <w:style w:type="paragraph" w:customStyle="1" w:styleId="57">
    <w:name w:val="正文公式编号制表符"/>
    <w:basedOn w:val="36"/>
    <w:next w:val="36"/>
    <w:qFormat/>
    <w:uiPriority w:val="99"/>
    <w:pPr>
      <w:tabs>
        <w:tab w:val="center" w:pos="4201"/>
        <w:tab w:val="right" w:leader="dot" w:pos="9298"/>
      </w:tabs>
      <w:ind w:firstLine="0" w:firstLineChars="0"/>
    </w:pPr>
  </w:style>
  <w:style w:type="paragraph" w:customStyle="1" w:styleId="58">
    <w:name w:val="实施日期"/>
    <w:basedOn w:val="59"/>
    <w:qFormat/>
    <w:uiPriority w:val="99"/>
    <w:pPr>
      <w:framePr w:hSpace="0" w:xAlign="right"/>
      <w:tabs>
        <w:tab w:val="left" w:pos="1008"/>
      </w:tabs>
      <w:ind w:left="1008" w:hanging="1008"/>
      <w:jc w:val="right"/>
    </w:pPr>
  </w:style>
  <w:style w:type="paragraph" w:customStyle="1" w:styleId="59">
    <w:name w:val="发布日期"/>
    <w:qFormat/>
    <w:uiPriority w:val="99"/>
    <w:pPr>
      <w:framePr w:w="4000" w:h="473" w:hRule="exact" w:hSpace="180" w:vSpace="180" w:wrap="around" w:vAnchor="margin" w:hAnchor="margin" w:y="13511" w:anchorLock="1"/>
    </w:pPr>
    <w:rPr>
      <w:rFonts w:ascii="Times New Roman" w:hAnsi="Times New Roman" w:eastAsia="黑体" w:cs="Times New Roman"/>
      <w:sz w:val="28"/>
      <w:szCs w:val="28"/>
      <w:lang w:val="en-US" w:eastAsia="zh-CN" w:bidi="ar-SA"/>
    </w:rPr>
  </w:style>
  <w:style w:type="paragraph" w:customStyle="1" w:styleId="60">
    <w:name w:val="表格内容文字"/>
    <w:basedOn w:val="17"/>
    <w:qFormat/>
    <w:uiPriority w:val="99"/>
    <w:pPr>
      <w:jc w:val="center"/>
    </w:pPr>
    <w:rPr>
      <w:rFonts w:ascii="Times New Roman" w:hAnsi="Times New Roman"/>
      <w:sz w:val="18"/>
      <w:szCs w:val="18"/>
    </w:rPr>
  </w:style>
  <w:style w:type="table" w:customStyle="1" w:styleId="61">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62">
    <w:name w:val="列出段落1"/>
    <w:basedOn w:val="1"/>
    <w:qFormat/>
    <w:uiPriority w:val="1"/>
    <w:pPr>
      <w:autoSpaceDE w:val="0"/>
      <w:autoSpaceDN w:val="0"/>
      <w:ind w:left="535" w:hanging="317"/>
      <w:jc w:val="left"/>
    </w:pPr>
    <w:rPr>
      <w:rFonts w:ascii="宋体" w:hAnsi="宋体" w:cs="宋体"/>
      <w:kern w:val="0"/>
      <w:sz w:val="22"/>
      <w:szCs w:val="22"/>
      <w:lang w:eastAsia="en-US"/>
    </w:rPr>
  </w:style>
  <w:style w:type="paragraph" w:customStyle="1" w:styleId="63">
    <w:name w:val="Table Paragraph"/>
    <w:basedOn w:val="1"/>
    <w:qFormat/>
    <w:uiPriority w:val="1"/>
    <w:pPr>
      <w:autoSpaceDE w:val="0"/>
      <w:autoSpaceDN w:val="0"/>
      <w:jc w:val="center"/>
    </w:pPr>
    <w:rPr>
      <w:rFonts w:ascii="Times New Roman" w:hAnsi="Times New Roman" w:cs="Times New Roman"/>
      <w:kern w:val="0"/>
      <w:sz w:val="18"/>
      <w:szCs w:val="22"/>
      <w:lang w:eastAsia="en-US"/>
    </w:rPr>
  </w:style>
  <w:style w:type="character" w:customStyle="1" w:styleId="64">
    <w:name w:val="标题 2 Char"/>
    <w:link w:val="4"/>
    <w:qFormat/>
    <w:uiPriority w:val="0"/>
    <w:rPr>
      <w:rFonts w:ascii="Times New Roman" w:hAnsi="黑体" w:eastAsia="黑体"/>
      <w:kern w:val="2"/>
      <w:sz w:val="21"/>
    </w:rPr>
  </w:style>
  <w:style w:type="character" w:customStyle="1" w:styleId="65">
    <w:name w:val="标题 1 Char"/>
    <w:link w:val="2"/>
    <w:qFormat/>
    <w:uiPriority w:val="0"/>
    <w:rPr>
      <w:rFonts w:ascii="Times New Roman" w:hAnsi="Times New Roman" w:eastAsia="黑体"/>
      <w:b/>
      <w:sz w:val="21"/>
      <w:szCs w:val="21"/>
    </w:rPr>
  </w:style>
  <w:style w:type="character" w:customStyle="1" w:styleId="66">
    <w:name w:val="标题 Char"/>
    <w:link w:val="25"/>
    <w:qFormat/>
    <w:uiPriority w:val="0"/>
    <w:rPr>
      <w:rFonts w:ascii="Times New Roman" w:hAnsi="Times New Roman" w:eastAsia="黑体"/>
      <w:sz w:val="32"/>
      <w:szCs w:val="32"/>
    </w:rPr>
  </w:style>
  <w:style w:type="character" w:customStyle="1" w:styleId="67">
    <w:name w:val="标题 3 Char"/>
    <w:link w:val="6"/>
    <w:qFormat/>
    <w:uiPriority w:val="0"/>
    <w:rPr>
      <w:rFonts w:ascii="Times New Roman" w:hAnsi="Times New Roman"/>
      <w:bCs/>
      <w:kern w:val="2"/>
      <w:sz w:val="21"/>
    </w:rPr>
  </w:style>
  <w:style w:type="character" w:customStyle="1" w:styleId="68">
    <w:name w:val="标题 4 Char"/>
    <w:link w:val="7"/>
    <w:semiHidden/>
    <w:qFormat/>
    <w:uiPriority w:val="0"/>
    <w:rPr>
      <w:rFonts w:ascii="等线 Light" w:hAnsi="等线 Light" w:eastAsia="等线 Light"/>
      <w:b/>
      <w:bCs/>
      <w:kern w:val="2"/>
      <w:sz w:val="28"/>
      <w:szCs w:val="28"/>
    </w:rPr>
  </w:style>
  <w:style w:type="character" w:customStyle="1" w:styleId="69">
    <w:name w:val="标题 5 Char"/>
    <w:link w:val="8"/>
    <w:semiHidden/>
    <w:qFormat/>
    <w:uiPriority w:val="0"/>
    <w:rPr>
      <w:rFonts w:cs="Calibri"/>
      <w:b/>
      <w:bCs/>
      <w:kern w:val="2"/>
      <w:sz w:val="28"/>
      <w:szCs w:val="28"/>
    </w:rPr>
  </w:style>
  <w:style w:type="character" w:customStyle="1" w:styleId="70">
    <w:name w:val="标题 6 Char"/>
    <w:link w:val="9"/>
    <w:semiHidden/>
    <w:qFormat/>
    <w:uiPriority w:val="0"/>
    <w:rPr>
      <w:rFonts w:ascii="等线 Light" w:hAnsi="等线 Light" w:eastAsia="等线 Light"/>
      <w:b/>
      <w:bCs/>
      <w:kern w:val="2"/>
      <w:sz w:val="24"/>
      <w:szCs w:val="24"/>
    </w:rPr>
  </w:style>
  <w:style w:type="character" w:customStyle="1" w:styleId="71">
    <w:name w:val="标题 7 Char"/>
    <w:link w:val="10"/>
    <w:semiHidden/>
    <w:qFormat/>
    <w:uiPriority w:val="0"/>
    <w:rPr>
      <w:rFonts w:cs="Calibri"/>
      <w:b/>
      <w:bCs/>
      <w:kern w:val="2"/>
      <w:sz w:val="24"/>
      <w:szCs w:val="24"/>
    </w:rPr>
  </w:style>
  <w:style w:type="character" w:customStyle="1" w:styleId="72">
    <w:name w:val="标题 8 Char"/>
    <w:link w:val="11"/>
    <w:semiHidden/>
    <w:qFormat/>
    <w:uiPriority w:val="0"/>
    <w:rPr>
      <w:rFonts w:ascii="等线 Light" w:hAnsi="等线 Light" w:eastAsia="等线 Light"/>
      <w:kern w:val="2"/>
      <w:sz w:val="24"/>
      <w:szCs w:val="24"/>
    </w:rPr>
  </w:style>
  <w:style w:type="character" w:customStyle="1" w:styleId="73">
    <w:name w:val="标题 9 Char"/>
    <w:link w:val="12"/>
    <w:semiHidden/>
    <w:qFormat/>
    <w:uiPriority w:val="0"/>
    <w:rPr>
      <w:rFonts w:ascii="等线 Light" w:hAnsi="等线 Light" w:eastAsia="等线 Light"/>
      <w:kern w:val="2"/>
      <w:sz w:val="21"/>
      <w:szCs w:val="21"/>
    </w:rPr>
  </w:style>
  <w:style w:type="paragraph" w:customStyle="1" w:styleId="74">
    <w:name w:val="标题3"/>
    <w:basedOn w:val="6"/>
    <w:link w:val="75"/>
    <w:qFormat/>
    <w:uiPriority w:val="0"/>
    <w:rPr>
      <w:b/>
      <w:bCs w:val="0"/>
    </w:rPr>
  </w:style>
  <w:style w:type="character" w:customStyle="1" w:styleId="75">
    <w:name w:val="标题3 字符"/>
    <w:link w:val="74"/>
    <w:qFormat/>
    <w:uiPriority w:val="0"/>
    <w:rPr>
      <w:rFonts w:ascii="Times New Roman" w:hAnsi="Times New Roman"/>
      <w:b/>
      <w:kern w:val="2"/>
      <w:sz w:val="21"/>
    </w:rPr>
  </w:style>
  <w:style w:type="paragraph" w:customStyle="1" w:styleId="76">
    <w:name w:val="无间隔1"/>
    <w:qFormat/>
    <w:uiPriority w:val="1"/>
    <w:pPr>
      <w:widowControl w:val="0"/>
      <w:jc w:val="center"/>
    </w:pPr>
    <w:rPr>
      <w:rFonts w:ascii="Times New Roman" w:hAnsi="Times New Roman" w:eastAsia="仿宋" w:cs="Times New Roman"/>
      <w:kern w:val="2"/>
      <w:sz w:val="22"/>
      <w:szCs w:val="22"/>
      <w:lang w:val="en-US" w:eastAsia="zh-CN" w:bidi="ar-SA"/>
    </w:rPr>
  </w:style>
  <w:style w:type="character" w:customStyle="1" w:styleId="77">
    <w:name w:val="正文1 字符"/>
    <w:link w:val="5"/>
    <w:qFormat/>
    <w:uiPriority w:val="0"/>
    <w:rPr>
      <w:rFonts w:ascii="Times New Roman" w:hAnsi="Times New Roman" w:cs="宋体"/>
      <w:kern w:val="2"/>
      <w:sz w:val="21"/>
      <w:szCs w:val="21"/>
      <w:lang w:val="en-US" w:eastAsia="zh-CN" w:bidi="ar-SA"/>
    </w:rPr>
  </w:style>
  <w:style w:type="character" w:customStyle="1" w:styleId="78">
    <w:name w:val="占位符文本1"/>
    <w:basedOn w:val="29"/>
    <w:semiHidden/>
    <w:qFormat/>
    <w:uiPriority w:val="99"/>
    <w:rPr>
      <w:color w:val="808080"/>
    </w:rPr>
  </w:style>
  <w:style w:type="paragraph" w:customStyle="1" w:styleId="79">
    <w:name w:val="附录"/>
    <w:basedOn w:val="5"/>
    <w:link w:val="80"/>
    <w:qFormat/>
    <w:uiPriority w:val="0"/>
    <w:pPr>
      <w:ind w:firstLine="0" w:firstLineChars="0"/>
      <w:jc w:val="center"/>
    </w:pPr>
    <w:rPr>
      <w:rFonts w:ascii="黑体" w:hAnsi="黑体" w:eastAsia="黑体"/>
      <w:b/>
      <w:bCs/>
    </w:rPr>
  </w:style>
  <w:style w:type="character" w:customStyle="1" w:styleId="80">
    <w:name w:val="附录 字符"/>
    <w:basedOn w:val="77"/>
    <w:link w:val="79"/>
    <w:qFormat/>
    <w:uiPriority w:val="0"/>
    <w:rPr>
      <w:rFonts w:ascii="黑体" w:hAnsi="黑体" w:eastAsia="黑体" w:cs="宋体"/>
      <w:b/>
      <w:bCs/>
      <w:kern w:val="2"/>
      <w:sz w:val="21"/>
      <w:szCs w:val="21"/>
      <w:lang w:val="en-US" w:eastAsia="zh-CN" w:bidi="ar-SA"/>
    </w:rPr>
  </w:style>
  <w:style w:type="character" w:customStyle="1" w:styleId="81">
    <w:name w:val="日期 Char"/>
    <w:basedOn w:val="29"/>
    <w:link w:val="18"/>
    <w:semiHidden/>
    <w:qFormat/>
    <w:uiPriority w:val="99"/>
    <w:rPr>
      <w:rFonts w:cs="Calibri"/>
      <w:kern w:val="2"/>
      <w:sz w:val="21"/>
      <w:szCs w:val="21"/>
    </w:rPr>
  </w:style>
  <w:style w:type="paragraph" w:customStyle="1" w:styleId="82">
    <w:name w:val="列表段落2"/>
    <w:basedOn w:val="1"/>
    <w:qFormat/>
    <w:uiPriority w:val="1"/>
    <w:pPr>
      <w:ind w:firstLine="420" w:firstLineChars="200"/>
    </w:pPr>
  </w:style>
  <w:style w:type="character" w:customStyle="1" w:styleId="83">
    <w:name w:val="批注文字 Char"/>
    <w:basedOn w:val="29"/>
    <w:link w:val="14"/>
    <w:semiHidden/>
    <w:qFormat/>
    <w:uiPriority w:val="99"/>
    <w:rPr>
      <w:rFonts w:cs="Calibri"/>
      <w:kern w:val="2"/>
      <w:sz w:val="21"/>
      <w:szCs w:val="21"/>
    </w:rPr>
  </w:style>
  <w:style w:type="character" w:customStyle="1" w:styleId="84">
    <w:name w:val="批注主题 Char"/>
    <w:basedOn w:val="83"/>
    <w:link w:val="26"/>
    <w:semiHidden/>
    <w:qFormat/>
    <w:uiPriority w:val="99"/>
    <w:rPr>
      <w:rFonts w:cs="Calibri"/>
      <w:b/>
      <w:bCs/>
      <w:kern w:val="2"/>
      <w:sz w:val="21"/>
      <w:szCs w:val="21"/>
    </w:rPr>
  </w:style>
  <w:style w:type="paragraph" w:customStyle="1" w:styleId="85">
    <w:name w:val="List Paragraph"/>
    <w:basedOn w:val="1"/>
    <w:qFormat/>
    <w:uiPriority w:val="99"/>
    <w:pPr>
      <w:ind w:firstLine="420" w:firstLineChars="200"/>
    </w:pPr>
  </w:style>
  <w:style w:type="paragraph" w:customStyle="1" w:styleId="86">
    <w:name w:val="Revision"/>
    <w:hidden/>
    <w:semiHidden/>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5.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EF26B7121D3C4198AA72E63182D315" ma:contentTypeVersion="13" ma:contentTypeDescription="Create a new document." ma:contentTypeScope="" ma:versionID="b15bcaf5c667a77ecaa5c24bfe8d0086">
  <xsd:schema xmlns:xsd="http://www.w3.org/2001/XMLSchema" xmlns:xs="http://www.w3.org/2001/XMLSchema" xmlns:p="http://schemas.microsoft.com/office/2006/metadata/properties" xmlns:ns3="2b40563a-1c4e-45bb-a515-a7d43a730624" xmlns:ns4="9aa9cd23-24bf-49ce-891a-cb63b19decf8" targetNamespace="http://schemas.microsoft.com/office/2006/metadata/properties" ma:root="true" ma:fieldsID="9efc7145f0a8b3b80d3800c3f2bf177c" ns3:_="" ns4:_="">
    <xsd:import namespace="2b40563a-1c4e-45bb-a515-a7d43a730624"/>
    <xsd:import namespace="9aa9cd23-24bf-49ce-891a-cb63b19dec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0563a-1c4e-45bb-a515-a7d43a7306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a9cd23-24bf-49ce-891a-cb63b19decf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5B731D-7BCF-4D16-BBB9-6B340EC878E2}">
  <ds:schemaRefs/>
</ds:datastoreItem>
</file>

<file path=customXml/itemProps3.xml><?xml version="1.0" encoding="utf-8"?>
<ds:datastoreItem xmlns:ds="http://schemas.openxmlformats.org/officeDocument/2006/customXml" ds:itemID="{81C2AEBB-26E1-4F35-938C-D4FCB34E540D}">
  <ds:schemaRefs/>
</ds:datastoreItem>
</file>

<file path=customXml/itemProps4.xml><?xml version="1.0" encoding="utf-8"?>
<ds:datastoreItem xmlns:ds="http://schemas.openxmlformats.org/officeDocument/2006/customXml" ds:itemID="{C9ED5B8D-DE85-43FC-88F3-A5F81ABCB388}">
  <ds:schemaRefs/>
</ds:datastoreItem>
</file>

<file path=customXml/itemProps5.xml><?xml version="1.0" encoding="utf-8"?>
<ds:datastoreItem xmlns:ds="http://schemas.openxmlformats.org/officeDocument/2006/customXml" ds:itemID="{7226598C-3FEC-4F6A-AC7C-01829CD1FF8F}">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10</Pages>
  <Words>829</Words>
  <Characters>4728</Characters>
  <Lines>39</Lines>
  <Paragraphs>11</Paragraphs>
  <TotalTime>2</TotalTime>
  <ScaleCrop>false</ScaleCrop>
  <LinksUpToDate>false</LinksUpToDate>
  <CharactersWithSpaces>5546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2020-07-29T02:36:00Z</dcterms:created>
  <dc:creator>DQS</dc:creator>
  <cp:lastModifiedBy>重庆市环保局_办公室_发文秘书</cp:lastModifiedBy>
  <cp:lastPrinted>2020-07-29T02:35:00Z</cp:lastPrinted>
  <dcterms:modified xsi:type="dcterms:W3CDTF">2020-07-30T01:30:48Z</dcterms:modified>
  <dc:title>附件9</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ContentTypeId">
    <vt:lpwstr>0x010100F2EF26B7121D3C4198AA72E63182D315</vt:lpwstr>
  </property>
</Properties>
</file>