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240" w:lineRule="auto"/>
        <w:rPr>
          <w:rFonts w:ascii="黑体" w:hAnsi="黑体" w:eastAsia="黑体"/>
          <w:sz w:val="21"/>
          <w:szCs w:val="21"/>
        </w:rPr>
      </w:pPr>
      <w:r>
        <w:rPr>
          <w:sz w:val="24"/>
        </w:rPr>
        <mc:AlternateContent>
          <mc:Choice Requires="wps">
            <w:drawing>
              <wp:anchor distT="0" distB="0" distL="114300" distR="114300" simplePos="0" relativeHeight="251661312" behindDoc="0" locked="0" layoutInCell="1" allowOverlap="1">
                <wp:simplePos x="0" y="0"/>
                <wp:positionH relativeFrom="column">
                  <wp:posOffset>-139700</wp:posOffset>
                </wp:positionH>
                <wp:positionV relativeFrom="paragraph">
                  <wp:posOffset>7620</wp:posOffset>
                </wp:positionV>
                <wp:extent cx="909320" cy="387350"/>
                <wp:effectExtent l="0" t="0" r="5080" b="8890"/>
                <wp:wrapNone/>
                <wp:docPr id="1" name="文本框 1"/>
                <wp:cNvGraphicFramePr/>
                <a:graphic xmlns:a="http://schemas.openxmlformats.org/drawingml/2006/main">
                  <a:graphicData uri="http://schemas.microsoft.com/office/word/2010/wordprocessingShape">
                    <wps:wsp>
                      <wps:cNvSpPr txBox="1"/>
                      <wps:spPr>
                        <a:xfrm>
                          <a:off x="641350" y="272415"/>
                          <a:ext cx="909320" cy="387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方正黑体_GBK" w:hAnsi="方正黑体_GBK" w:eastAsia="方正黑体_GBK" w:cs="方正黑体_GBK"/>
                                <w:sz w:val="36"/>
                                <w:szCs w:val="36"/>
                                <w:lang w:eastAsia="zh-CN"/>
                              </w:rPr>
                            </w:pPr>
                            <w:r>
                              <w:rPr>
                                <w:rFonts w:hint="eastAsia" w:ascii="方正黑体_GBK" w:hAnsi="方正黑体_GBK" w:eastAsia="方正黑体_GBK" w:cs="方正黑体_GBK"/>
                                <w:sz w:val="36"/>
                                <w:szCs w:val="36"/>
                                <w:lang w:eastAsia="zh-CN"/>
                              </w:rPr>
                              <w:t>附件</w:t>
                            </w:r>
                            <w:r>
                              <w:rPr>
                                <w:rFonts w:hint="eastAsia" w:ascii="方正黑体_GBK" w:hAnsi="方正黑体_GBK" w:eastAsia="方正黑体_GBK" w:cs="方正黑体_GBK"/>
                                <w:sz w:val="36"/>
                                <w:szCs w:val="36"/>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0.6pt;height:30.5pt;width:71.6pt;z-index:251661312;mso-width-relative:page;mso-height-relative:page;" fillcolor="#FFFFFF [3201]" filled="t" stroked="f" coordsize="21600,21600" o:gfxdata="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hAsGdIAAAAIAQAADwAAAAAAAAABACAAAAAiAAAAZHJzL2Rvd25yZXYu&#10;eG1sUEsBAhQAFAAAAAgAh07iQA1B75E6AgAASgQAAA4AAAAAAAAAAQAgAAAAIQEAAGRycy9lMm9E&#10;b2MueG1sUEsFBgAAAAAGAAYAWQEAAM0FAAAAAA==&#10;">
                <v:fill on="t" focussize="0,0"/>
                <v:stroke on="f" weight="0.5pt"/>
                <v:imagedata o:title=""/>
                <o:lock v:ext="edit" aspectratio="f"/>
                <v:textbox>
                  <w:txbxContent>
                    <w:p>
                      <w:pPr>
                        <w:jc w:val="left"/>
                        <w:rPr>
                          <w:rFonts w:hint="eastAsia" w:ascii="方正黑体_GBK" w:hAnsi="方正黑体_GBK" w:eastAsia="方正黑体_GBK" w:cs="方正黑体_GBK"/>
                          <w:sz w:val="36"/>
                          <w:szCs w:val="36"/>
                          <w:lang w:eastAsia="zh-CN"/>
                        </w:rPr>
                      </w:pPr>
                      <w:r>
                        <w:rPr>
                          <w:rFonts w:hint="eastAsia" w:ascii="方正黑体_GBK" w:hAnsi="方正黑体_GBK" w:eastAsia="方正黑体_GBK" w:cs="方正黑体_GBK"/>
                          <w:sz w:val="36"/>
                          <w:szCs w:val="36"/>
                          <w:lang w:eastAsia="zh-CN"/>
                        </w:rPr>
                        <w:t>附件</w:t>
                      </w:r>
                      <w:r>
                        <w:rPr>
                          <w:rFonts w:hint="eastAsia" w:ascii="方正黑体_GBK" w:hAnsi="方正黑体_GBK" w:eastAsia="方正黑体_GBK" w:cs="方正黑体_GBK"/>
                          <w:sz w:val="36"/>
                          <w:szCs w:val="36"/>
                          <w:lang w:val="en-US" w:eastAsia="zh-CN"/>
                        </w:rPr>
                        <w:t>1</w:t>
                      </w:r>
                    </w:p>
                  </w:txbxContent>
                </v:textbox>
              </v:shape>
            </w:pict>
          </mc:Fallback>
        </mc:AlternateContent>
      </w:r>
    </w:p>
    <w:p>
      <w:pPr>
        <w:pStyle w:val="16"/>
        <w:spacing w:line="240" w:lineRule="auto"/>
        <w:rPr>
          <w:rFonts w:ascii="黑体" w:hAnsi="黑体" w:eastAsia="黑体"/>
          <w:sz w:val="21"/>
          <w:szCs w:val="21"/>
        </w:rPr>
      </w:pPr>
    </w:p>
    <w:p>
      <w:pPr>
        <w:pStyle w:val="16"/>
        <w:spacing w:line="240" w:lineRule="auto"/>
        <w:rPr>
          <w:rFonts w:ascii="黑体" w:hAnsi="黑体" w:eastAsia="黑体"/>
          <w:lang w:val="en-US"/>
        </w:rPr>
      </w:pPr>
      <w:r>
        <w:rPr>
          <w:rFonts w:ascii="黑体" w:hAnsi="黑体" w:eastAsia="黑体"/>
          <w:lang w:val="en-US"/>
        </w:rPr>
        <mc:AlternateContent>
          <mc:Choice Requires="wps">
            <w:drawing>
              <wp:anchor distT="0" distB="0" distL="114300" distR="114300" simplePos="0" relativeHeight="251657216" behindDoc="0" locked="1" layoutInCell="1" allowOverlap="1">
                <wp:simplePos x="0" y="0"/>
                <wp:positionH relativeFrom="margin">
                  <wp:posOffset>3002280</wp:posOffset>
                </wp:positionH>
                <wp:positionV relativeFrom="margin">
                  <wp:posOffset>235585</wp:posOffset>
                </wp:positionV>
                <wp:extent cx="3175000" cy="720090"/>
                <wp:effectExtent l="0" t="0" r="0" b="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47"/>
                              <w:wordWrap w:val="0"/>
                              <w:rPr>
                                <w:rFonts w:ascii="黑体" w:hAnsi="黑体" w:eastAsia="黑体"/>
                              </w:rPr>
                            </w:pPr>
                            <w:r>
                              <w:rPr>
                                <w:rFonts w:ascii="黑体" w:hAnsi="黑体" w:eastAsia="黑体"/>
                              </w:rPr>
                              <w:t>DB50</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236.4pt;margin-top:18.55pt;height:56.7pt;width:250pt;mso-position-horizontal-relative:margin;mso-position-vertical-relative:margin;z-index:251657216;mso-width-relative:page;mso-height-relative:page;" fillcolor="#FFFFFF" filled="t" stroked="f" coordsize="21600,21600" o:gfxdata="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Hv+mNgAAAAKAQAADwAAAAAAAAABACAAAAAiAAAAZHJz&#10;L2Rvd25yZXYueG1sUEsBAhQAFAAAAAgAh07iQNa0oKUEAgAA4AMAAA4AAAAAAAAAAQAgAAAAJwEA&#10;AGRycy9lMm9Eb2MueG1sUEsFBgAAAAAGAAYAWQEAAJ0FAAAAAA==&#10;">
                <v:fill on="t" focussize="0,0"/>
                <v:stroke on="f"/>
                <v:imagedata o:title=""/>
                <o:lock v:ext="edit" aspectratio="f"/>
                <v:textbox inset="0mm,0mm,0mm,0mm">
                  <w:txbxContent>
                    <w:p>
                      <w:pPr>
                        <w:pStyle w:val="47"/>
                        <w:wordWrap w:val="0"/>
                        <w:rPr>
                          <w:rFonts w:ascii="黑体" w:hAnsi="黑体" w:eastAsia="黑体"/>
                        </w:rPr>
                      </w:pPr>
                      <w:r>
                        <w:rPr>
                          <w:rFonts w:ascii="黑体" w:hAnsi="黑体" w:eastAsia="黑体"/>
                        </w:rPr>
                        <w:t>DB50</w:t>
                      </w:r>
                    </w:p>
                  </w:txbxContent>
                </v:textbox>
                <w10:anchorlock/>
              </v:shape>
            </w:pict>
          </mc:Fallback>
        </mc:AlternateContent>
      </w:r>
    </w:p>
    <w:p>
      <w:pPr>
        <w:pStyle w:val="16"/>
        <w:spacing w:line="240" w:lineRule="auto"/>
        <w:rPr>
          <w:rFonts w:ascii="黑体" w:hAnsi="黑体" w:eastAsia="黑体"/>
          <w:sz w:val="21"/>
          <w:szCs w:val="21"/>
        </w:rPr>
      </w:pPr>
      <w:r>
        <w:rPr>
          <w:rFonts w:ascii="黑体" w:hAnsi="黑体" w:eastAsia="黑体"/>
          <w:sz w:val="21"/>
          <w:szCs w:val="21"/>
        </w:rPr>
        <w:t>ICS 13.030.20</w:t>
      </w:r>
    </w:p>
    <w:p>
      <w:pPr>
        <w:pStyle w:val="16"/>
        <w:spacing w:line="240" w:lineRule="auto"/>
        <w:rPr>
          <w:rFonts w:ascii="黑体" w:hAnsi="黑体" w:eastAsia="黑体"/>
          <w:sz w:val="21"/>
          <w:szCs w:val="21"/>
        </w:rPr>
      </w:pPr>
      <w:r>
        <w:rPr>
          <w:rFonts w:ascii="黑体" w:hAnsi="黑体" w:eastAsia="黑体"/>
          <w:sz w:val="21"/>
          <w:szCs w:val="21"/>
        </w:rPr>
        <w:t>Z 60</w:t>
      </w:r>
    </w:p>
    <w:p>
      <w:pPr>
        <w:pStyle w:val="16"/>
        <w:spacing w:line="240" w:lineRule="auto"/>
        <w:rPr>
          <w:sz w:val="21"/>
          <w:szCs w:val="21"/>
        </w:rPr>
      </w:pPr>
    </w:p>
    <w:p>
      <w:pPr>
        <w:pStyle w:val="16"/>
        <w:spacing w:before="600" w:beforeLines="250" w:line="360" w:lineRule="auto"/>
        <w:jc w:val="distribute"/>
        <w:rPr>
          <w:rFonts w:eastAsia="黑体"/>
          <w:sz w:val="52"/>
          <w:szCs w:val="52"/>
        </w:rPr>
      </w:pPr>
      <w:r>
        <w:rPr>
          <w:rFonts w:eastAsia="黑体"/>
          <w:sz w:val="52"/>
          <w:szCs w:val="52"/>
        </w:rPr>
        <w:t>重庆市地方标准</w:t>
      </w:r>
    </w:p>
    <w:p>
      <w:pPr>
        <w:pStyle w:val="16"/>
        <w:spacing w:line="360" w:lineRule="auto"/>
        <w:jc w:val="right"/>
        <w:rPr>
          <w:b/>
          <w:bCs/>
          <w:sz w:val="13"/>
          <w:szCs w:val="13"/>
        </w:rPr>
      </w:pPr>
    </w:p>
    <w:p>
      <w:pPr>
        <w:pStyle w:val="16"/>
        <w:spacing w:line="360" w:lineRule="auto"/>
        <w:jc w:val="right"/>
        <w:rPr>
          <w:rFonts w:eastAsia="黑体"/>
          <w:bCs/>
          <w:sz w:val="28"/>
          <w:szCs w:val="28"/>
        </w:rPr>
      </w:pPr>
      <w:r>
        <w:rPr>
          <w:rFonts w:ascii="黑体" w:hAnsi="黑体" w:eastAsia="黑体"/>
          <w:bCs/>
          <w:sz w:val="28"/>
          <w:szCs w:val="28"/>
        </w:rPr>
        <w:t>DB50</w:t>
      </w:r>
      <w:r>
        <w:rPr>
          <w:rFonts w:ascii="黑体" w:hAnsi="黑体" w:eastAsia="黑体"/>
          <w:sz w:val="28"/>
          <w:szCs w:val="28"/>
        </w:rPr>
        <w:t>/</w:t>
      </w:r>
    </w:p>
    <w:p>
      <w:pPr>
        <w:pStyle w:val="16"/>
        <w:spacing w:line="360" w:lineRule="auto"/>
        <w:rPr>
          <w:sz w:val="21"/>
          <w:szCs w:val="21"/>
        </w:rPr>
      </w:pPr>
      <w:r>
        <w:rPr>
          <w:lang w:val="en-US"/>
        </w:rPr>
        <mc:AlternateContent>
          <mc:Choice Requires="wps">
            <w:drawing>
              <wp:anchor distT="0" distB="0" distL="114300" distR="114300" simplePos="0" relativeHeight="251660288" behindDoc="0" locked="1" layoutInCell="1" allowOverlap="1">
                <wp:simplePos x="0" y="0"/>
                <wp:positionH relativeFrom="column">
                  <wp:posOffset>-47625</wp:posOffset>
                </wp:positionH>
                <wp:positionV relativeFrom="paragraph">
                  <wp:posOffset>-99060</wp:posOffset>
                </wp:positionV>
                <wp:extent cx="6043295" cy="13335"/>
                <wp:effectExtent l="0" t="6350" r="14605" b="8890"/>
                <wp:wrapNone/>
                <wp:docPr id="6"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043295" cy="13335"/>
                        </a:xfrm>
                        <a:prstGeom prst="line">
                          <a:avLst/>
                        </a:prstGeom>
                        <a:noFill/>
                        <a:ln w="12700">
                          <a:solidFill>
                            <a:srgbClr val="000000"/>
                          </a:solidFill>
                          <a:round/>
                        </a:ln>
                      </wps:spPr>
                      <wps:bodyPr/>
                    </wps:wsp>
                  </a:graphicData>
                </a:graphic>
              </wp:anchor>
            </w:drawing>
          </mc:Choice>
          <mc:Fallback>
            <w:pict>
              <v:line id="直接连接符 7" o:spid="_x0000_s1026" o:spt="20" style="position:absolute;left:0pt;margin-left:-3.75pt;margin-top:-7.8pt;height:1.05pt;width:475.85pt;z-index:251660288;mso-width-relative:page;mso-height-relative:page;" filled="f" stroked="t" coordsize="21600,21600" o:gfxdata="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rbJm2gAAAAoBAAAPAAAAAAAAAAEAIAAAACIA&#10;AABkcnMvZG93bnJldi54bWxQSwECFAAUAAAACACHTuJAl1ILzM4BAABhAwAADgAAAAAAAAABACAA&#10;AAApAQAAZHJzL2Uyb0RvYy54bWxQSwUGAAAAAAYABgBZAQAAaQUAAAAA&#10;">
                <v:fill on="f" focussize="0,0"/>
                <v:stroke weight="1pt" color="#000000" joinstyle="round"/>
                <v:imagedata o:title=""/>
                <o:lock v:ext="edit" aspectratio="f"/>
                <w10:anchorlock/>
              </v:line>
            </w:pict>
          </mc:Fallback>
        </mc:AlternateContent>
      </w:r>
    </w:p>
    <w:p>
      <w:pPr>
        <w:pStyle w:val="53"/>
        <w:framePr w:w="0" w:hRule="auto" w:wrap="auto" w:vAnchor="margin" w:hAnchor="text" w:xAlign="left" w:yAlign="inline"/>
        <w:spacing w:line="540" w:lineRule="exact"/>
        <w:rPr>
          <w:rFonts w:ascii="Times New Roman" w:cs="Times New Roman"/>
          <w:sz w:val="4"/>
        </w:rPr>
      </w:pPr>
    </w:p>
    <w:p>
      <w:pPr>
        <w:pStyle w:val="53"/>
        <w:framePr w:w="0" w:hRule="auto" w:wrap="auto" w:vAnchor="margin" w:hAnchor="text" w:xAlign="left" w:yAlign="inline"/>
        <w:spacing w:line="540" w:lineRule="exact"/>
        <w:rPr>
          <w:rFonts w:ascii="Times New Roman" w:cs="Times New Roman"/>
          <w:sz w:val="13"/>
        </w:rPr>
      </w:pPr>
    </w:p>
    <w:p>
      <w:pPr>
        <w:pStyle w:val="53"/>
        <w:framePr w:w="0" w:hRule="auto" w:wrap="auto" w:vAnchor="margin" w:hAnchor="text" w:xAlign="left" w:yAlign="inline"/>
        <w:spacing w:line="540" w:lineRule="exact"/>
        <w:rPr>
          <w:rFonts w:ascii="Times New Roman" w:cs="Times New Roman"/>
          <w:sz w:val="13"/>
        </w:rPr>
      </w:pPr>
    </w:p>
    <w:p>
      <w:pPr>
        <w:adjustRightInd w:val="0"/>
        <w:snapToGrid w:val="0"/>
        <w:spacing w:line="360" w:lineRule="auto"/>
        <w:jc w:val="center"/>
        <w:rPr>
          <w:rFonts w:ascii="Times New Roman" w:hAnsi="Times New Roman" w:eastAsia="黑体" w:cs="Times New Roman"/>
          <w:kern w:val="0"/>
          <w:sz w:val="48"/>
          <w:szCs w:val="48"/>
        </w:rPr>
      </w:pPr>
      <w:r>
        <w:rPr>
          <w:rFonts w:hint="eastAsia" w:ascii="Times New Roman" w:hAnsi="Times New Roman" w:eastAsia="黑体" w:cs="Times New Roman"/>
          <w:kern w:val="0"/>
          <w:sz w:val="48"/>
          <w:szCs w:val="48"/>
        </w:rPr>
        <w:t>榨菜行业水污染物排放标准</w:t>
      </w:r>
    </w:p>
    <w:p>
      <w:pPr>
        <w:pStyle w:val="16"/>
        <w:spacing w:line="480" w:lineRule="auto"/>
        <w:jc w:val="center"/>
        <w:rPr>
          <w:rFonts w:eastAsia="黑体"/>
          <w:b/>
          <w:sz w:val="28"/>
          <w:szCs w:val="28"/>
          <w:lang w:val="en-US"/>
        </w:rPr>
      </w:pPr>
      <w:r>
        <w:rPr>
          <w:rFonts w:hint="eastAsia" w:eastAsia="黑体"/>
          <w:b/>
          <w:sz w:val="28"/>
          <w:szCs w:val="28"/>
          <w:lang w:val="en-US"/>
        </w:rPr>
        <w:t>Discharge standard of water pollutants for mustard tuber industry</w:t>
      </w:r>
    </w:p>
    <w:p>
      <w:pPr>
        <w:pStyle w:val="16"/>
        <w:spacing w:line="480" w:lineRule="auto"/>
        <w:jc w:val="center"/>
        <w:rPr>
          <w:rFonts w:eastAsia="黑体"/>
          <w:b/>
          <w:sz w:val="28"/>
          <w:szCs w:val="28"/>
          <w:lang w:val="en-US"/>
        </w:rPr>
      </w:pPr>
    </w:p>
    <w:p>
      <w:pPr>
        <w:pStyle w:val="16"/>
        <w:spacing w:line="480" w:lineRule="auto"/>
        <w:jc w:val="center"/>
        <w:rPr>
          <w:rFonts w:eastAsia="黑体"/>
          <w:sz w:val="28"/>
          <w:szCs w:val="28"/>
        </w:rPr>
      </w:pPr>
      <w:r>
        <w:rPr>
          <w:rFonts w:eastAsia="黑体"/>
          <w:sz w:val="28"/>
          <w:szCs w:val="28"/>
        </w:rPr>
        <w:t>（</w:t>
      </w:r>
      <w:r>
        <w:rPr>
          <w:rFonts w:hint="eastAsia" w:eastAsia="黑体"/>
          <w:sz w:val="28"/>
          <w:szCs w:val="28"/>
        </w:rPr>
        <w:t>征求意见</w:t>
      </w:r>
      <w:r>
        <w:rPr>
          <w:rFonts w:eastAsia="黑体"/>
          <w:sz w:val="28"/>
          <w:szCs w:val="28"/>
        </w:rPr>
        <w:t>稿）</w:t>
      </w:r>
    </w:p>
    <w:p>
      <w:pPr>
        <w:pStyle w:val="16"/>
        <w:spacing w:line="480" w:lineRule="auto"/>
        <w:rPr>
          <w:sz w:val="21"/>
          <w:szCs w:val="21"/>
        </w:rPr>
      </w:pPr>
    </w:p>
    <w:p>
      <w:pPr>
        <w:pStyle w:val="16"/>
        <w:spacing w:line="480" w:lineRule="auto"/>
        <w:rPr>
          <w:sz w:val="21"/>
          <w:szCs w:val="21"/>
        </w:rPr>
      </w:pPr>
    </w:p>
    <w:p>
      <w:pPr>
        <w:pStyle w:val="16"/>
        <w:spacing w:line="480" w:lineRule="auto"/>
        <w:rPr>
          <w:sz w:val="21"/>
          <w:szCs w:val="21"/>
        </w:rPr>
      </w:pPr>
    </w:p>
    <w:p>
      <w:pPr>
        <w:pStyle w:val="16"/>
        <w:spacing w:line="480" w:lineRule="auto"/>
        <w:rPr>
          <w:sz w:val="21"/>
          <w:szCs w:val="21"/>
        </w:rPr>
      </w:pPr>
    </w:p>
    <w:p>
      <w:pPr>
        <w:pStyle w:val="16"/>
        <w:spacing w:line="480" w:lineRule="auto"/>
        <w:rPr>
          <w:sz w:val="21"/>
          <w:szCs w:val="21"/>
        </w:rPr>
      </w:pPr>
    </w:p>
    <w:p>
      <w:pPr>
        <w:pStyle w:val="16"/>
        <w:spacing w:line="480" w:lineRule="auto"/>
        <w:rPr>
          <w:sz w:val="21"/>
          <w:szCs w:val="21"/>
        </w:rPr>
      </w:pPr>
    </w:p>
    <w:p>
      <w:pPr>
        <w:pStyle w:val="16"/>
        <w:spacing w:line="480" w:lineRule="auto"/>
        <w:rPr>
          <w:sz w:val="21"/>
          <w:szCs w:val="21"/>
        </w:rPr>
      </w:pPr>
    </w:p>
    <w:p>
      <w:pPr>
        <w:pStyle w:val="16"/>
        <w:spacing w:line="480" w:lineRule="auto"/>
        <w:rPr>
          <w:sz w:val="21"/>
          <w:szCs w:val="21"/>
        </w:rPr>
      </w:pPr>
    </w:p>
    <w:p>
      <w:pPr>
        <w:pStyle w:val="16"/>
        <w:spacing w:line="480" w:lineRule="auto"/>
        <w:rPr>
          <w:sz w:val="21"/>
          <w:szCs w:val="21"/>
        </w:rPr>
      </w:pPr>
    </w:p>
    <w:p>
      <w:pPr>
        <w:pStyle w:val="16"/>
        <w:spacing w:line="480" w:lineRule="auto"/>
        <w:rPr>
          <w:sz w:val="21"/>
          <w:szCs w:val="21"/>
        </w:rPr>
      </w:pPr>
    </w:p>
    <w:p>
      <w:pPr>
        <w:pStyle w:val="16"/>
        <w:spacing w:line="480" w:lineRule="auto"/>
        <w:rPr>
          <w:sz w:val="13"/>
        </w:rPr>
      </w:pPr>
    </w:p>
    <w:p>
      <w:pPr>
        <w:tabs>
          <w:tab w:val="left" w:pos="6655"/>
        </w:tabs>
        <w:spacing w:before="163"/>
        <w:ind w:left="254"/>
        <w:rPr>
          <w:rFonts w:ascii="Times New Roman" w:hAnsi="Times New Roman" w:eastAsia="黑体" w:cs="Times New Roman"/>
          <w:sz w:val="28"/>
        </w:rPr>
      </w:pPr>
      <w:r>
        <w:rPr>
          <w:rFonts w:ascii="黑体" w:hAnsi="黑体" w:eastAsia="黑体" w:cs="Times New Roman"/>
          <w:sz w:val="28"/>
        </w:rPr>
        <w:t>20XX - XX - XX</w:t>
      </w:r>
      <w:r>
        <w:rPr>
          <w:rFonts w:ascii="黑体" w:hAnsi="黑体" w:eastAsia="黑体" w:cs="Times New Roman"/>
          <w:spacing w:val="-5"/>
          <w:sz w:val="28"/>
        </w:rPr>
        <w:t xml:space="preserve"> </w:t>
      </w:r>
      <w:r>
        <w:rPr>
          <w:rFonts w:ascii="黑体" w:hAnsi="黑体" w:eastAsia="黑体" w:cs="Times New Roman"/>
          <w:sz w:val="28"/>
        </w:rPr>
        <w:t>发布</w:t>
      </w:r>
      <w:r>
        <w:rPr>
          <w:rFonts w:ascii="Times New Roman" w:hAnsi="Times New Roman" w:eastAsia="黑体" w:cs="Times New Roman"/>
          <w:sz w:val="28"/>
        </w:rPr>
        <w:tab/>
      </w:r>
      <w:r>
        <w:rPr>
          <w:rFonts w:ascii="黑体" w:hAnsi="黑体" w:eastAsia="黑体" w:cs="Times New Roman"/>
          <w:position w:val="-4"/>
          <w:sz w:val="28"/>
        </w:rPr>
        <w:t>20XX -</w:t>
      </w:r>
      <w:r>
        <w:rPr>
          <w:rFonts w:ascii="黑体" w:hAnsi="黑体" w:eastAsia="黑体" w:cs="Times New Roman"/>
          <w:spacing w:val="-1"/>
          <w:position w:val="-4"/>
          <w:sz w:val="28"/>
        </w:rPr>
        <w:t xml:space="preserve"> </w:t>
      </w:r>
      <w:r>
        <w:rPr>
          <w:rFonts w:ascii="黑体" w:hAnsi="黑体" w:eastAsia="黑体" w:cs="Times New Roman"/>
          <w:position w:val="-4"/>
          <w:sz w:val="28"/>
        </w:rPr>
        <w:t>XX -</w:t>
      </w:r>
      <w:r>
        <w:rPr>
          <w:rFonts w:ascii="黑体" w:hAnsi="黑体" w:eastAsia="黑体" w:cs="Times New Roman"/>
          <w:spacing w:val="-2"/>
          <w:position w:val="-4"/>
          <w:sz w:val="28"/>
        </w:rPr>
        <w:t xml:space="preserve"> </w:t>
      </w:r>
      <w:r>
        <w:rPr>
          <w:rFonts w:ascii="黑体" w:hAnsi="黑体" w:eastAsia="黑体" w:cs="Times New Roman"/>
          <w:position w:val="-4"/>
          <w:sz w:val="28"/>
        </w:rPr>
        <w:t>XX</w:t>
      </w:r>
      <w:r>
        <w:rPr>
          <w:rFonts w:ascii="黑体" w:hAnsi="黑体" w:eastAsia="黑体" w:cs="Times New Roman"/>
          <w:spacing w:val="-2"/>
          <w:position w:val="-4"/>
          <w:sz w:val="28"/>
        </w:rPr>
        <w:t xml:space="preserve"> </w:t>
      </w:r>
      <w:r>
        <w:rPr>
          <w:rFonts w:ascii="黑体" w:hAnsi="黑体" w:eastAsia="黑体" w:cs="Times New Roman"/>
          <w:position w:val="-4"/>
          <w:sz w:val="28"/>
        </w:rPr>
        <w:t>实施</w:t>
      </w:r>
    </w:p>
    <w:p>
      <w:pPr>
        <w:pStyle w:val="16"/>
        <w:spacing w:line="480" w:lineRule="auto"/>
        <w:ind w:firstLine="880"/>
      </w:pPr>
      <w:r>
        <w:rPr>
          <w:rFonts w:eastAsia="黑体"/>
          <w:sz w:val="44"/>
          <w:szCs w:val="44"/>
          <w:lang w:val="en-US"/>
        </w:rPr>
        <mc:AlternateContent>
          <mc:Choice Requires="wps">
            <w:drawing>
              <wp:anchor distT="0" distB="0" distL="114300" distR="114300" simplePos="0" relativeHeight="251659264" behindDoc="0" locked="0" layoutInCell="1" allowOverlap="1">
                <wp:simplePos x="0" y="0"/>
                <wp:positionH relativeFrom="column">
                  <wp:posOffset>689610</wp:posOffset>
                </wp:positionH>
                <wp:positionV relativeFrom="paragraph">
                  <wp:posOffset>170815</wp:posOffset>
                </wp:positionV>
                <wp:extent cx="3952875" cy="693420"/>
                <wp:effectExtent l="0" t="0" r="9525"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952875" cy="693420"/>
                        </a:xfrm>
                        <a:prstGeom prst="rect">
                          <a:avLst/>
                        </a:prstGeom>
                        <a:solidFill>
                          <a:srgbClr val="FFFFFF"/>
                        </a:solidFill>
                        <a:ln>
                          <a:noFill/>
                        </a:ln>
                      </wps:spPr>
                      <wps:txbx>
                        <w:txbxContent>
                          <w:p>
                            <w:pPr>
                              <w:pStyle w:val="52"/>
                              <w:jc w:val="distribute"/>
                              <w:rPr>
                                <w:b/>
                                <w:bCs/>
                                <w:spacing w:val="0"/>
                              </w:rPr>
                            </w:pPr>
                            <w:r>
                              <w:rPr>
                                <w:rFonts w:hint="eastAsia"/>
                                <w:b/>
                                <w:bCs/>
                                <w:spacing w:val="0"/>
                              </w:rPr>
                              <w:t>重庆市生态环境局</w:t>
                            </w:r>
                          </w:p>
                          <w:p>
                            <w:pPr>
                              <w:pStyle w:val="52"/>
                              <w:jc w:val="distribute"/>
                              <w:rPr>
                                <w:rFonts w:cs="Times New Roman"/>
                                <w:b/>
                                <w:bCs/>
                                <w:spacing w:val="0"/>
                              </w:rPr>
                            </w:pPr>
                            <w:r>
                              <w:rPr>
                                <w:rFonts w:hint="eastAsia"/>
                                <w:b/>
                                <w:bCs/>
                                <w:spacing w:val="0"/>
                              </w:rPr>
                              <w:t>重庆市市场监督管理</w:t>
                            </w:r>
                            <w:r>
                              <w:rPr>
                                <w:rFonts w:hint="eastAsia"/>
                                <w:b/>
                              </w:rPr>
                              <w:t>局</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54.3pt;margin-top:13.45pt;height:54.6pt;width:311.25pt;z-index:251659264;mso-width-relative:page;mso-height-relative:page;" fillcolor="#FFFFFF" filled="t" stroked="f" coordsize="21600,21600" o:gfxdata="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RR9M/YAAAACgEAAA8AAAAAAAAAAQAgAAAAIgAA&#10;AGRycy9kb3ducmV2LnhtbFBLAQIUABQAAAAIAIdO4kAqGoRXCAIAAOADAAAOAAAAAAAAAAEAIAAA&#10;ACcBAABkcnMvZTJvRG9jLnhtbFBLBQYAAAAABgAGAFkBAAChBQAAAAA=&#10;">
                <v:fill on="t" focussize="0,0"/>
                <v:stroke on="f"/>
                <v:imagedata o:title=""/>
                <o:lock v:ext="edit" aspectratio="f"/>
                <v:textbox inset="0mm,0mm,0mm,0mm">
                  <w:txbxContent>
                    <w:p>
                      <w:pPr>
                        <w:pStyle w:val="52"/>
                        <w:jc w:val="distribute"/>
                        <w:rPr>
                          <w:b/>
                          <w:bCs/>
                          <w:spacing w:val="0"/>
                        </w:rPr>
                      </w:pPr>
                      <w:r>
                        <w:rPr>
                          <w:rFonts w:hint="eastAsia"/>
                          <w:b/>
                          <w:bCs/>
                          <w:spacing w:val="0"/>
                        </w:rPr>
                        <w:t>重庆市生态环境局</w:t>
                      </w:r>
                    </w:p>
                    <w:p>
                      <w:pPr>
                        <w:pStyle w:val="52"/>
                        <w:jc w:val="distribute"/>
                        <w:rPr>
                          <w:rFonts w:cs="Times New Roman"/>
                          <w:b/>
                          <w:bCs/>
                          <w:spacing w:val="0"/>
                        </w:rPr>
                      </w:pPr>
                      <w:r>
                        <w:rPr>
                          <w:rFonts w:hint="eastAsia"/>
                          <w:b/>
                          <w:bCs/>
                          <w:spacing w:val="0"/>
                        </w:rPr>
                        <w:t>重庆市市场监督管理</w:t>
                      </w:r>
                      <w:r>
                        <w:rPr>
                          <w:rFonts w:hint="eastAsia"/>
                          <w:b/>
                        </w:rPr>
                        <w:t>局</w:t>
                      </w:r>
                    </w:p>
                  </w:txbxContent>
                </v:textbox>
              </v:shape>
            </w:pict>
          </mc:Fallback>
        </mc:AlternateContent>
      </w:r>
      <w:r>
        <w:rPr>
          <w:lang w:val="en-US"/>
        </w:rPr>
        <mc:AlternateContent>
          <mc:Choice Requires="wps">
            <w:drawing>
              <wp:anchor distT="0" distB="0" distL="114300" distR="114300" simplePos="0" relativeHeight="251656192" behindDoc="0" locked="0" layoutInCell="1" allowOverlap="1">
                <wp:simplePos x="0" y="0"/>
                <wp:positionH relativeFrom="column">
                  <wp:posOffset>4674870</wp:posOffset>
                </wp:positionH>
                <wp:positionV relativeFrom="paragraph">
                  <wp:posOffset>295910</wp:posOffset>
                </wp:positionV>
                <wp:extent cx="666750" cy="450215"/>
                <wp:effectExtent l="3175" t="2540" r="6350" b="4445"/>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66750" cy="450215"/>
                        </a:xfrm>
                        <a:prstGeom prst="rect">
                          <a:avLst/>
                        </a:prstGeom>
                        <a:solidFill>
                          <a:srgbClr val="FFFFFF">
                            <a:alpha val="0"/>
                          </a:srgbClr>
                        </a:solidFill>
                        <a:ln>
                          <a:noFill/>
                        </a:ln>
                      </wps:spPr>
                      <wps:txbx>
                        <w:txbxContent>
                          <w:p>
                            <w:pPr>
                              <w:rPr>
                                <w:rFonts w:cs="Times New Roman"/>
                                <w:b/>
                                <w:bCs/>
                                <w:sz w:val="28"/>
                                <w:szCs w:val="28"/>
                              </w:rPr>
                            </w:pPr>
                            <w:r>
                              <w:rPr>
                                <w:rFonts w:hint="eastAsia" w:cs="宋体"/>
                                <w:b/>
                                <w:bCs/>
                                <w:sz w:val="28"/>
                                <w:szCs w:val="28"/>
                              </w:rPr>
                              <w:t>发布</w:t>
                            </w:r>
                          </w:p>
                        </w:txbxContent>
                      </wps:txbx>
                      <wps:bodyPr rot="0" vert="horz" wrap="square" lIns="91440" tIns="36000" rIns="91440" bIns="45720" anchor="t" anchorCtr="0" upright="1">
                        <a:noAutofit/>
                      </wps:bodyPr>
                    </wps:wsp>
                  </a:graphicData>
                </a:graphic>
              </wp:anchor>
            </w:drawing>
          </mc:Choice>
          <mc:Fallback>
            <w:pict>
              <v:shape id="文本框 2" o:spid="_x0000_s1026" o:spt="202" type="#_x0000_t202" style="position:absolute;left:0pt;margin-left:368.1pt;margin-top:23.3pt;height:35.45pt;width:52.5pt;z-index:251656192;mso-width-relative:page;mso-height-relative:page;" fillcolor="#FFFFFF" filled="t" stroked="f" coordsize="21600,21600" o:gfxdata="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E5c9oA&#10;AAAKAQAADwAAAAAAAAABACAAAAAiAAAAZHJzL2Rvd25yZXYueG1sUEsBAhQAFAAAAAgAh07iQAhT&#10;oRgdAgAADAQAAA4AAAAAAAAAAQAgAAAAKQEAAGRycy9lMm9Eb2MueG1sUEsFBgAAAAAGAAYAWQEA&#10;ALgFAAAAAA==&#10;">
                <v:fill on="t" opacity="0f" focussize="0,0"/>
                <v:stroke on="f"/>
                <v:imagedata o:title=""/>
                <o:lock v:ext="edit" aspectratio="f"/>
                <v:textbox inset="2.54mm,1mm,2.54mm,1.27mm">
                  <w:txbxContent>
                    <w:p>
                      <w:pPr>
                        <w:rPr>
                          <w:rFonts w:cs="Times New Roman"/>
                          <w:b/>
                          <w:bCs/>
                          <w:sz w:val="28"/>
                          <w:szCs w:val="28"/>
                        </w:rPr>
                      </w:pPr>
                      <w:r>
                        <w:rPr>
                          <w:rFonts w:hint="eastAsia" w:cs="宋体"/>
                          <w:b/>
                          <w:bCs/>
                          <w:sz w:val="28"/>
                          <w:szCs w:val="28"/>
                        </w:rPr>
                        <w:t>发布</w:t>
                      </w:r>
                    </w:p>
                  </w:txbxContent>
                </v:textbox>
              </v:shape>
            </w:pict>
          </mc:Fallback>
        </mc:AlternateContent>
      </w:r>
      <w:r>
        <w:rPr>
          <w:lang w:val="en-US"/>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45085</wp:posOffset>
                </wp:positionV>
                <wp:extent cx="6120130" cy="0"/>
                <wp:effectExtent l="14605" t="8890" r="8890" b="10160"/>
                <wp:wrapNone/>
                <wp:docPr id="3"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left:1.5pt;margin-top:3.55pt;height:0pt;width:481.9pt;z-index:251658240;mso-width-relative:page;mso-height-relative:page;" filled="f" stroked="t" coordsize="21600,21600" o:gfxdata="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5lUL9UAAAAFAQAADwAAAAAAAAABACAAAAAiAAAAZHJzL2Rvd25y&#10;ZXYueG1sUEsBAhQAFAAAAAgAh07iQAeJbZ7IAQAAXQMAAA4AAAAAAAAAAQAgAAAAJAEAAGRycy9l&#10;Mm9Eb2MueG1sUEsFBgAAAAAGAAYAWQEAAF4FAAAAAA==&#10;">
                <v:fill on="f" focussize="0,0"/>
                <v:stroke weight="1pt" color="#000000" joinstyle="round"/>
                <v:imagedata o:title=""/>
                <o:lock v:ext="edit" aspectratio="f"/>
              </v:line>
            </w:pict>
          </mc:Fallback>
        </mc:AlternateContent>
      </w:r>
      <w:r>
        <w:rPr>
          <w:lang w:val="en-US"/>
        </w:rPr>
        <mc:AlternateContent>
          <mc:Choice Requires="wps">
            <w:drawing>
              <wp:anchor distT="0" distB="0" distL="114300" distR="114300" simplePos="0" relativeHeight="251655168" behindDoc="0" locked="1" layoutInCell="1" allowOverlap="1">
                <wp:simplePos x="0" y="0"/>
                <wp:positionH relativeFrom="column">
                  <wp:posOffset>0</wp:posOffset>
                </wp:positionH>
                <wp:positionV relativeFrom="paragraph">
                  <wp:posOffset>325755</wp:posOffset>
                </wp:positionV>
                <wp:extent cx="5943600" cy="0"/>
                <wp:effectExtent l="14605" t="13335" r="13970" b="1524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FFFF"/>
                          </a:solidFill>
                          <a:round/>
                        </a:ln>
                      </wps:spPr>
                      <wps:bodyPr/>
                    </wps:wsp>
                  </a:graphicData>
                </a:graphic>
              </wp:anchor>
            </w:drawing>
          </mc:Choice>
          <mc:Fallback>
            <w:pict>
              <v:line id="直接连接符 1" o:spid="_x0000_s1026" o:spt="20" style="position:absolute;left:0pt;margin-left:0pt;margin-top:25.65pt;height:0pt;width:468pt;z-index:251655168;mso-width-relative:page;mso-height-relative:page;" filled="f" stroked="t" coordsize="21600,21600" o:gfxdata="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5FPLb1AAAAAYBAAAPAAAAAAAAAAEAIAAAACIAAABkcnMvZG93bnJl&#10;di54bWxQSwECFAAUAAAACACHTuJA/gTNO8gBAABdAwAADgAAAAAAAAABACAAAAAjAQAAZHJzL2Uy&#10;b0RvYy54bWxQSwUGAAAAAAYABgBZAQAAXQUAAAAA&#10;">
                <v:fill on="f" focussize="0,0"/>
                <v:stroke weight="1pt" color="#FFFFFF" joinstyle="round"/>
                <v:imagedata o:title=""/>
                <o:lock v:ext="edit" aspectratio="f"/>
                <w10:anchorlock/>
              </v:line>
            </w:pict>
          </mc:Fallback>
        </mc:AlternateContent>
      </w:r>
    </w:p>
    <w:p>
      <w:pPr>
        <w:pStyle w:val="16"/>
        <w:spacing w:line="360" w:lineRule="auto"/>
        <w:ind w:firstLine="480"/>
        <w:sectPr>
          <w:headerReference r:id="rId3" w:type="default"/>
          <w:footerReference r:id="rId5" w:type="default"/>
          <w:headerReference r:id="rId4" w:type="even"/>
          <w:footerReference r:id="rId6" w:type="even"/>
          <w:pgSz w:w="11906" w:h="16838"/>
          <w:pgMar w:top="567" w:right="1134" w:bottom="1134" w:left="1418" w:header="1134" w:footer="851" w:gutter="0"/>
          <w:pgNumType w:fmt="upperRoman" w:start="1"/>
          <w:cols w:space="720" w:num="1"/>
          <w:titlePg/>
          <w:docGrid w:linePitch="312" w:charSpace="0"/>
        </w:sectPr>
      </w:pPr>
    </w:p>
    <w:p>
      <w:pPr>
        <w:pStyle w:val="48"/>
        <w:spacing w:before="0"/>
        <w:outlineLvl w:val="9"/>
        <w:rPr>
          <w:rFonts w:ascii="Times New Roman" w:cs="Times New Roman"/>
        </w:rPr>
      </w:pPr>
      <w:bookmarkStart w:id="0" w:name="_Toc217901507"/>
      <w:bookmarkStart w:id="1" w:name="_Toc211314240"/>
      <w:bookmarkStart w:id="2" w:name="_Toc287880311"/>
      <w:bookmarkStart w:id="3" w:name="_Toc107826789"/>
      <w:bookmarkStart w:id="4" w:name="_Toc442168286"/>
      <w:bookmarkStart w:id="5" w:name="_Toc303151707"/>
      <w:bookmarkStart w:id="6" w:name="_Toc206845518"/>
      <w:r>
        <w:rPr>
          <w:rFonts w:ascii="Times New Roman" w:cs="Times New Roman"/>
        </w:rPr>
        <w:t>目  次</w:t>
      </w:r>
      <w:bookmarkEnd w:id="0"/>
      <w:bookmarkEnd w:id="1"/>
      <w:bookmarkEnd w:id="2"/>
      <w:bookmarkEnd w:id="3"/>
      <w:bookmarkEnd w:id="4"/>
      <w:bookmarkEnd w:id="5"/>
      <w:bookmarkEnd w:id="6"/>
    </w:p>
    <w:p>
      <w:pPr>
        <w:pStyle w:val="23"/>
        <w:tabs>
          <w:tab w:val="right" w:leader="dot" w:pos="9344"/>
        </w:tabs>
        <w:spacing w:line="360" w:lineRule="auto"/>
        <w:rPr>
          <w:rFonts w:asciiTheme="minorHAnsi" w:hAnsiTheme="minorHAnsi" w:eastAsiaTheme="minorEastAsia" w:cstheme="minorBidi"/>
          <w:szCs w:val="22"/>
        </w:rPr>
      </w:pPr>
      <w:r>
        <w:rPr>
          <w:rFonts w:ascii="宋体" w:hAnsi="宋体" w:cs="Times New Roman"/>
          <w:kern w:val="0"/>
          <w:szCs w:val="32"/>
        </w:rPr>
        <w:fldChar w:fldCharType="begin"/>
      </w:r>
      <w:r>
        <w:rPr>
          <w:rFonts w:ascii="宋体" w:hAnsi="宋体" w:cs="Times New Roman"/>
          <w:kern w:val="0"/>
          <w:szCs w:val="32"/>
        </w:rPr>
        <w:instrText xml:space="preserve"> TOC \o "1-1" \h \z \u </w:instrText>
      </w:r>
      <w:r>
        <w:rPr>
          <w:rFonts w:ascii="宋体" w:hAnsi="宋体" w:cs="Times New Roman"/>
          <w:kern w:val="0"/>
          <w:szCs w:val="32"/>
        </w:rPr>
        <w:fldChar w:fldCharType="separate"/>
      </w:r>
      <w:r>
        <w:fldChar w:fldCharType="begin"/>
      </w:r>
      <w:r>
        <w:instrText xml:space="preserve"> HYPERLINK \l "_Toc29243784" </w:instrText>
      </w:r>
      <w:r>
        <w:fldChar w:fldCharType="separate"/>
      </w:r>
      <w:r>
        <w:rPr>
          <w:rStyle w:val="28"/>
          <w:rFonts w:ascii="Times New Roman"/>
          <w:color w:val="auto"/>
        </w:rPr>
        <w:t>前  言</w:t>
      </w:r>
      <w:r>
        <w:tab/>
      </w:r>
      <w:r>
        <w:fldChar w:fldCharType="begin"/>
      </w:r>
      <w:r>
        <w:instrText xml:space="preserve"> PAGEREF _Toc29243784 \h </w:instrText>
      </w:r>
      <w:r>
        <w:fldChar w:fldCharType="separate"/>
      </w:r>
      <w:r>
        <w:t>II</w:t>
      </w:r>
      <w:r>
        <w:fldChar w:fldCharType="end"/>
      </w:r>
      <w:r>
        <w:fldChar w:fldCharType="end"/>
      </w:r>
    </w:p>
    <w:p>
      <w:pPr>
        <w:pStyle w:val="23"/>
        <w:tabs>
          <w:tab w:val="left" w:pos="420"/>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"_Toc29243785" </w:instrText>
      </w:r>
      <w:r>
        <w:fldChar w:fldCharType="separate"/>
      </w:r>
      <w:r>
        <w:rPr>
          <w:rStyle w:val="28"/>
          <w:color w:val="auto"/>
        </w:rPr>
        <w:t>1</w:t>
      </w:r>
      <w:r>
        <w:rPr>
          <w:rFonts w:asciiTheme="minorHAnsi" w:hAnsiTheme="minorHAnsi" w:eastAsiaTheme="minorEastAsia" w:cstheme="minorBidi"/>
          <w:szCs w:val="22"/>
        </w:rPr>
        <w:tab/>
      </w:r>
      <w:r>
        <w:rPr>
          <w:rStyle w:val="28"/>
          <w:color w:val="auto"/>
        </w:rPr>
        <w:t>范围</w:t>
      </w:r>
      <w:r>
        <w:tab/>
      </w:r>
      <w:r>
        <w:fldChar w:fldCharType="begin"/>
      </w:r>
      <w:r>
        <w:instrText xml:space="preserve"> PAGEREF _Toc29243785 \h </w:instrText>
      </w:r>
      <w:r>
        <w:fldChar w:fldCharType="separate"/>
      </w:r>
      <w:r>
        <w:t>1</w:t>
      </w:r>
      <w:r>
        <w:fldChar w:fldCharType="end"/>
      </w:r>
      <w:r>
        <w:fldChar w:fldCharType="end"/>
      </w:r>
    </w:p>
    <w:p>
      <w:pPr>
        <w:pStyle w:val="23"/>
        <w:tabs>
          <w:tab w:val="left" w:pos="420"/>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"_Toc29243786" </w:instrText>
      </w:r>
      <w:r>
        <w:fldChar w:fldCharType="separate"/>
      </w:r>
      <w:r>
        <w:rPr>
          <w:rStyle w:val="28"/>
          <w:color w:val="auto"/>
        </w:rPr>
        <w:t>2</w:t>
      </w:r>
      <w:r>
        <w:rPr>
          <w:rFonts w:asciiTheme="minorHAnsi" w:hAnsiTheme="minorHAnsi" w:eastAsiaTheme="minorEastAsia" w:cstheme="minorBidi"/>
          <w:szCs w:val="22"/>
        </w:rPr>
        <w:tab/>
      </w:r>
      <w:r>
        <w:rPr>
          <w:rStyle w:val="28"/>
          <w:color w:val="auto"/>
        </w:rPr>
        <w:t>规范性引用文件</w:t>
      </w:r>
      <w:r>
        <w:tab/>
      </w:r>
      <w:r>
        <w:fldChar w:fldCharType="begin"/>
      </w:r>
      <w:r>
        <w:instrText xml:space="preserve"> PAGEREF _Toc29243786 \h </w:instrText>
      </w:r>
      <w:r>
        <w:fldChar w:fldCharType="separate"/>
      </w:r>
      <w:r>
        <w:t>1</w:t>
      </w:r>
      <w:r>
        <w:fldChar w:fldCharType="end"/>
      </w:r>
      <w:r>
        <w:fldChar w:fldCharType="end"/>
      </w:r>
    </w:p>
    <w:p>
      <w:pPr>
        <w:pStyle w:val="23"/>
        <w:tabs>
          <w:tab w:val="left" w:pos="420"/>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"_Toc29243787" </w:instrText>
      </w:r>
      <w:r>
        <w:fldChar w:fldCharType="separate"/>
      </w:r>
      <w:r>
        <w:rPr>
          <w:rStyle w:val="28"/>
          <w:color w:val="auto"/>
        </w:rPr>
        <w:t>3</w:t>
      </w:r>
      <w:r>
        <w:rPr>
          <w:rFonts w:asciiTheme="minorHAnsi" w:hAnsiTheme="minorHAnsi" w:eastAsiaTheme="minorEastAsia" w:cstheme="minorBidi"/>
          <w:szCs w:val="22"/>
        </w:rPr>
        <w:tab/>
      </w:r>
      <w:r>
        <w:rPr>
          <w:rStyle w:val="28"/>
          <w:color w:val="auto"/>
        </w:rPr>
        <w:t>术语和定义</w:t>
      </w:r>
      <w:r>
        <w:tab/>
      </w:r>
      <w:r>
        <w:fldChar w:fldCharType="begin"/>
      </w:r>
      <w:r>
        <w:instrText xml:space="preserve"> PAGEREF _Toc29243787 \h </w:instrText>
      </w:r>
      <w:r>
        <w:fldChar w:fldCharType="separate"/>
      </w:r>
      <w:r>
        <w:t>1</w:t>
      </w:r>
      <w:r>
        <w:fldChar w:fldCharType="end"/>
      </w:r>
      <w:r>
        <w:fldChar w:fldCharType="end"/>
      </w:r>
    </w:p>
    <w:p>
      <w:pPr>
        <w:pStyle w:val="23"/>
        <w:tabs>
          <w:tab w:val="left" w:pos="420"/>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"_Toc29243788" </w:instrText>
      </w:r>
      <w:r>
        <w:fldChar w:fldCharType="separate"/>
      </w:r>
      <w:r>
        <w:rPr>
          <w:rStyle w:val="28"/>
          <w:color w:val="auto"/>
        </w:rPr>
        <w:t>4</w:t>
      </w:r>
      <w:r>
        <w:rPr>
          <w:rFonts w:asciiTheme="minorHAnsi" w:hAnsiTheme="minorHAnsi" w:eastAsiaTheme="minorEastAsia" w:cstheme="minorBidi"/>
          <w:szCs w:val="22"/>
        </w:rPr>
        <w:tab/>
      </w:r>
      <w:r>
        <w:rPr>
          <w:rStyle w:val="28"/>
          <w:color w:val="auto"/>
        </w:rPr>
        <w:t>污染物排放控制要求</w:t>
      </w:r>
      <w:r>
        <w:tab/>
      </w:r>
      <w:r>
        <w:fldChar w:fldCharType="begin"/>
      </w:r>
      <w:r>
        <w:instrText xml:space="preserve"> PAGEREF _Toc29243788 \h </w:instrText>
      </w:r>
      <w:r>
        <w:fldChar w:fldCharType="separate"/>
      </w:r>
      <w:r>
        <w:t>2</w:t>
      </w:r>
      <w:r>
        <w:fldChar w:fldCharType="end"/>
      </w:r>
      <w:r>
        <w:fldChar w:fldCharType="end"/>
      </w:r>
    </w:p>
    <w:p>
      <w:pPr>
        <w:pStyle w:val="23"/>
        <w:tabs>
          <w:tab w:val="left" w:pos="420"/>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"_Toc29243789" </w:instrText>
      </w:r>
      <w:r>
        <w:fldChar w:fldCharType="separate"/>
      </w:r>
      <w:r>
        <w:rPr>
          <w:rStyle w:val="28"/>
          <w:color w:val="auto"/>
        </w:rPr>
        <w:t>5</w:t>
      </w:r>
      <w:r>
        <w:rPr>
          <w:rFonts w:asciiTheme="minorHAnsi" w:hAnsiTheme="minorHAnsi" w:eastAsiaTheme="minorEastAsia" w:cstheme="minorBidi"/>
          <w:szCs w:val="22"/>
        </w:rPr>
        <w:tab/>
      </w:r>
      <w:r>
        <w:rPr>
          <w:rStyle w:val="28"/>
          <w:color w:val="auto"/>
        </w:rPr>
        <w:t>废水控盐技术要求</w:t>
      </w:r>
      <w:r>
        <w:tab/>
      </w:r>
      <w:r>
        <w:fldChar w:fldCharType="begin"/>
      </w:r>
      <w:r>
        <w:instrText xml:space="preserve"> PAGEREF _Toc29243789 \h </w:instrText>
      </w:r>
      <w:r>
        <w:fldChar w:fldCharType="separate"/>
      </w:r>
      <w:r>
        <w:t>3</w:t>
      </w:r>
      <w:r>
        <w:fldChar w:fldCharType="end"/>
      </w:r>
      <w:r>
        <w:fldChar w:fldCharType="end"/>
      </w:r>
    </w:p>
    <w:p>
      <w:pPr>
        <w:pStyle w:val="23"/>
        <w:tabs>
          <w:tab w:val="left" w:pos="420"/>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"_Toc29243790" </w:instrText>
      </w:r>
      <w:r>
        <w:fldChar w:fldCharType="separate"/>
      </w:r>
      <w:r>
        <w:rPr>
          <w:rStyle w:val="28"/>
          <w:color w:val="auto"/>
        </w:rPr>
        <w:t>6</w:t>
      </w:r>
      <w:r>
        <w:rPr>
          <w:rFonts w:asciiTheme="minorHAnsi" w:hAnsiTheme="minorHAnsi" w:eastAsiaTheme="minorEastAsia" w:cstheme="minorBidi"/>
          <w:szCs w:val="22"/>
        </w:rPr>
        <w:tab/>
      </w:r>
      <w:r>
        <w:rPr>
          <w:rStyle w:val="28"/>
          <w:color w:val="auto"/>
        </w:rPr>
        <w:t>污染物监测要求</w:t>
      </w:r>
      <w:r>
        <w:tab/>
      </w:r>
      <w:r>
        <w:fldChar w:fldCharType="begin"/>
      </w:r>
      <w:r>
        <w:instrText xml:space="preserve"> PAGEREF _Toc29243790 \h </w:instrText>
      </w:r>
      <w:r>
        <w:fldChar w:fldCharType="separate"/>
      </w:r>
      <w:r>
        <w:t>4</w:t>
      </w:r>
      <w:r>
        <w:fldChar w:fldCharType="end"/>
      </w:r>
      <w:r>
        <w:fldChar w:fldCharType="end"/>
      </w:r>
    </w:p>
    <w:p>
      <w:pPr>
        <w:pStyle w:val="23"/>
        <w:tabs>
          <w:tab w:val="left" w:pos="420"/>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"_Toc29243791" </w:instrText>
      </w:r>
      <w:r>
        <w:fldChar w:fldCharType="separate"/>
      </w:r>
      <w:r>
        <w:rPr>
          <w:rStyle w:val="28"/>
          <w:color w:val="auto"/>
        </w:rPr>
        <w:t>7</w:t>
      </w:r>
      <w:r>
        <w:rPr>
          <w:rFonts w:asciiTheme="minorHAnsi" w:hAnsiTheme="minorHAnsi" w:eastAsiaTheme="minorEastAsia" w:cstheme="minorBidi"/>
          <w:szCs w:val="22"/>
        </w:rPr>
        <w:tab/>
      </w:r>
      <w:r>
        <w:rPr>
          <w:rStyle w:val="28"/>
          <w:color w:val="auto"/>
        </w:rPr>
        <w:t>实施要求</w:t>
      </w:r>
      <w:r>
        <w:tab/>
      </w:r>
      <w:r>
        <w:fldChar w:fldCharType="begin"/>
      </w:r>
      <w:r>
        <w:instrText xml:space="preserve"> PAGEREF _Toc29243791 \h </w:instrText>
      </w:r>
      <w:r>
        <w:fldChar w:fldCharType="separate"/>
      </w:r>
      <w:r>
        <w:t>4</w:t>
      </w:r>
      <w:r>
        <w:fldChar w:fldCharType="end"/>
      </w:r>
      <w:r>
        <w:fldChar w:fldCharType="end"/>
      </w:r>
    </w:p>
    <w:p>
      <w:pPr>
        <w:widowControl/>
        <w:spacing w:line="360" w:lineRule="auto"/>
        <w:ind w:firstLine="640"/>
        <w:jc w:val="left"/>
        <w:rPr>
          <w:rFonts w:ascii="宋体" w:hAnsi="宋体" w:cs="Times New Roman"/>
          <w:kern w:val="0"/>
        </w:rPr>
      </w:pPr>
      <w:r>
        <w:rPr>
          <w:rFonts w:ascii="宋体" w:hAnsi="宋体" w:cs="Times New Roman"/>
          <w:kern w:val="0"/>
          <w:szCs w:val="32"/>
        </w:rPr>
        <w:fldChar w:fldCharType="end"/>
      </w:r>
    </w:p>
    <w:p>
      <w:pPr>
        <w:widowControl/>
        <w:spacing w:line="360" w:lineRule="auto"/>
        <w:jc w:val="left"/>
        <w:rPr>
          <w:rFonts w:ascii="宋体" w:hAnsi="宋体" w:cs="Times New Roman"/>
          <w:kern w:val="0"/>
        </w:rPr>
      </w:pPr>
    </w:p>
    <w:p>
      <w:pPr>
        <w:widowControl/>
        <w:ind w:firstLine="424" w:firstLineChars="202"/>
        <w:jc w:val="left"/>
        <w:rPr>
          <w:rFonts w:ascii="Times New Roman" w:hAnsi="Times New Roman" w:cs="Times New Roman"/>
          <w:kern w:val="0"/>
        </w:rPr>
        <w:sectPr>
          <w:headerReference r:id="rId8" w:type="first"/>
          <w:footerReference r:id="rId9" w:type="first"/>
          <w:headerReference r:id="rId7" w:type="default"/>
          <w:pgSz w:w="11906" w:h="16838"/>
          <w:pgMar w:top="2268" w:right="1134" w:bottom="1418" w:left="1418" w:header="1417" w:footer="851" w:gutter="0"/>
          <w:pgNumType w:fmt="upperRoman" w:start="1"/>
          <w:cols w:space="720" w:num="1"/>
          <w:titlePg/>
          <w:docGrid w:linePitch="312" w:charSpace="0"/>
        </w:sectPr>
      </w:pPr>
    </w:p>
    <w:p>
      <w:pPr>
        <w:pStyle w:val="49"/>
        <w:spacing w:before="0"/>
        <w:rPr>
          <w:rFonts w:ascii="Times New Roman" w:cs="Times New Roman"/>
        </w:rPr>
      </w:pPr>
      <w:bookmarkStart w:id="7" w:name="_Toc29243784"/>
      <w:bookmarkStart w:id="8" w:name="_Toc287880312"/>
      <w:r>
        <w:rPr>
          <w:rFonts w:ascii="Times New Roman" w:cs="Times New Roman"/>
        </w:rPr>
        <w:t>前  言</w:t>
      </w:r>
      <w:bookmarkEnd w:id="7"/>
      <w:bookmarkEnd w:id="8"/>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本标准按照 GB/T 1.1-2009 给出的规则起草。</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本标准全文强制。</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本标准由重庆市生态环境局提出并归口。</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本标准起草单位：</w:t>
      </w:r>
      <w:r>
        <w:rPr>
          <w:rFonts w:hint="eastAsia" w:ascii="Times New Roman" w:hAnsi="Times New Roman" w:cs="Times New Roman"/>
        </w:rPr>
        <w:t>重庆大学、</w:t>
      </w:r>
      <w:r>
        <w:rPr>
          <w:rFonts w:ascii="Times New Roman" w:hAnsi="Times New Roman" w:cs="Times New Roman"/>
        </w:rPr>
        <w:t>重庆市生态环境科学研究院</w:t>
      </w:r>
      <w:r>
        <w:rPr>
          <w:rFonts w:hint="eastAsia" w:ascii="Times New Roman" w:hAnsi="Times New Roman" w:cs="Times New Roman"/>
        </w:rPr>
        <w:t>。</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本标准主要起草人：</w:t>
      </w:r>
      <w:r>
        <w:rPr>
          <w:rFonts w:hint="eastAsia" w:ascii="Times New Roman" w:hAnsi="Times New Roman" w:cs="Times New Roman"/>
        </w:rPr>
        <w:t>张智、封丽、何强、许林季、姚源、时兴东、廖伟伶、陈婷婷、封雷、余昌义、李亦桃、孔媛、曹弘毅、张林防、彭亚洲、孙磊、潘傲、余里洁、周邦玫、周莹莹。</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本标准由重庆市人民政府于20</w:t>
      </w:r>
      <w:bookmarkStart w:id="9" w:name="_Hlk16068519"/>
      <w:r>
        <w:rPr>
          <w:rFonts w:ascii="Times New Roman" w:hAnsi="Times New Roman" w:cs="Times New Roman"/>
        </w:rPr>
        <w:t>□</w:t>
      </w:r>
      <w:bookmarkEnd w:id="9"/>
      <w:r>
        <w:rPr>
          <w:rFonts w:ascii="Times New Roman" w:hAnsi="Times New Roman" w:cs="Times New Roman"/>
        </w:rPr>
        <w:t>□年□□月□□日批准。</w:t>
      </w:r>
    </w:p>
    <w:p>
      <w:pPr>
        <w:pStyle w:val="5"/>
      </w:pPr>
      <w:r>
        <w:t>本标准为首次发布。</w:t>
      </w:r>
    </w:p>
    <w:p>
      <w:pPr>
        <w:widowControl/>
        <w:adjustRightInd w:val="0"/>
        <w:ind w:firstLine="420" w:firstLineChars="200"/>
        <w:rPr>
          <w:rFonts w:ascii="Times New Roman" w:hAnsi="Times New Roman" w:cs="Times New Roman"/>
        </w:rPr>
      </w:pPr>
    </w:p>
    <w:p>
      <w:pPr>
        <w:widowControl/>
        <w:adjustRightInd w:val="0"/>
        <w:ind w:firstLine="420" w:firstLineChars="200"/>
        <w:rPr>
          <w:rFonts w:ascii="Times New Roman" w:hAnsi="Times New Roman" w:cs="Times New Roman"/>
          <w:kern w:val="0"/>
        </w:rPr>
        <w:sectPr>
          <w:headerReference r:id="rId10" w:type="first"/>
          <w:pgSz w:w="11906" w:h="16838"/>
          <w:pgMar w:top="2268" w:right="1134" w:bottom="1418" w:left="1418" w:header="1134" w:footer="851" w:gutter="0"/>
          <w:pgNumType w:fmt="upperRoman"/>
          <w:cols w:space="720" w:num="1"/>
          <w:titlePg/>
          <w:docGrid w:linePitch="312" w:charSpace="0"/>
        </w:sectPr>
      </w:pPr>
    </w:p>
    <w:p>
      <w:pPr>
        <w:pStyle w:val="3"/>
        <w:spacing w:beforeLines="0" w:after="240" w:afterLines="100"/>
        <w:ind w:left="357"/>
        <w:jc w:val="center"/>
        <w:outlineLvl w:val="9"/>
        <w:rPr>
          <w:rFonts w:ascii="Times New Roman" w:cs="Times New Roman"/>
          <w:sz w:val="32"/>
          <w:szCs w:val="32"/>
        </w:rPr>
      </w:pPr>
      <w:bookmarkStart w:id="10" w:name="_Toc287880313"/>
    </w:p>
    <w:p>
      <w:pPr>
        <w:pStyle w:val="3"/>
        <w:spacing w:beforeLines="0" w:after="240" w:afterLines="100"/>
        <w:ind w:left="357"/>
        <w:jc w:val="center"/>
        <w:outlineLvl w:val="9"/>
        <w:rPr>
          <w:rFonts w:ascii="Times New Roman" w:cs="Times New Roman"/>
          <w:sz w:val="32"/>
          <w:szCs w:val="32"/>
        </w:rPr>
      </w:pPr>
      <w:r>
        <w:rPr>
          <w:rFonts w:hint="eastAsia" w:ascii="Times New Roman" w:cs="Times New Roman"/>
          <w:sz w:val="32"/>
          <w:szCs w:val="32"/>
        </w:rPr>
        <w:t>榨菜行业水污染物</w:t>
      </w:r>
      <w:r>
        <w:rPr>
          <w:rFonts w:ascii="Times New Roman" w:cs="Times New Roman"/>
          <w:sz w:val="32"/>
          <w:szCs w:val="32"/>
        </w:rPr>
        <w:t>排放标准</w:t>
      </w:r>
    </w:p>
    <w:p>
      <w:pPr>
        <w:rPr>
          <w:rFonts w:ascii="Times New Roman" w:hAnsi="Times New Roman" w:cs="Times New Roman"/>
        </w:rPr>
      </w:pPr>
    </w:p>
    <w:bookmarkEnd w:id="10"/>
    <w:p>
      <w:pPr>
        <w:pStyle w:val="2"/>
      </w:pPr>
      <w:bookmarkStart w:id="11" w:name="_Toc408999456"/>
      <w:bookmarkStart w:id="12" w:name="_Toc29243785"/>
      <w:r>
        <w:t>范围</w:t>
      </w:r>
      <w:bookmarkEnd w:id="11"/>
      <w:bookmarkEnd w:id="12"/>
    </w:p>
    <w:p>
      <w:pPr>
        <w:pStyle w:val="5"/>
      </w:pPr>
      <w:bookmarkStart w:id="13" w:name="_Toc287880317"/>
      <w:r>
        <w:rPr>
          <w:rFonts w:hint="eastAsia"/>
        </w:rPr>
        <w:t>本标准规定了榨菜行业水污染物最高允许排放浓度、最高允许吨产品排水量、污染物监测要求和监督与实施要求。</w:t>
      </w:r>
    </w:p>
    <w:p>
      <w:pPr>
        <w:pStyle w:val="5"/>
      </w:pPr>
      <w:r>
        <w:rPr>
          <w:rFonts w:hint="eastAsia"/>
        </w:rPr>
        <w:t>本标准适用于重庆市榨菜行业水污染物排放管理。</w:t>
      </w:r>
    </w:p>
    <w:p>
      <w:pPr>
        <w:pStyle w:val="5"/>
      </w:pPr>
      <w:r>
        <w:rPr>
          <w:rFonts w:hint="eastAsia"/>
        </w:rPr>
        <w:t>本标准适用于榨菜行业建设项目的环境影响评价、环境保护设施建设、竣工环境保护验收、排污许可证管理及其投产后的水污染物排放管理。</w:t>
      </w:r>
    </w:p>
    <w:p>
      <w:pPr>
        <w:pStyle w:val="5"/>
      </w:pPr>
      <w:r>
        <w:rPr>
          <w:rFonts w:hint="eastAsia"/>
        </w:rPr>
        <w:t>本标准适用于法律允许的水污染物排放行为。</w:t>
      </w:r>
    </w:p>
    <w:p>
      <w:pPr>
        <w:pStyle w:val="2"/>
      </w:pPr>
      <w:bookmarkStart w:id="14" w:name="_Toc29243786"/>
      <w:r>
        <w:t>规范性引用文件</w:t>
      </w:r>
      <w:bookmarkEnd w:id="13"/>
      <w:bookmarkEnd w:id="14"/>
    </w:p>
    <w:p>
      <w:pPr>
        <w:pStyle w:val="5"/>
      </w:pPr>
      <w:r>
        <w:t>下列文件对于本标准的应用是必不可少的。凡是注日期的引用文件，仅注日期的版本适用于本</w:t>
      </w:r>
      <w:r>
        <w:rPr>
          <w:rFonts w:hint="eastAsia"/>
        </w:rPr>
        <w:t>文件。</w:t>
      </w:r>
      <w:r>
        <w:t>凡是不注日期的引用文件，其最新版本（包括所有的修改单）适用于本</w:t>
      </w:r>
      <w:r>
        <w:rPr>
          <w:rFonts w:hint="eastAsia"/>
        </w:rPr>
        <w:t>文件</w:t>
      </w:r>
      <w:r>
        <w:t>。</w:t>
      </w:r>
    </w:p>
    <w:p>
      <w:pPr>
        <w:pStyle w:val="5"/>
      </w:pPr>
      <w:bookmarkStart w:id="15" w:name="_Hlk27042024"/>
      <w:r>
        <w:rPr>
          <w:rFonts w:hint="eastAsia"/>
        </w:rPr>
        <w:t>GB 8978 污水综合排放标准</w:t>
      </w:r>
    </w:p>
    <w:p>
      <w:pPr>
        <w:pStyle w:val="5"/>
      </w:pPr>
      <w:r>
        <w:rPr>
          <w:rFonts w:hint="eastAsia"/>
        </w:rPr>
        <w:t>GB/T 11893 水质 总磷的测定 钼酸铵分光光度法</w:t>
      </w:r>
    </w:p>
    <w:p>
      <w:pPr>
        <w:pStyle w:val="5"/>
      </w:pPr>
      <w:r>
        <w:rPr>
          <w:rFonts w:hint="eastAsia"/>
        </w:rPr>
        <w:t>GB/T 11896 水质 氯化物的测定 硝酸银滴定法</w:t>
      </w:r>
    </w:p>
    <w:p>
      <w:pPr>
        <w:pStyle w:val="5"/>
      </w:pPr>
      <w:r>
        <w:rPr>
          <w:rFonts w:hint="eastAsia"/>
        </w:rPr>
        <w:t>GB 12997 水质 采样方案设计技术规定</w:t>
      </w:r>
    </w:p>
    <w:p>
      <w:pPr>
        <w:pStyle w:val="5"/>
      </w:pPr>
      <w:r>
        <w:rPr>
          <w:rFonts w:hint="eastAsia"/>
        </w:rPr>
        <w:t>GB 12998 水质 采样技术指导</w:t>
      </w:r>
    </w:p>
    <w:p>
      <w:pPr>
        <w:pStyle w:val="5"/>
      </w:pPr>
      <w:r>
        <w:rPr>
          <w:rFonts w:hint="eastAsia"/>
        </w:rPr>
        <w:t>GB 12999 水质采样 样品的保存和管理技术规定</w:t>
      </w:r>
    </w:p>
    <w:p>
      <w:pPr>
        <w:pStyle w:val="5"/>
      </w:pPr>
      <w:r>
        <w:rPr>
          <w:rFonts w:hint="eastAsia"/>
        </w:rPr>
        <w:t>GB/T 31195 高氯高氨废水 化学需氧量的测定 氯离子校正法</w:t>
      </w:r>
    </w:p>
    <w:p>
      <w:pPr>
        <w:pStyle w:val="5"/>
      </w:pPr>
      <w:r>
        <w:rPr>
          <w:rFonts w:hint="eastAsia"/>
        </w:rPr>
        <w:t>HJ/T 70 高氯废水 化学需氧量的测定 氯气校正法</w:t>
      </w:r>
    </w:p>
    <w:p>
      <w:pPr>
        <w:pStyle w:val="5"/>
      </w:pPr>
      <w:r>
        <w:rPr>
          <w:rFonts w:hint="eastAsia"/>
        </w:rPr>
        <w:t>HJ/T 84 水质 无机阴离子的测定 离子色谱法</w:t>
      </w:r>
    </w:p>
    <w:p>
      <w:pPr>
        <w:pStyle w:val="5"/>
      </w:pPr>
      <w:r>
        <w:rPr>
          <w:rFonts w:hint="eastAsia"/>
        </w:rPr>
        <w:t>HJ/T 91 地表水和污水监测技术规范</w:t>
      </w:r>
    </w:p>
    <w:p>
      <w:pPr>
        <w:pStyle w:val="5"/>
      </w:pPr>
      <w:r>
        <w:rPr>
          <w:rFonts w:hint="eastAsia"/>
        </w:rPr>
        <w:t>HJ/T 92 水污染物总量监测技术规范</w:t>
      </w:r>
    </w:p>
    <w:p>
      <w:pPr>
        <w:pStyle w:val="5"/>
      </w:pPr>
      <w:r>
        <w:rPr>
          <w:rFonts w:hint="eastAsia"/>
        </w:rPr>
        <w:t>HJ 535 水质 氨氮的测定 纳氏试剂分光光度法</w:t>
      </w:r>
    </w:p>
    <w:p>
      <w:pPr>
        <w:pStyle w:val="5"/>
      </w:pPr>
      <w:r>
        <w:rPr>
          <w:rFonts w:hint="eastAsia"/>
        </w:rPr>
        <w:t>HJ 537 水质 氨氮的测定 蒸馏－中和滴定法</w:t>
      </w:r>
    </w:p>
    <w:p>
      <w:pPr>
        <w:pStyle w:val="5"/>
      </w:pPr>
      <w:r>
        <w:rPr>
          <w:rFonts w:hint="eastAsia"/>
        </w:rPr>
        <w:t>《污染源自动监控管理办法》国家环境保护总局令第28号</w:t>
      </w:r>
    </w:p>
    <w:p>
      <w:pPr>
        <w:pStyle w:val="5"/>
      </w:pPr>
      <w:r>
        <w:rPr>
          <w:rFonts w:hint="eastAsia"/>
        </w:rPr>
        <w:t>《环境监测管理办法》国家环境保护总局令第39号</w:t>
      </w:r>
    </w:p>
    <w:bookmarkEnd w:id="15"/>
    <w:p>
      <w:pPr>
        <w:pStyle w:val="2"/>
      </w:pPr>
      <w:bookmarkStart w:id="16" w:name="_Toc29243787"/>
      <w:bookmarkStart w:id="17" w:name="_Toc287880318"/>
      <w:r>
        <w:t>术语和定义</w:t>
      </w:r>
      <w:bookmarkEnd w:id="16"/>
      <w:bookmarkEnd w:id="17"/>
    </w:p>
    <w:p>
      <w:pPr>
        <w:widowControl/>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下列术语和定义适用于本标准。</w:t>
      </w:r>
    </w:p>
    <w:p>
      <w:pPr>
        <w:pStyle w:val="4"/>
        <w:spacing w:before="120" w:beforeLines="50" w:afterLines="50"/>
        <w:ind w:left="578" w:hanging="578"/>
      </w:pPr>
    </w:p>
    <w:p>
      <w:pPr>
        <w:pStyle w:val="4"/>
        <w:numPr>
          <w:ilvl w:val="0"/>
          <w:numId w:val="0"/>
        </w:numPr>
        <w:spacing w:before="0" w:after="0"/>
        <w:ind w:firstLine="420" w:firstLineChars="200"/>
      </w:pPr>
      <w:r>
        <w:rPr>
          <w:rFonts w:hint="eastAsia"/>
        </w:rPr>
        <w:t>榨菜综合废水   integrated mustard tuber wastewater</w:t>
      </w:r>
    </w:p>
    <w:p>
      <w:pPr>
        <w:spacing w:line="400" w:lineRule="exact"/>
        <w:ind w:firstLine="420" w:firstLineChars="200"/>
        <w:rPr>
          <w:rFonts w:ascii="Times New Roman" w:hAnsi="Times New Roman" w:cs="Times New Roman"/>
        </w:rPr>
      </w:pPr>
      <w:r>
        <w:rPr>
          <w:rFonts w:hint="eastAsia" w:ascii="Times New Roman" w:hAnsi="Times New Roman" w:cs="Times New Roman"/>
        </w:rPr>
        <w:t>榨菜企业或生产设施在生产过程中（包括腌制阶段，修剪、淘洗阶段，切分、脱盐阶段，拌料、包装阶段）产生的具有高盐、高磷、高氮、高有机物浓度废水。</w:t>
      </w:r>
    </w:p>
    <w:p>
      <w:pPr>
        <w:pStyle w:val="4"/>
        <w:spacing w:before="120" w:beforeLines="50" w:afterLines="50"/>
        <w:ind w:left="578" w:hanging="578"/>
      </w:pPr>
    </w:p>
    <w:p>
      <w:pPr>
        <w:pStyle w:val="4"/>
        <w:numPr>
          <w:ilvl w:val="0"/>
          <w:numId w:val="0"/>
        </w:numPr>
        <w:spacing w:before="0" w:after="0"/>
        <w:ind w:firstLine="420" w:firstLineChars="200"/>
      </w:pPr>
      <w:r>
        <w:rPr>
          <w:rFonts w:hint="eastAsia"/>
        </w:rPr>
        <w:t>排水量   drain discharge</w:t>
      </w:r>
    </w:p>
    <w:p>
      <w:pPr>
        <w:spacing w:line="400" w:lineRule="exact"/>
        <w:ind w:firstLine="420" w:firstLineChars="200"/>
        <w:rPr>
          <w:rFonts w:ascii="Times New Roman" w:hAnsi="Times New Roman" w:cs="Times New Roman"/>
        </w:rPr>
      </w:pPr>
      <w:r>
        <w:rPr>
          <w:rFonts w:hint="eastAsia" w:ascii="Times New Roman" w:hAnsi="Times New Roman" w:cs="Times New Roman"/>
        </w:rPr>
        <w:t>指企业或生产设施向企业法定边界以外排放的废水的量（即生产区域所有废水总和）。</w:t>
      </w:r>
    </w:p>
    <w:p>
      <w:pPr>
        <w:pStyle w:val="4"/>
        <w:spacing w:before="120" w:beforeLines="50" w:afterLines="50"/>
        <w:ind w:left="578" w:hanging="578"/>
      </w:pPr>
    </w:p>
    <w:p>
      <w:pPr>
        <w:pStyle w:val="4"/>
        <w:numPr>
          <w:ilvl w:val="0"/>
          <w:numId w:val="0"/>
        </w:numPr>
        <w:spacing w:before="0" w:after="0"/>
        <w:ind w:firstLine="420" w:firstLineChars="200"/>
      </w:pPr>
      <w:r>
        <w:rPr>
          <w:rFonts w:hint="eastAsia"/>
        </w:rPr>
        <w:t>单位产品基准排水量   unit product drainage discharge</w:t>
      </w:r>
    </w:p>
    <w:p>
      <w:pPr>
        <w:spacing w:line="400" w:lineRule="exact"/>
        <w:ind w:firstLine="420" w:firstLineChars="200"/>
        <w:rPr>
          <w:rFonts w:ascii="Times New Roman" w:hAnsi="Times New Roman" w:cs="Times New Roman"/>
        </w:rPr>
      </w:pPr>
      <w:r>
        <w:rPr>
          <w:rFonts w:hint="eastAsia" w:ascii="Times New Roman" w:hAnsi="Times New Roman" w:cs="Times New Roman"/>
        </w:rPr>
        <w:t>指用于核定水污染物排放浓度而规定的生产单位产品的废水排放量上限值。</w:t>
      </w:r>
    </w:p>
    <w:p>
      <w:pPr>
        <w:pStyle w:val="4"/>
        <w:spacing w:before="120" w:beforeLines="50" w:afterLines="50"/>
        <w:ind w:left="578" w:hanging="578"/>
      </w:pPr>
    </w:p>
    <w:p>
      <w:pPr>
        <w:pStyle w:val="4"/>
        <w:numPr>
          <w:ilvl w:val="0"/>
          <w:numId w:val="0"/>
        </w:numPr>
        <w:spacing w:before="0" w:after="0"/>
        <w:ind w:firstLine="420" w:firstLineChars="200"/>
      </w:pPr>
      <w:r>
        <w:rPr>
          <w:rFonts w:hint="eastAsia"/>
        </w:rPr>
        <w:t>现有排污单位   existing sewage disposal facility</w:t>
      </w:r>
    </w:p>
    <w:p>
      <w:pPr>
        <w:spacing w:line="400" w:lineRule="exact"/>
        <w:ind w:firstLine="420" w:firstLineChars="200"/>
        <w:rPr>
          <w:rFonts w:ascii="Times New Roman" w:hAnsi="Times New Roman" w:cs="Times New Roman"/>
        </w:rPr>
      </w:pPr>
      <w:r>
        <w:rPr>
          <w:rFonts w:hint="eastAsia" w:ascii="Times New Roman" w:hAnsi="Times New Roman" w:cs="Times New Roman"/>
        </w:rPr>
        <w:t>本标准实施之日前，已建成投产或建设项目环境影响评价文件已通过审批的榨菜企业及生产设施。</w:t>
      </w:r>
    </w:p>
    <w:p>
      <w:pPr>
        <w:pStyle w:val="4"/>
        <w:spacing w:before="120" w:beforeLines="50" w:afterLines="50"/>
        <w:ind w:left="578" w:hanging="578"/>
      </w:pPr>
    </w:p>
    <w:p>
      <w:pPr>
        <w:pStyle w:val="4"/>
        <w:numPr>
          <w:ilvl w:val="0"/>
          <w:numId w:val="0"/>
        </w:numPr>
        <w:spacing w:before="0" w:after="0"/>
        <w:ind w:firstLine="420" w:firstLineChars="200"/>
      </w:pPr>
      <w:r>
        <w:rPr>
          <w:rFonts w:hint="eastAsia"/>
        </w:rPr>
        <w:t>新（改、扩）建排污单位   new(rebuilding, extending) sewage disposal facility</w:t>
      </w:r>
    </w:p>
    <w:p>
      <w:pPr>
        <w:spacing w:line="400" w:lineRule="exact"/>
        <w:ind w:firstLine="420" w:firstLineChars="200"/>
        <w:rPr>
          <w:rFonts w:ascii="Times New Roman" w:hAnsi="Times New Roman" w:cs="Times New Roman"/>
        </w:rPr>
      </w:pPr>
      <w:r>
        <w:rPr>
          <w:rFonts w:hint="eastAsia" w:ascii="Times New Roman" w:hAnsi="Times New Roman" w:cs="Times New Roman"/>
        </w:rPr>
        <w:t>本标准实施之日起，环境影响评价文件通过审批的新建、扩建、改建的榨菜企业建设项目。</w:t>
      </w:r>
    </w:p>
    <w:p>
      <w:pPr>
        <w:pStyle w:val="2"/>
      </w:pPr>
      <w:bookmarkStart w:id="18" w:name="_Toc29243788"/>
      <w:r>
        <w:t>污染</w:t>
      </w:r>
      <w:r>
        <w:rPr>
          <w:rFonts w:hint="eastAsia"/>
        </w:rPr>
        <w:t>物</w:t>
      </w:r>
      <w:r>
        <w:t>排放控制要求</w:t>
      </w:r>
      <w:bookmarkEnd w:id="18"/>
    </w:p>
    <w:p>
      <w:pPr>
        <w:pStyle w:val="4"/>
      </w:pPr>
      <w:r>
        <w:rPr>
          <w:rFonts w:hint="eastAsia"/>
        </w:rPr>
        <w:t>控制要求</w:t>
      </w:r>
    </w:p>
    <w:p>
      <w:pPr>
        <w:pStyle w:val="6"/>
        <w:spacing w:before="120" w:beforeLines="50" w:after="120" w:afterLines="50"/>
        <w:ind w:left="0" w:firstLine="0"/>
      </w:pPr>
      <w:r>
        <w:rPr>
          <w:rFonts w:hint="eastAsia"/>
        </w:rPr>
        <w:t>排入设置二级污水处理厂城镇排水系统的榨菜行业废水，应达到负责审批该污水处理厂的生态环境主管部门的排放要求。</w:t>
      </w:r>
    </w:p>
    <w:p>
      <w:pPr>
        <w:pStyle w:val="6"/>
        <w:spacing w:before="120" w:beforeLines="50" w:after="120" w:afterLines="50"/>
        <w:ind w:left="0" w:firstLine="0"/>
      </w:pPr>
      <w:r>
        <w:rPr>
          <w:rFonts w:hint="eastAsia"/>
        </w:rPr>
        <w:t>排入未设置二级污水处理厂的城镇排水系统环境的榨菜行业废水，应执行本标准的规定。</w:t>
      </w:r>
    </w:p>
    <w:p>
      <w:pPr>
        <w:pStyle w:val="4"/>
        <w:spacing w:before="120" w:beforeLines="50" w:afterLines="50"/>
        <w:ind w:left="578" w:hanging="578"/>
      </w:pPr>
      <w:r>
        <w:rPr>
          <w:rFonts w:hint="eastAsia"/>
        </w:rPr>
        <w:t>排放标准值</w:t>
      </w:r>
    </w:p>
    <w:p>
      <w:pPr>
        <w:pStyle w:val="6"/>
        <w:spacing w:before="120" w:beforeLines="50" w:after="120" w:afterLines="50"/>
        <w:ind w:left="0" w:firstLine="0"/>
      </w:pPr>
      <w:r>
        <w:rPr>
          <w:rFonts w:hint="eastAsia"/>
        </w:rPr>
        <w:t>本标准实施之日起，现有排污单位其水污染物的排放按表 1</w:t>
      </w:r>
      <w:r>
        <w:t xml:space="preserve"> </w:t>
      </w:r>
      <w:r>
        <w:rPr>
          <w:rFonts w:hint="eastAsia"/>
        </w:rPr>
        <w:t>的规定执行。</w:t>
      </w:r>
    </w:p>
    <w:p>
      <w:pPr>
        <w:pStyle w:val="6"/>
        <w:spacing w:before="120" w:beforeLines="50" w:after="120" w:afterLines="50"/>
        <w:ind w:left="0" w:firstLine="0"/>
      </w:pPr>
      <w:r>
        <w:rPr>
          <w:rFonts w:hint="eastAsia"/>
        </w:rPr>
        <w:t>本标准实施之日起，新（改、扩）建排污单位其水污染物的排放按表 2</w:t>
      </w:r>
      <w:r>
        <w:t xml:space="preserve"> </w:t>
      </w:r>
      <w:r>
        <w:rPr>
          <w:rFonts w:hint="eastAsia"/>
        </w:rPr>
        <w:t>的规定执行。</w:t>
      </w:r>
    </w:p>
    <w:p>
      <w:pPr>
        <w:pStyle w:val="6"/>
        <w:spacing w:before="120" w:beforeLines="50" w:after="120" w:afterLines="50"/>
        <w:ind w:left="0" w:firstLine="0"/>
      </w:pPr>
      <w:r>
        <w:t>2022</w:t>
      </w:r>
      <w:r>
        <w:rPr>
          <w:rFonts w:hint="eastAsia"/>
        </w:rPr>
        <w:t>年</w:t>
      </w:r>
      <w:r>
        <w:t>1</w:t>
      </w:r>
      <w:r>
        <w:rPr>
          <w:rFonts w:hint="eastAsia"/>
        </w:rPr>
        <w:t>月</w:t>
      </w:r>
      <w:r>
        <w:t>1</w:t>
      </w:r>
      <w:r>
        <w:rPr>
          <w:rFonts w:hint="eastAsia"/>
        </w:rPr>
        <w:t>日起，所有建成排污单位其水污染物的排放按表 2 的规定执行。</w:t>
      </w:r>
    </w:p>
    <w:p>
      <w:pPr>
        <w:pStyle w:val="6"/>
        <w:ind w:left="0" w:firstLine="0"/>
      </w:pPr>
      <w:r>
        <w:rPr>
          <w:rFonts w:hint="eastAsia"/>
        </w:rPr>
        <w:t>本标准中未规定的其他水污染物应按照《污水综合排放标准》（GB 8978-1996）规定的一级标准执行。</w:t>
      </w:r>
    </w:p>
    <w:p>
      <w:pPr>
        <w:pStyle w:val="6"/>
        <w:ind w:left="0" w:firstLine="0"/>
      </w:pPr>
      <w:r>
        <w:t>本标准发布实施后，新发布实施的国家水污染物排放标准严于本标准的，或者新制定的国家水污染物排放标准涉及本标准未做规定的污染物项目，按国家标准执行。</w:t>
      </w:r>
    </w:p>
    <w:p/>
    <w:p>
      <w:pPr>
        <w:numPr>
          <w:ilvl w:val="0"/>
          <w:numId w:val="3"/>
        </w:numPr>
        <w:spacing w:line="360" w:lineRule="exact"/>
        <w:ind w:left="0" w:firstLine="0"/>
        <w:jc w:val="center"/>
        <w:rPr>
          <w:rFonts w:ascii="Times New Roman" w:hAnsi="Times New Roman" w:eastAsia="黑体" w:cs="Times New Roman"/>
        </w:rPr>
      </w:pPr>
      <w:r>
        <w:rPr>
          <w:rFonts w:hint="eastAsia" w:ascii="Times New Roman" w:hAnsi="Times New Roman" w:eastAsia="黑体" w:cs="Times New Roman"/>
        </w:rPr>
        <w:t>榨菜行业水污染物排放标准值</w:t>
      </w:r>
    </w:p>
    <w:tbl>
      <w:tblPr>
        <w:tblStyle w:val="3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416"/>
        <w:gridCol w:w="993"/>
        <w:gridCol w:w="1129"/>
        <w:gridCol w:w="1277"/>
        <w:gridCol w:w="184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restart"/>
            <w:vAlign w:val="center"/>
          </w:tcPr>
          <w:p>
            <w:pPr>
              <w:pStyle w:val="63"/>
              <w:spacing w:line="320" w:lineRule="exact"/>
              <w:rPr>
                <w:lang w:eastAsia="zh-CN"/>
              </w:rPr>
            </w:pPr>
            <w:r>
              <w:rPr>
                <w:lang w:eastAsia="zh-CN"/>
              </w:rPr>
              <w:t>污染物</w:t>
            </w:r>
          </w:p>
        </w:tc>
        <w:tc>
          <w:tcPr>
            <w:tcW w:w="1416" w:type="dxa"/>
            <w:vAlign w:val="center"/>
          </w:tcPr>
          <w:p>
            <w:pPr>
              <w:pStyle w:val="63"/>
              <w:spacing w:line="320" w:lineRule="exact"/>
              <w:rPr>
                <w:lang w:eastAsia="zh-CN"/>
              </w:rPr>
            </w:pPr>
            <w:r>
              <w:rPr>
                <w:lang w:eastAsia="zh-CN"/>
              </w:rPr>
              <w:t>化学需氧量CODcr</w:t>
            </w:r>
          </w:p>
        </w:tc>
        <w:tc>
          <w:tcPr>
            <w:tcW w:w="993" w:type="dxa"/>
            <w:vAlign w:val="center"/>
          </w:tcPr>
          <w:p>
            <w:pPr>
              <w:pStyle w:val="63"/>
              <w:spacing w:line="320" w:lineRule="exact"/>
              <w:rPr>
                <w:lang w:eastAsia="zh-CN"/>
              </w:rPr>
            </w:pPr>
            <w:r>
              <w:rPr>
                <w:lang w:eastAsia="zh-CN"/>
              </w:rPr>
              <w:t>氨氮NH</w:t>
            </w:r>
            <w:r>
              <w:rPr>
                <w:vertAlign w:val="subscript"/>
                <w:lang w:eastAsia="zh-CN"/>
              </w:rPr>
              <w:t>3</w:t>
            </w:r>
            <w:r>
              <w:rPr>
                <w:lang w:eastAsia="zh-CN"/>
              </w:rPr>
              <w:t>-N</w:t>
            </w:r>
          </w:p>
        </w:tc>
        <w:tc>
          <w:tcPr>
            <w:tcW w:w="1129" w:type="dxa"/>
            <w:vAlign w:val="center"/>
          </w:tcPr>
          <w:p>
            <w:pPr>
              <w:pStyle w:val="63"/>
              <w:spacing w:line="320" w:lineRule="exact"/>
              <w:rPr>
                <w:lang w:eastAsia="zh-CN"/>
              </w:rPr>
            </w:pPr>
            <w:r>
              <w:rPr>
                <w:lang w:eastAsia="zh-CN"/>
              </w:rPr>
              <w:t>总磷</w:t>
            </w:r>
          </w:p>
          <w:p>
            <w:pPr>
              <w:pStyle w:val="63"/>
              <w:spacing w:line="320" w:lineRule="exact"/>
              <w:rPr>
                <w:lang w:eastAsia="zh-CN"/>
              </w:rPr>
            </w:pPr>
            <w:r>
              <w:rPr>
                <w:lang w:eastAsia="zh-CN"/>
              </w:rPr>
              <w:t>TP</w:t>
            </w:r>
            <w:r>
              <w:rPr>
                <w:rFonts w:hint="eastAsia"/>
                <w:lang w:eastAsia="zh-CN"/>
              </w:rPr>
              <w:t>（以P计）</w:t>
            </w:r>
          </w:p>
        </w:tc>
        <w:tc>
          <w:tcPr>
            <w:tcW w:w="1277" w:type="dxa"/>
            <w:vAlign w:val="center"/>
          </w:tcPr>
          <w:p>
            <w:pPr>
              <w:pStyle w:val="63"/>
              <w:spacing w:line="320" w:lineRule="exact"/>
              <w:rPr>
                <w:lang w:eastAsia="zh-CN"/>
              </w:rPr>
            </w:pPr>
            <w:r>
              <w:rPr>
                <w:lang w:eastAsia="zh-CN"/>
              </w:rPr>
              <w:t>氯化物</w:t>
            </w:r>
          </w:p>
          <w:p>
            <w:pPr>
              <w:pStyle w:val="63"/>
              <w:spacing w:line="320" w:lineRule="exact"/>
              <w:rPr>
                <w:lang w:eastAsia="zh-CN"/>
              </w:rPr>
            </w:pPr>
            <w:r>
              <w:rPr>
                <w:lang w:eastAsia="zh-CN"/>
              </w:rPr>
              <w:t>（以Cl</w:t>
            </w:r>
            <w:r>
              <w:rPr>
                <w:vertAlign w:val="superscript"/>
                <w:lang w:eastAsia="zh-CN"/>
              </w:rPr>
              <w:t>-</w:t>
            </w:r>
            <w:r>
              <w:rPr>
                <w:lang w:eastAsia="zh-CN"/>
              </w:rPr>
              <w:t>计）</w:t>
            </w:r>
          </w:p>
        </w:tc>
        <w:tc>
          <w:tcPr>
            <w:tcW w:w="1843" w:type="dxa"/>
            <w:vAlign w:val="center"/>
          </w:tcPr>
          <w:p>
            <w:pPr>
              <w:pStyle w:val="63"/>
              <w:spacing w:line="320" w:lineRule="exact"/>
              <w:rPr>
                <w:lang w:eastAsia="zh-CN"/>
              </w:rPr>
            </w:pPr>
            <w:r>
              <w:rPr>
                <w:lang w:eastAsia="zh-CN"/>
              </w:rPr>
              <w:t>单位产品基准排水量</w:t>
            </w:r>
          </w:p>
        </w:tc>
        <w:tc>
          <w:tcPr>
            <w:tcW w:w="1947" w:type="dxa"/>
            <w:vMerge w:val="restart"/>
            <w:vAlign w:val="center"/>
          </w:tcPr>
          <w:p>
            <w:pPr>
              <w:pStyle w:val="63"/>
              <w:spacing w:line="320" w:lineRule="exact"/>
              <w:rPr>
                <w:lang w:eastAsia="zh-CN"/>
              </w:rPr>
            </w:pPr>
            <w:r>
              <w:rPr>
                <w:lang w:eastAsia="zh-CN"/>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Merge w:val="continue"/>
            <w:vAlign w:val="center"/>
          </w:tcPr>
          <w:p>
            <w:pPr>
              <w:pStyle w:val="63"/>
              <w:spacing w:line="320" w:lineRule="exact"/>
              <w:rPr>
                <w:lang w:eastAsia="zh-CN"/>
              </w:rPr>
            </w:pPr>
          </w:p>
        </w:tc>
        <w:tc>
          <w:tcPr>
            <w:tcW w:w="1416" w:type="dxa"/>
            <w:vAlign w:val="center"/>
          </w:tcPr>
          <w:p>
            <w:pPr>
              <w:pStyle w:val="63"/>
              <w:spacing w:line="320" w:lineRule="exact"/>
              <w:rPr>
                <w:lang w:eastAsia="zh-CN"/>
              </w:rPr>
            </w:pPr>
            <w:r>
              <w:rPr>
                <w:lang w:eastAsia="zh-CN"/>
              </w:rPr>
              <w:t>mg/L</w:t>
            </w:r>
          </w:p>
        </w:tc>
        <w:tc>
          <w:tcPr>
            <w:tcW w:w="993" w:type="dxa"/>
            <w:vAlign w:val="center"/>
          </w:tcPr>
          <w:p>
            <w:pPr>
              <w:pStyle w:val="63"/>
              <w:spacing w:line="320" w:lineRule="exact"/>
              <w:rPr>
                <w:lang w:eastAsia="zh-CN"/>
              </w:rPr>
            </w:pPr>
            <w:r>
              <w:rPr>
                <w:lang w:eastAsia="zh-CN"/>
              </w:rPr>
              <w:t>mg/L</w:t>
            </w:r>
          </w:p>
        </w:tc>
        <w:tc>
          <w:tcPr>
            <w:tcW w:w="1129" w:type="dxa"/>
            <w:vAlign w:val="center"/>
          </w:tcPr>
          <w:p>
            <w:pPr>
              <w:pStyle w:val="63"/>
              <w:spacing w:line="320" w:lineRule="exact"/>
              <w:rPr>
                <w:lang w:eastAsia="zh-CN"/>
              </w:rPr>
            </w:pPr>
            <w:r>
              <w:rPr>
                <w:lang w:eastAsia="zh-CN"/>
              </w:rPr>
              <w:t>mg/L</w:t>
            </w:r>
          </w:p>
        </w:tc>
        <w:tc>
          <w:tcPr>
            <w:tcW w:w="1277" w:type="dxa"/>
            <w:vAlign w:val="center"/>
          </w:tcPr>
          <w:p>
            <w:pPr>
              <w:pStyle w:val="63"/>
              <w:spacing w:line="320" w:lineRule="exact"/>
              <w:rPr>
                <w:lang w:eastAsia="zh-CN"/>
              </w:rPr>
            </w:pPr>
            <w:r>
              <w:rPr>
                <w:lang w:eastAsia="zh-CN"/>
              </w:rPr>
              <w:t>mg/L</w:t>
            </w:r>
          </w:p>
        </w:tc>
        <w:tc>
          <w:tcPr>
            <w:tcW w:w="1843" w:type="dxa"/>
            <w:vAlign w:val="center"/>
          </w:tcPr>
          <w:p>
            <w:pPr>
              <w:pStyle w:val="63"/>
              <w:spacing w:line="320" w:lineRule="exact"/>
              <w:rPr>
                <w:lang w:eastAsia="zh-CN"/>
              </w:rPr>
            </w:pPr>
            <w:r>
              <w:rPr>
                <w:lang w:eastAsia="zh-CN"/>
              </w:rPr>
              <w:t>m</w:t>
            </w:r>
            <w:r>
              <w:rPr>
                <w:vertAlign w:val="superscript"/>
                <w:lang w:eastAsia="zh-CN"/>
              </w:rPr>
              <w:t>3</w:t>
            </w:r>
            <w:r>
              <w:rPr>
                <w:lang w:eastAsia="zh-CN"/>
              </w:rPr>
              <w:t>/t产品</w:t>
            </w:r>
          </w:p>
        </w:tc>
        <w:tc>
          <w:tcPr>
            <w:tcW w:w="1947" w:type="dxa"/>
            <w:vMerge w:val="continue"/>
            <w:vAlign w:val="center"/>
          </w:tcPr>
          <w:p>
            <w:pPr>
              <w:pStyle w:val="63"/>
              <w:spacing w:line="32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5" w:type="dxa"/>
            <w:vAlign w:val="center"/>
          </w:tcPr>
          <w:p>
            <w:pPr>
              <w:pStyle w:val="63"/>
              <w:spacing w:line="320" w:lineRule="exact"/>
              <w:rPr>
                <w:lang w:eastAsia="zh-CN"/>
              </w:rPr>
            </w:pPr>
            <w:r>
              <w:rPr>
                <w:lang w:eastAsia="zh-CN"/>
              </w:rPr>
              <w:t>标准值</w:t>
            </w:r>
          </w:p>
        </w:tc>
        <w:tc>
          <w:tcPr>
            <w:tcW w:w="1416" w:type="dxa"/>
            <w:vAlign w:val="center"/>
          </w:tcPr>
          <w:p>
            <w:pPr>
              <w:pStyle w:val="63"/>
              <w:spacing w:line="320" w:lineRule="exact"/>
              <w:rPr>
                <w:lang w:eastAsia="zh-CN"/>
              </w:rPr>
            </w:pPr>
            <w:r>
              <w:rPr>
                <w:lang w:eastAsia="zh-CN"/>
              </w:rPr>
              <w:t>100</w:t>
            </w:r>
          </w:p>
        </w:tc>
        <w:tc>
          <w:tcPr>
            <w:tcW w:w="993" w:type="dxa"/>
            <w:vAlign w:val="center"/>
          </w:tcPr>
          <w:p>
            <w:pPr>
              <w:pStyle w:val="63"/>
              <w:spacing w:line="320" w:lineRule="exact"/>
              <w:rPr>
                <w:lang w:eastAsia="zh-CN"/>
              </w:rPr>
            </w:pPr>
            <w:r>
              <w:rPr>
                <w:lang w:eastAsia="zh-CN"/>
              </w:rPr>
              <w:t>15</w:t>
            </w:r>
          </w:p>
        </w:tc>
        <w:tc>
          <w:tcPr>
            <w:tcW w:w="1129" w:type="dxa"/>
            <w:vAlign w:val="center"/>
          </w:tcPr>
          <w:p>
            <w:pPr>
              <w:pStyle w:val="63"/>
              <w:spacing w:line="320" w:lineRule="exact"/>
              <w:rPr>
                <w:lang w:eastAsia="zh-CN"/>
              </w:rPr>
            </w:pPr>
            <w:r>
              <w:rPr>
                <w:lang w:eastAsia="zh-CN"/>
              </w:rPr>
              <w:t>0.5</w:t>
            </w:r>
          </w:p>
        </w:tc>
        <w:tc>
          <w:tcPr>
            <w:tcW w:w="1277" w:type="dxa"/>
            <w:vAlign w:val="center"/>
          </w:tcPr>
          <w:p>
            <w:pPr>
              <w:pStyle w:val="63"/>
              <w:spacing w:line="320" w:lineRule="exact"/>
              <w:rPr>
                <w:lang w:eastAsia="zh-CN"/>
              </w:rPr>
            </w:pPr>
            <w:r>
              <w:rPr>
                <w:lang w:eastAsia="zh-CN"/>
              </w:rPr>
              <w:t>8000</w:t>
            </w:r>
          </w:p>
        </w:tc>
        <w:tc>
          <w:tcPr>
            <w:tcW w:w="1843" w:type="dxa"/>
            <w:vAlign w:val="center"/>
          </w:tcPr>
          <w:p>
            <w:pPr>
              <w:pStyle w:val="63"/>
              <w:spacing w:line="320" w:lineRule="exact"/>
              <w:rPr>
                <w:lang w:eastAsia="zh-CN"/>
              </w:rPr>
            </w:pPr>
            <w:r>
              <w:rPr>
                <w:lang w:eastAsia="zh-CN"/>
              </w:rPr>
              <w:t>15</w:t>
            </w:r>
          </w:p>
        </w:tc>
        <w:tc>
          <w:tcPr>
            <w:tcW w:w="1947" w:type="dxa"/>
            <w:vAlign w:val="center"/>
          </w:tcPr>
          <w:p>
            <w:pPr>
              <w:pStyle w:val="63"/>
              <w:spacing w:line="320" w:lineRule="exact"/>
              <w:rPr>
                <w:lang w:eastAsia="zh-CN"/>
              </w:rPr>
            </w:pPr>
            <w:r>
              <w:rPr>
                <w:lang w:eastAsia="zh-CN"/>
              </w:rPr>
              <w:t>企业废水总排放口</w:t>
            </w:r>
          </w:p>
        </w:tc>
      </w:tr>
    </w:tbl>
    <w:p>
      <w:pPr>
        <w:spacing w:line="320" w:lineRule="exact"/>
      </w:pPr>
    </w:p>
    <w:p>
      <w:pPr>
        <w:numPr>
          <w:ilvl w:val="0"/>
          <w:numId w:val="3"/>
        </w:numPr>
        <w:spacing w:line="360" w:lineRule="exact"/>
        <w:ind w:left="0" w:firstLine="0"/>
        <w:jc w:val="center"/>
        <w:rPr>
          <w:rFonts w:ascii="Times New Roman" w:hAnsi="Times New Roman" w:eastAsia="黑体" w:cs="Times New Roman"/>
        </w:rPr>
      </w:pPr>
      <w:r>
        <w:rPr>
          <w:rFonts w:hint="eastAsia" w:ascii="Times New Roman" w:hAnsi="Times New Roman" w:eastAsia="黑体" w:cs="Times New Roman"/>
        </w:rPr>
        <w:t>榨菜行业水污染物排放标准值</w:t>
      </w:r>
    </w:p>
    <w:tbl>
      <w:tblPr>
        <w:tblStyle w:val="3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15"/>
        <w:gridCol w:w="993"/>
        <w:gridCol w:w="1133"/>
        <w:gridCol w:w="1277"/>
        <w:gridCol w:w="184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1" w:type="dxa"/>
            <w:vMerge w:val="restart"/>
            <w:vAlign w:val="center"/>
          </w:tcPr>
          <w:p>
            <w:pPr>
              <w:pStyle w:val="63"/>
              <w:spacing w:line="320" w:lineRule="exact"/>
              <w:rPr>
                <w:lang w:eastAsia="zh-CN"/>
              </w:rPr>
            </w:pPr>
            <w:r>
              <w:rPr>
                <w:lang w:eastAsia="zh-CN"/>
              </w:rPr>
              <w:t>污染物</w:t>
            </w:r>
          </w:p>
        </w:tc>
        <w:tc>
          <w:tcPr>
            <w:tcW w:w="1315" w:type="dxa"/>
            <w:vAlign w:val="center"/>
          </w:tcPr>
          <w:p>
            <w:pPr>
              <w:pStyle w:val="63"/>
              <w:spacing w:line="320" w:lineRule="exact"/>
              <w:rPr>
                <w:lang w:eastAsia="zh-CN"/>
              </w:rPr>
            </w:pPr>
            <w:r>
              <w:rPr>
                <w:lang w:eastAsia="zh-CN"/>
              </w:rPr>
              <w:t>化学需氧量CODcr</w:t>
            </w:r>
          </w:p>
        </w:tc>
        <w:tc>
          <w:tcPr>
            <w:tcW w:w="993" w:type="dxa"/>
            <w:vAlign w:val="center"/>
          </w:tcPr>
          <w:p>
            <w:pPr>
              <w:pStyle w:val="63"/>
              <w:spacing w:line="320" w:lineRule="exact"/>
              <w:rPr>
                <w:lang w:eastAsia="zh-CN"/>
              </w:rPr>
            </w:pPr>
            <w:r>
              <w:rPr>
                <w:lang w:eastAsia="zh-CN"/>
              </w:rPr>
              <w:t>氨氮NH</w:t>
            </w:r>
            <w:r>
              <w:rPr>
                <w:vertAlign w:val="subscript"/>
                <w:lang w:eastAsia="zh-CN"/>
              </w:rPr>
              <w:t>3</w:t>
            </w:r>
            <w:r>
              <w:rPr>
                <w:lang w:eastAsia="zh-CN"/>
              </w:rPr>
              <w:t>-N</w:t>
            </w:r>
          </w:p>
        </w:tc>
        <w:tc>
          <w:tcPr>
            <w:tcW w:w="1133" w:type="dxa"/>
            <w:vAlign w:val="center"/>
          </w:tcPr>
          <w:p>
            <w:pPr>
              <w:pStyle w:val="63"/>
              <w:spacing w:line="320" w:lineRule="exact"/>
              <w:rPr>
                <w:lang w:eastAsia="zh-CN"/>
              </w:rPr>
            </w:pPr>
            <w:r>
              <w:rPr>
                <w:lang w:eastAsia="zh-CN"/>
              </w:rPr>
              <w:t>总磷</w:t>
            </w:r>
          </w:p>
          <w:p>
            <w:pPr>
              <w:pStyle w:val="63"/>
              <w:spacing w:line="320" w:lineRule="exact"/>
              <w:rPr>
                <w:lang w:eastAsia="zh-CN"/>
              </w:rPr>
            </w:pPr>
            <w:r>
              <w:rPr>
                <w:lang w:eastAsia="zh-CN"/>
              </w:rPr>
              <w:t>TP</w:t>
            </w:r>
            <w:r>
              <w:rPr>
                <w:rFonts w:hint="eastAsia"/>
                <w:lang w:eastAsia="zh-CN"/>
              </w:rPr>
              <w:t>（以P计）</w:t>
            </w:r>
          </w:p>
        </w:tc>
        <w:tc>
          <w:tcPr>
            <w:tcW w:w="1277" w:type="dxa"/>
            <w:vAlign w:val="center"/>
          </w:tcPr>
          <w:p>
            <w:pPr>
              <w:pStyle w:val="63"/>
              <w:spacing w:line="320" w:lineRule="exact"/>
              <w:rPr>
                <w:lang w:eastAsia="zh-CN"/>
              </w:rPr>
            </w:pPr>
            <w:r>
              <w:rPr>
                <w:lang w:eastAsia="zh-CN"/>
              </w:rPr>
              <w:t>氯化物</w:t>
            </w:r>
          </w:p>
          <w:p>
            <w:pPr>
              <w:pStyle w:val="63"/>
              <w:spacing w:line="320" w:lineRule="exact"/>
              <w:rPr>
                <w:lang w:eastAsia="zh-CN"/>
              </w:rPr>
            </w:pPr>
            <w:r>
              <w:rPr>
                <w:lang w:eastAsia="zh-CN"/>
              </w:rPr>
              <w:t>（以Cl</w:t>
            </w:r>
            <w:r>
              <w:rPr>
                <w:vertAlign w:val="superscript"/>
                <w:lang w:eastAsia="zh-CN"/>
              </w:rPr>
              <w:t>-</w:t>
            </w:r>
            <w:r>
              <w:rPr>
                <w:lang w:eastAsia="zh-CN"/>
              </w:rPr>
              <w:t>计）</w:t>
            </w:r>
          </w:p>
        </w:tc>
        <w:tc>
          <w:tcPr>
            <w:tcW w:w="1841" w:type="dxa"/>
            <w:vAlign w:val="center"/>
          </w:tcPr>
          <w:p>
            <w:pPr>
              <w:pStyle w:val="63"/>
              <w:spacing w:line="320" w:lineRule="exact"/>
              <w:rPr>
                <w:lang w:eastAsia="zh-CN"/>
              </w:rPr>
            </w:pPr>
            <w:r>
              <w:rPr>
                <w:lang w:eastAsia="zh-CN"/>
              </w:rPr>
              <w:t>单位产品基准排水量</w:t>
            </w:r>
          </w:p>
        </w:tc>
        <w:tc>
          <w:tcPr>
            <w:tcW w:w="1950" w:type="dxa"/>
            <w:vMerge w:val="restart"/>
            <w:vAlign w:val="center"/>
          </w:tcPr>
          <w:p>
            <w:pPr>
              <w:pStyle w:val="63"/>
              <w:spacing w:line="320" w:lineRule="exact"/>
              <w:rPr>
                <w:lang w:eastAsia="zh-CN"/>
              </w:rPr>
            </w:pPr>
            <w:r>
              <w:rPr>
                <w:lang w:eastAsia="zh-CN"/>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1" w:type="dxa"/>
            <w:vMerge w:val="continue"/>
            <w:vAlign w:val="center"/>
          </w:tcPr>
          <w:p>
            <w:pPr>
              <w:pStyle w:val="63"/>
              <w:spacing w:line="320" w:lineRule="exact"/>
              <w:rPr>
                <w:lang w:eastAsia="zh-CN"/>
              </w:rPr>
            </w:pPr>
          </w:p>
        </w:tc>
        <w:tc>
          <w:tcPr>
            <w:tcW w:w="1315" w:type="dxa"/>
            <w:vAlign w:val="center"/>
          </w:tcPr>
          <w:p>
            <w:pPr>
              <w:pStyle w:val="63"/>
              <w:spacing w:line="320" w:lineRule="exact"/>
              <w:rPr>
                <w:lang w:eastAsia="zh-CN"/>
              </w:rPr>
            </w:pPr>
            <w:r>
              <w:rPr>
                <w:lang w:eastAsia="zh-CN"/>
              </w:rPr>
              <w:t>mg/L</w:t>
            </w:r>
          </w:p>
        </w:tc>
        <w:tc>
          <w:tcPr>
            <w:tcW w:w="993" w:type="dxa"/>
            <w:vAlign w:val="center"/>
          </w:tcPr>
          <w:p>
            <w:pPr>
              <w:pStyle w:val="63"/>
              <w:spacing w:line="320" w:lineRule="exact"/>
              <w:rPr>
                <w:lang w:eastAsia="zh-CN"/>
              </w:rPr>
            </w:pPr>
            <w:r>
              <w:rPr>
                <w:lang w:eastAsia="zh-CN"/>
              </w:rPr>
              <w:t>mg/L</w:t>
            </w:r>
          </w:p>
        </w:tc>
        <w:tc>
          <w:tcPr>
            <w:tcW w:w="1133" w:type="dxa"/>
            <w:vAlign w:val="center"/>
          </w:tcPr>
          <w:p>
            <w:pPr>
              <w:pStyle w:val="63"/>
              <w:spacing w:line="320" w:lineRule="exact"/>
              <w:rPr>
                <w:lang w:eastAsia="zh-CN"/>
              </w:rPr>
            </w:pPr>
            <w:r>
              <w:rPr>
                <w:lang w:eastAsia="zh-CN"/>
              </w:rPr>
              <w:t>mg/L</w:t>
            </w:r>
          </w:p>
        </w:tc>
        <w:tc>
          <w:tcPr>
            <w:tcW w:w="1277" w:type="dxa"/>
            <w:vAlign w:val="center"/>
          </w:tcPr>
          <w:p>
            <w:pPr>
              <w:pStyle w:val="63"/>
              <w:spacing w:line="320" w:lineRule="exact"/>
              <w:rPr>
                <w:lang w:eastAsia="zh-CN"/>
              </w:rPr>
            </w:pPr>
            <w:r>
              <w:rPr>
                <w:lang w:eastAsia="zh-CN"/>
              </w:rPr>
              <w:t>mg/L</w:t>
            </w:r>
          </w:p>
        </w:tc>
        <w:tc>
          <w:tcPr>
            <w:tcW w:w="1841" w:type="dxa"/>
          </w:tcPr>
          <w:p>
            <w:pPr>
              <w:pStyle w:val="63"/>
              <w:spacing w:line="320" w:lineRule="exact"/>
              <w:rPr>
                <w:lang w:eastAsia="zh-CN"/>
              </w:rPr>
            </w:pPr>
            <w:r>
              <w:rPr>
                <w:lang w:eastAsia="zh-CN"/>
              </w:rPr>
              <w:t>m</w:t>
            </w:r>
            <w:r>
              <w:rPr>
                <w:vertAlign w:val="superscript"/>
                <w:lang w:eastAsia="zh-CN"/>
              </w:rPr>
              <w:t>3</w:t>
            </w:r>
            <w:r>
              <w:rPr>
                <w:lang w:eastAsia="zh-CN"/>
              </w:rPr>
              <w:t>/t产品</w:t>
            </w:r>
          </w:p>
        </w:tc>
        <w:tc>
          <w:tcPr>
            <w:tcW w:w="1950" w:type="dxa"/>
            <w:vMerge w:val="continue"/>
            <w:vAlign w:val="center"/>
          </w:tcPr>
          <w:p>
            <w:pPr>
              <w:pStyle w:val="63"/>
              <w:spacing w:line="32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1" w:type="dxa"/>
            <w:vAlign w:val="center"/>
          </w:tcPr>
          <w:p>
            <w:pPr>
              <w:pStyle w:val="63"/>
              <w:spacing w:line="320" w:lineRule="exact"/>
              <w:rPr>
                <w:lang w:eastAsia="zh-CN"/>
              </w:rPr>
            </w:pPr>
            <w:r>
              <w:rPr>
                <w:lang w:eastAsia="zh-CN"/>
              </w:rPr>
              <w:t>标准值</w:t>
            </w:r>
          </w:p>
        </w:tc>
        <w:tc>
          <w:tcPr>
            <w:tcW w:w="1315" w:type="dxa"/>
            <w:vAlign w:val="center"/>
          </w:tcPr>
          <w:p>
            <w:pPr>
              <w:pStyle w:val="63"/>
              <w:spacing w:line="320" w:lineRule="exact"/>
              <w:rPr>
                <w:lang w:eastAsia="zh-CN"/>
              </w:rPr>
            </w:pPr>
            <w:r>
              <w:rPr>
                <w:lang w:eastAsia="zh-CN"/>
              </w:rPr>
              <w:t>80</w:t>
            </w:r>
          </w:p>
        </w:tc>
        <w:tc>
          <w:tcPr>
            <w:tcW w:w="993" w:type="dxa"/>
            <w:vAlign w:val="center"/>
          </w:tcPr>
          <w:p>
            <w:pPr>
              <w:pStyle w:val="63"/>
              <w:spacing w:line="320" w:lineRule="exact"/>
              <w:rPr>
                <w:lang w:eastAsia="zh-CN"/>
              </w:rPr>
            </w:pPr>
            <w:r>
              <w:rPr>
                <w:lang w:eastAsia="zh-CN"/>
              </w:rPr>
              <w:t>10</w:t>
            </w:r>
          </w:p>
        </w:tc>
        <w:tc>
          <w:tcPr>
            <w:tcW w:w="1133" w:type="dxa"/>
            <w:vAlign w:val="center"/>
          </w:tcPr>
          <w:p>
            <w:pPr>
              <w:pStyle w:val="63"/>
              <w:spacing w:line="320" w:lineRule="exact"/>
              <w:rPr>
                <w:lang w:eastAsia="zh-CN"/>
              </w:rPr>
            </w:pPr>
            <w:r>
              <w:rPr>
                <w:lang w:eastAsia="zh-CN"/>
              </w:rPr>
              <w:t>0.5</w:t>
            </w:r>
          </w:p>
        </w:tc>
        <w:tc>
          <w:tcPr>
            <w:tcW w:w="1277" w:type="dxa"/>
            <w:vAlign w:val="center"/>
          </w:tcPr>
          <w:p>
            <w:pPr>
              <w:pStyle w:val="63"/>
              <w:spacing w:line="320" w:lineRule="exact"/>
              <w:rPr>
                <w:lang w:eastAsia="zh-CN"/>
              </w:rPr>
            </w:pPr>
            <w:r>
              <w:rPr>
                <w:lang w:eastAsia="zh-CN"/>
              </w:rPr>
              <w:t>7000</w:t>
            </w:r>
          </w:p>
        </w:tc>
        <w:tc>
          <w:tcPr>
            <w:tcW w:w="1841" w:type="dxa"/>
            <w:vAlign w:val="center"/>
          </w:tcPr>
          <w:p>
            <w:pPr>
              <w:pStyle w:val="63"/>
              <w:spacing w:line="320" w:lineRule="exact"/>
              <w:rPr>
                <w:lang w:eastAsia="zh-CN"/>
              </w:rPr>
            </w:pPr>
            <w:r>
              <w:rPr>
                <w:lang w:eastAsia="zh-CN"/>
              </w:rPr>
              <w:t>12</w:t>
            </w:r>
          </w:p>
        </w:tc>
        <w:tc>
          <w:tcPr>
            <w:tcW w:w="1950" w:type="dxa"/>
            <w:vAlign w:val="center"/>
          </w:tcPr>
          <w:p>
            <w:pPr>
              <w:pStyle w:val="63"/>
              <w:spacing w:line="320" w:lineRule="exact"/>
              <w:rPr>
                <w:lang w:eastAsia="zh-CN"/>
              </w:rPr>
            </w:pPr>
            <w:r>
              <w:rPr>
                <w:lang w:eastAsia="zh-CN"/>
              </w:rPr>
              <w:t>企业废水总排放口</w:t>
            </w:r>
          </w:p>
        </w:tc>
      </w:tr>
    </w:tbl>
    <w:p>
      <w:pPr>
        <w:spacing w:line="320" w:lineRule="exact"/>
      </w:pPr>
    </w:p>
    <w:p>
      <w:pPr>
        <w:pStyle w:val="6"/>
        <w:ind w:left="0" w:firstLine="0"/>
      </w:pPr>
      <w:r>
        <w:t>水污染物排放浓度限值适用于单位产品实际排水量不高于单位产品基准排水量的情况。若单位产品实际排水量超过单位产品基准排水量，应按公式（1）将实测水污染物浓度换算为水污染物基准水量排放浓度，并以水污染物基准水量排放浓度作为判定排放是否达标的依据。产品产量和排水量统计周期为一个工作日。</w:t>
      </w:r>
    </w:p>
    <w:p>
      <w:pPr>
        <w:pStyle w:val="6"/>
        <w:numPr>
          <w:ilvl w:val="2"/>
          <w:numId w:val="0"/>
        </w:numPr>
        <w:ind w:firstLine="420" w:firstLineChars="200"/>
      </w:pPr>
      <w:r>
        <w:t>若企业同时生产两种以上产品可适用不同排放控制要求或不同行业国家污染物排放标准，且生产设施产生的污水混合处理排放的情况下，应执行排放标准中规定的最严格的浓度限值，并按公式（1）换算水污染物基准水量排放浓度。</w:t>
      </w:r>
    </w:p>
    <w:p>
      <w:pPr>
        <w:ind w:firstLine="420" w:firstLineChars="200"/>
        <w:jc w:val="center"/>
      </w:pPr>
      <w:r>
        <w:rPr>
          <w:rFonts w:hint="eastAsia"/>
          <w:position w:val="-26"/>
        </w:rPr>
        <w:t xml:space="preserve">                             </w:t>
      </w:r>
      <w:r>
        <w:rPr>
          <w:position w:val="-32"/>
        </w:rPr>
        <w:object>
          <v:shape id="_x0000_i1025" o:spt="75" type="#_x0000_t75" style="height:39.75pt;width:114.5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fldChar w:fldCharType="begin"/>
      </w:r>
      <w:r>
        <w:instrText xml:space="preserve"> QUOTE </w:instrText>
      </w:r>
      <w:r>
        <w:rPr>
          <w:position w:val="-26"/>
        </w:rPr>
        <w:pict>
          <v:shape id="_x0000_i1026" o:spt="75" type="#_x0000_t75" style="height:31.3pt;width:79.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bordersDontSurroundHeader/&gt;&lt;w:bordersDontSurroundFooter/&gt;&lt;w:linkStyle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docVars&gt;&lt;w:docVar w:name=&quot;__Grammarly_42____i&quot; w:val=&quot;H4sIAAAAAAAEAKtWckksSQxILCpxzi/NK1GyMqwFAAEhoTITAAAA&quot;/&gt;&lt;w:docVar w:name=&quot;__Grammarly_42___1&quot; w:val=&quot;H4sIAAAAAAAEAKtWcslP9kxRslIyNDa0NDcwMLc0NLUwN7EwMrVU0lEKTi0uzszPAykwrAUA39xV+CwAAAA=&quot;/&gt;&lt;/w:docVars&gt;&lt;wsp:rsids&gt;&lt;wsp:rsidRoot wsp:val=&quot;00AA32F3&quot;/&gt;&lt;wsp:rsid wsp:val=&quot;00007199&quot;/&gt;&lt;wsp:rsid wsp:val=&quot;000125FF&quot;/&gt;&lt;wsp:rsid wsp:val=&quot;00014AE5&quot;/&gt;&lt;wsp:rsid wsp:val=&quot;00034C75&quot;/&gt;&lt;wsp:rsid wsp:val=&quot;000427E9&quot;/&gt;&lt;wsp:rsid wsp:val=&quot;00050D45&quot;/&gt;&lt;wsp:rsid wsp:val=&quot;0005242A&quot;/&gt;&lt;wsp:rsid wsp:val=&quot;00065A4D&quot;/&gt;&lt;wsp:rsid wsp:val=&quot;00091A25&quot;/&gt;&lt;wsp:rsid wsp:val=&quot;000A2CCE&quot;/&gt;&lt;wsp:rsid wsp:val=&quot;000A6D9C&quot;/&gt;&lt;wsp:rsid wsp:val=&quot;000B03B9&quot;/&gt;&lt;wsp:rsid wsp:val=&quot;000B07FB&quot;/&gt;&lt;wsp:rsid wsp:val=&quot;000B1515&quot;/&gt;&lt;wsp:rsid wsp:val=&quot;000B22AC&quot;/&gt;&lt;wsp:rsid wsp:val=&quot;000B488A&quot;/&gt;&lt;wsp:rsid wsp:val=&quot;000D09E6&quot;/&gt;&lt;wsp:rsid wsp:val=&quot;000F4FE9&quot;/&gt;&lt;wsp:rsid wsp:val=&quot;001038F7&quot;/&gt;&lt;wsp:rsid wsp:val=&quot;00105A02&quot;/&gt;&lt;wsp:rsid wsp:val=&quot;00123B27&quot;/&gt;&lt;wsp:rsid wsp:val=&quot;0012536A&quot;/&gt;&lt;wsp:rsid wsp:val=&quot;00126CAF&quot;/&gt;&lt;wsp:rsid wsp:val=&quot;001459F8&quot;/&gt;&lt;wsp:rsid wsp:val=&quot;00150663&quot;/&gt;&lt;wsp:rsid wsp:val=&quot;00161EF1&quot;/&gt;&lt;wsp:rsid wsp:val=&quot;00171228&quot;/&gt;&lt;wsp:rsid wsp:val=&quot;001A1211&quot;/&gt;&lt;wsp:rsid wsp:val=&quot;001B06AF&quot;/&gt;&lt;wsp:rsid wsp:val=&quot;001B7C90&quot;/&gt;&lt;wsp:rsid wsp:val=&quot;001C0D11&quot;/&gt;&lt;wsp:rsid wsp:val=&quot;001E3CBE&quot;/&gt;&lt;wsp:rsid wsp:val=&quot;001E4B2A&quot;/&gt;&lt;wsp:rsid wsp:val=&quot;001F0DE7&quot;/&gt;&lt;wsp:rsid wsp:val=&quot;001F62B7&quot;/&gt;&lt;wsp:rsid wsp:val=&quot;002007C2&quot;/&gt;&lt;wsp:rsid wsp:val=&quot;00230FD6&quot;/&gt;&lt;wsp:rsid wsp:val=&quot;00232490&quot;/&gt;&lt;wsp:rsid wsp:val=&quot;00232935&quot;/&gt;&lt;wsp:rsid wsp:val=&quot;00233351&quot;/&gt;&lt;wsp:rsid wsp:val=&quot;0023522A&quot;/&gt;&lt;wsp:rsid wsp:val=&quot;00256BBA&quot;/&gt;&lt;wsp:rsid wsp:val=&quot;00263187&quot;/&gt;&lt;wsp:rsid wsp:val=&quot;00276C3B&quot;/&gt;&lt;wsp:rsid wsp:val=&quot;00293FF9&quot;/&gt;&lt;wsp:rsid wsp:val=&quot;002E1AF8&quot;/&gt;&lt;wsp:rsid wsp:val=&quot;002E2A2A&quot;/&gt;&lt;wsp:rsid wsp:val=&quot;00307FDB&quot;/&gt;&lt;wsp:rsid wsp:val=&quot;0033075B&quot;/&gt;&lt;wsp:rsid wsp:val=&quot;003320D5&quot;/&gt;&lt;wsp:rsid wsp:val=&quot;0035144F&quot;/&gt;&lt;wsp:rsid wsp:val=&quot;00366E6A&quot;/&gt;&lt;wsp:rsid wsp:val=&quot;003705E3&quot;/&gt;&lt;wsp:rsid wsp:val=&quot;0037151D&quot;/&gt;&lt;wsp:rsid wsp:val=&quot;003920A4&quot;/&gt;&lt;wsp:rsid wsp:val=&quot;003935E1&quot;/&gt;&lt;wsp:rsid wsp:val=&quot;003A602F&quot;/&gt;&lt;wsp:rsid wsp:val=&quot;003B386C&quot;/&gt;&lt;wsp:rsid wsp:val=&quot;003C43F3&quot;/&gt;&lt;wsp:rsid wsp:val=&quot;003C5C41&quot;/&gt;&lt;wsp:rsid wsp:val=&quot;003C62E9&quot;/&gt;&lt;wsp:rsid wsp:val=&quot;003D346D&quot;/&gt;&lt;wsp:rsid wsp:val=&quot;003D3578&quot;/&gt;&lt;wsp:rsid wsp:val=&quot;003D7301&quot;/&gt;&lt;wsp:rsid wsp:val=&quot;003D7404&quot;/&gt;&lt;wsp:rsid wsp:val=&quot;003F50F8&quot;/&gt;&lt;wsp:rsid wsp:val=&quot;00427844&quot;/&gt;&lt;wsp:rsid wsp:val=&quot;0043443C&quot;/&gt;&lt;wsp:rsid wsp:val=&quot;00452CE7&quot;/&gt;&lt;wsp:rsid wsp:val=&quot;0045652E&quot;/&gt;&lt;wsp:rsid wsp:val=&quot;004956AC&quot;/&gt;&lt;wsp:rsid wsp:val=&quot;004A0714&quot;/&gt;&lt;wsp:rsid wsp:val=&quot;004C6742&quot;/&gt;&lt;wsp:rsid wsp:val=&quot;004C7858&quot;/&gt;&lt;wsp:rsid wsp:val=&quot;004D0307&quot;/&gt;&lt;wsp:rsid wsp:val=&quot;004E69DC&quot;/&gt;&lt;wsp:rsid wsp:val=&quot;004F5D22&quot;/&gt;&lt;wsp:rsid wsp:val=&quot;00516A0D&quot;/&gt;&lt;wsp:rsid wsp:val=&quot;00523FFF&quot;/&gt;&lt;wsp:rsid wsp:val=&quot;00547F20&quot;/&gt;&lt;wsp:rsid wsp:val=&quot;005608B0&quot;/&gt;&lt;wsp:rsid wsp:val=&quot;005A46EA&quot;/&gt;&lt;wsp:rsid wsp:val=&quot;005C4535&quot;/&gt;&lt;wsp:rsid wsp:val=&quot;005E4BA6&quot;/&gt;&lt;wsp:rsid wsp:val=&quot;005F419A&quot;/&gt;&lt;wsp:rsid wsp:val=&quot;00606F92&quot;/&gt;&lt;wsp:rsid wsp:val=&quot;0062507C&quot;/&gt;&lt;wsp:rsid wsp:val=&quot;0062662C&quot;/&gt;&lt;wsp:rsid wsp:val=&quot;006430A1&quot;/&gt;&lt;wsp:rsid wsp:val=&quot;00643505&quot;/&gt;&lt;wsp:rsid wsp:val=&quot;00656EBD&quot;/&gt;&lt;wsp:rsid wsp:val=&quot;00663772&quot;/&gt;&lt;wsp:rsid wsp:val=&quot;00672376&quot;/&gt;&lt;wsp:rsid wsp:val=&quot;0068017D&quot;/&gt;&lt;wsp:rsid wsp:val=&quot;00687459&quot;/&gt;&lt;wsp:rsid wsp:val=&quot;006B1F04&quot;/&gt;&lt;wsp:rsid wsp:val=&quot;006D356C&quot;/&gt;&lt;wsp:rsid wsp:val=&quot;006D7FBC&quot;/&gt;&lt;wsp:rsid wsp:val=&quot;006F29D6&quot;/&gt;&lt;wsp:rsid wsp:val=&quot;006F7923&quot;/&gt;&lt;wsp:rsid wsp:val=&quot;00714110&quot;/&gt;&lt;wsp:rsid wsp:val=&quot;00752A34&quot;/&gt;&lt;wsp:rsid wsp:val=&quot;0076513A&quot;/&gt;&lt;wsp:rsid wsp:val=&quot;00771F76&quot;/&gt;&lt;wsp:rsid wsp:val=&quot;00786633&quot;/&gt;&lt;wsp:rsid wsp:val=&quot;007A073A&quot;/&gt;&lt;wsp:rsid wsp:val=&quot;007B6DCF&quot;/&gt;&lt;wsp:rsid wsp:val=&quot;007C1C6F&quot;/&gt;&lt;wsp:rsid wsp:val=&quot;007D43F8&quot;/&gt;&lt;wsp:rsid wsp:val=&quot;007D674E&quot;/&gt;&lt;wsp:rsid wsp:val=&quot;007F197C&quot;/&gt;&lt;wsp:rsid wsp:val=&quot;007F4814&quot;/&gt;&lt;wsp:rsid wsp:val=&quot;00800A37&quot;/&gt;&lt;wsp:rsid wsp:val=&quot;00803E1C&quot;/&gt;&lt;wsp:rsid wsp:val=&quot;00811BE5&quot;/&gt;&lt;wsp:rsid wsp:val=&quot;00842A8A&quot;/&gt;&lt;wsp:rsid wsp:val=&quot;00845F3A&quot;/&gt;&lt;wsp:rsid wsp:val=&quot;00875EAB&quot;/&gt;&lt;wsp:rsid wsp:val=&quot;008B01DD&quot;/&gt;&lt;wsp:rsid wsp:val=&quot;008D29A2&quot;/&gt;&lt;wsp:rsid wsp:val=&quot;008F2913&quot;/&gt;&lt;wsp:rsid wsp:val=&quot;00902A98&quot;/&gt;&lt;wsp:rsid wsp:val=&quot;009038DA&quot;/&gt;&lt;wsp:rsid wsp:val=&quot;00941888&quot;/&gt;&lt;wsp:rsid wsp:val=&quot;00943CDE&quot;/&gt;&lt;wsp:rsid wsp:val=&quot;00967CB3&quot;/&gt;&lt;wsp:rsid wsp:val=&quot;00992EB7&quot;/&gt;&lt;wsp:rsid wsp:val=&quot;009A525C&quot;/&gt;&lt;wsp:rsid wsp:val=&quot;009A5D84&quot;/&gt;&lt;wsp:rsid wsp:val=&quot;009A791B&quot;/&gt;&lt;wsp:rsid wsp:val=&quot;009B3893&quot;/&gt;&lt;wsp:rsid wsp:val=&quot;009F5B89&quot;/&gt;&lt;wsp:rsid wsp:val=&quot;00A008E2&quot;/&gt;&lt;wsp:rsid wsp:val=&quot;00A00D9B&quot;/&gt;&lt;wsp:rsid wsp:val=&quot;00A33AA4&quot;/&gt;&lt;wsp:rsid wsp:val=&quot;00A370B4&quot;/&gt;&lt;wsp:rsid wsp:val=&quot;00A53D37&quot;/&gt;&lt;wsp:rsid wsp:val=&quot;00A82BB9&quot;/&gt;&lt;wsp:rsid wsp:val=&quot;00A84557&quot;/&gt;&lt;wsp:rsid wsp:val=&quot;00A90A2F&quot;/&gt;&lt;wsp:rsid wsp:val=&quot;00A926A0&quot;/&gt;&lt;wsp:rsid wsp:val=&quot;00AA32F3&quot;/&gt;&lt;wsp:rsid wsp:val=&quot;00AB79E9&quot;/&gt;&lt;wsp:rsid wsp:val=&quot;00B17192&quot;/&gt;&lt;wsp:rsid wsp:val=&quot;00B20085&quot;/&gt;&lt;wsp:rsid wsp:val=&quot;00B215F8&quot;/&gt;&lt;wsp:rsid wsp:val=&quot;00B23D80&quot;/&gt;&lt;wsp:rsid wsp:val=&quot;00B25FF4&quot;/&gt;&lt;wsp:rsid wsp:val=&quot;00B4333C&quot;/&gt;&lt;wsp:rsid wsp:val=&quot;00B43A09&quot;/&gt;&lt;wsp:rsid wsp:val=&quot;00B52D15&quot;/&gt;&lt;wsp:rsid wsp:val=&quot;00B649C6&quot;/&gt;&lt;wsp:rsid wsp:val=&quot;00B815BA&quot;/&gt;&lt;wsp:rsid wsp:val=&quot;00BB6078&quot;/&gt;&lt;wsp:rsid wsp:val=&quot;00BE1389&quot;/&gt;&lt;wsp:rsid wsp:val=&quot;00BE31B6&quot;/&gt;&lt;wsp:rsid wsp:val=&quot;00C041DE&quot;/&gt;&lt;wsp:rsid wsp:val=&quot;00C361F0&quot;/&gt;&lt;wsp:rsid wsp:val=&quot;00C8060A&quot;/&gt;&lt;wsp:rsid wsp:val=&quot;00C90115&quot;/&gt;&lt;wsp:rsid wsp:val=&quot;00C939C6&quot;/&gt;&lt;wsp:rsid wsp:val=&quot;00C97911&quot;/&gt;&lt;wsp:rsid wsp:val=&quot;00CB3E8A&quot;/&gt;&lt;wsp:rsid wsp:val=&quot;00CD2750&quot;/&gt;&lt;wsp:rsid wsp:val=&quot;00CD59FD&quot;/&gt;&lt;wsp:rsid wsp:val=&quot;00D1345D&quot;/&gt;&lt;wsp:rsid wsp:val=&quot;00D33346&quot;/&gt;&lt;wsp:rsid wsp:val=&quot;00D4549B&quot;/&gt;&lt;wsp:rsid wsp:val=&quot;00D63B74&quot;/&gt;&lt;wsp:rsid wsp:val=&quot;00D913CD&quot;/&gt;&lt;wsp:rsid wsp:val=&quot;00D939BD&quot;/&gt;&lt;wsp:rsid wsp:val=&quot;00DB5CAD&quot;/&gt;&lt;wsp:rsid wsp:val=&quot;00E10A48&quot;/&gt;&lt;wsp:rsid wsp:val=&quot;00E20CC7&quot;/&gt;&lt;wsp:rsid wsp:val=&quot;00E270A2&quot;/&gt;&lt;wsp:rsid wsp:val=&quot;00E278C1&quot;/&gt;&lt;wsp:rsid wsp:val=&quot;00E44F0C&quot;/&gt;&lt;wsp:rsid wsp:val=&quot;00E67AC7&quot;/&gt;&lt;wsp:rsid wsp:val=&quot;00E829A1&quot;/&gt;&lt;wsp:rsid wsp:val=&quot;00E864C2&quot;/&gt;&lt;wsp:rsid wsp:val=&quot;00EA2529&quot;/&gt;&lt;wsp:rsid wsp:val=&quot;00EA371B&quot;/&gt;&lt;wsp:rsid wsp:val=&quot;00EC54A8&quot;/&gt;&lt;wsp:rsid wsp:val=&quot;00ED57A6&quot;/&gt;&lt;wsp:rsid wsp:val=&quot;00F001FD&quot;/&gt;&lt;wsp:rsid wsp:val=&quot;00F07EAF&quot;/&gt;&lt;wsp:rsid wsp:val=&quot;00F16054&quot;/&gt;&lt;wsp:rsid wsp:val=&quot;00F243DE&quot;/&gt;&lt;wsp:rsid wsp:val=&quot;00F5203C&quot;/&gt;&lt;wsp:rsid wsp:val=&quot;00F617F0&quot;/&gt;&lt;wsp:rsid wsp:val=&quot;00F650FA&quot;/&gt;&lt;wsp:rsid wsp:val=&quot;00F66E89&quot;/&gt;&lt;wsp:rsid wsp:val=&quot;00F71358&quot;/&gt;&lt;wsp:rsid wsp:val=&quot;00F8440F&quot;/&gt;&lt;wsp:rsid wsp:val=&quot;00FA641D&quot;/&gt;&lt;wsp:rsid wsp:val=&quot;00FB321B&quot;/&gt;&lt;wsp:rsid wsp:val=&quot;00FC6A31&quot;/&gt;&lt;wsp:rsid wsp:val=&quot;00FE4016&quot;/&gt;&lt;/wsp:rsids&gt;&lt;/w:docPr&gt;&lt;w:body&gt;&lt;wx:sect&gt;&lt;aml:annotation aml:id=&quot;0&quot; w:type=&quot;Word.Bookmark.Start&quot; w:name=&quot;_Hlk20248473&quot;/&gt;&lt;w:p wsp:rsidR=&quot;00000000&quot; wsp:rsidRDefault=&quot;00656EBD&quot; wsp:rsidP=&quot;00656EBD&quot;&gt;&lt;m:oMathPara&gt;&lt;m:oMath&gt;&lt;m:sSub&gt;&lt;m:sSubPr&gt;&lt;m:ctrlPr&gt;&lt;w:rPr&gt;&lt;w:rFonts w:ascii=&quot;Cambria Math&quot; w:h-ansi=&quot;Cambria Math&quot;/&gt;&lt;wx:font wx:val=&quot;Cambria Math&quot;/&gt;&lt;w:i-cs/&gt;&lt;w:sz w:val=&quot;24&quot;/&gt;&lt;w:shd w:val=&quot;clear&quot; w:color=&quot;auto&quot; w:fill=&quot;FFFFFF&quot;/&gt;&lt;/w:rPr&gt;&lt;/m:ctrlPr&gt;&lt;/m:sSubPr&gt;&lt;m:e&gt;&lt;m:r&gt;&lt;w:rPr&gt;&lt;w:rFonts w:ascii=&quot;Cambria Math&quot; w:h-ansi=&quot;Cambria Math&quot;/&gt;&lt;wx:font wx:val=&quot;Cambria Math&quot;/&gt;&lt;w:i/&gt;&lt;w:i-cs/&gt;&lt;w:shd w:val=&quot;clear&quot; w:color=&quot;auto&quot; w:fill=&quot;FFFFFF&quot;/&gt;&lt;/w:rPr&gt;&lt;m:t&gt;ρ&lt;/m:t&gt;&lt;/m:r&gt;&lt;/m:e&gt;&lt;m:sub&gt;&lt;m:r&gt;&lt;w:rPr&gt;&lt;w:rFonts w:ascii=&quot;Cambria Math&quot; w:h-ansi=&quot;Cambria Math&quot; w:hint=&quot;fareast&quot;/&gt;&lt;wx:font wx:val=&quot;宋体&quot;/&gt;&lt;w:i/&gt;&lt;w:i-cs/&gt;&lt;w:shd w:val=&quot;clear&quot; w:color=&quot;auto&quot; w:fill=&quot;FFFFFF&quot;/&gt;&lt;/w:rPr&gt;:co:co:co:co:co:co:co:co&lt;molo:t&gt;基&lt;/m:t&gt;&lt;/m:r&gt;&lt;/m:sub&gt;&lt;/m:sSub&gt;&lt;m:r&gt;&lt;w:rPr&gt;&lt;w:rFonts w:ascii=&quot;Cambria Math&quot; w:h-ansi=&quot;Cambria Math&quot; w:hint=&quot;fareast&quot;/&gt;&lt;wx:font wx:val=&quot;Cambria Math&quot;/&gt;&lt;w:i/&gt;&lt;w:i-cs/&gt;&lt;w:shd w:val=&quot;clear&quot; w:color=&quot;auto&quot; w:fill=&quot;FFFFFF&quot;/&gt;&lt;/w:rPr&gt;o&lt;m:ot&gt;=o&lt;/mo:t&gt;o&lt;/mo:r&gt;o&lt;m:of&gt;&lt;m:ofPr&gt;&lt;m:ctrlPr&gt;&lt;w:rPr&gt;&lt;w:rFonts w:ascii=&quot;Cambria Math&quot; w:h-ansi=&quot;Cambria Math&quot;/&gt;&lt;wx:font wx:val=&quot;Cambria Math&quot;/&gt;&lt;w:i/&gt;&lt;w:i-cs/&gt;&lt;w:sz w:val=&quot;24&quot;/&gt;&lt;w:shd w:val=&quot;clear&quot; w:color=&quot;auto&quot; w:fill=&quot;FFFFFF&quot;/&gt;&lt;/w:rPr&gt;&lt;/m:ctrlPr&gt;&lt;/m:fPr&gt;&lt;m:num&gt;&lt;m:sSub&gt;&lt;m:sSubPr&gt;&lt;m:ctrlPr&gt;&lt;w:rPr&gt;&lt;w:rFonts w:ascii=&quot;Cambria Math&quot; w:h-ansi=&quot;Cambria Math&quot;/&gt;&lt;wx:font wx:val=&quot;Cambria Math&quot;/&gt;&lt;w:i/&gt;&lt;w:i-cs/&gt;&lt;w:sz w:val=&quot;24&quot;/&gt;&lt;w:shd w:val=&quot;clear&quot; w:color=&quot;auto&quot; w:fill=&quot;FFFFFF&quot;/&gt;&lt;/w:rPr&gt;&lt;/m:ctrlPr&gt;&lt;/m:sSubPr&gt;&lt;m:e&gt;&lt;m:r&gt;&lt;w:rPr&gt;&lt;w:rFonts w:ascii=&quot;Cambria Math&quot; w:h-ansi=&quot;Cambria Math&quot;/&gt;&lt;wx:font wx:val=&quot;Cambria Math&quot;/&gt;&lt;w:i/&gt;&lt;w:i-cs/&gt;&lt;w:shd w:val=&quot;clear&quot; w:color=&quot;auto&quot; w:fill=&quot;FFFFFF&quot;/&gt;&lt;/w:rPr&gt;&lt;m:t&gt;Q&lt;/m:t&gt;&lt;/m:r&gt;&lt;/m:e&gt;&lt;m:sub&gt;&lt;m:r&gt;&lt;w:rPr&gt;&lt;w:rFonts w:ascii=&quot;Cambria Math&quot; w:h-ansi=&quot;Cambria Math&quot; w:hint=&quot;fareast&quot;/&gt;&lt;wx:font wx:val=&quot;宋体&quot;/&gt;&lt;w:i/&gt;&lt;w:i-cs/&gt;&lt;w:shd w:val=&quot;clear&quot; w:color=&quot;auto&quot; w:fill=&quot;FFFFFF&quot;/&gt;&lt;/w:rPr&gt;&lt;m:t&gt;总&lt;/m:t&gt;&lt;/m:r&gt;&lt;/m:sub&gt;&lt;/m:sSub&gt;&lt;/m:num&gt;&lt;m:den&gt;&lt;m:nary&gt;&lt;m:naryPr&gt;&lt;m:chr m:val=&quot;∑&quot;/&gt;&lt;m:limLoc m:val=&quot;undOvr&quot;/th&quot; &gt;&lt;m:w:h-subHansiide =&quot;Cam:vambril=&quot;1a Ma&quot;/&gt;&lt;th&quot; m:suw:hipHide =&quot;fam:val=&quot;1&quot;/&gt;&lt;m:ctrlPr&gt;&lt;w:rPr&gt;&lt;w:rFonts w:ascii=&quot;Cambria Math&quot; w:h-ansi=&quot;Cambria Math&quot;/&gt;&lt;wx:font wx:val=&quot;Cambria Math&quot;/&gt;&lt;w:i/&gt;&lt;w:i-cs/&gt;&lt;w:sz w:val=&quot;24&quot;/&gt;&lt;w:shd w:val=&quot;clear&quot; w:color=&quot;auto&quot; w:fill=&quot;FFFFFF&quot;/&gt;&lt;/w:rPr&gt;&lt;/m:ctrlPr&gt;&lt;/m:naryPr&gt;&lt;m:sub/&gt;&lt;m:sup/&gt;&lt;m:e&gt;&lt;m:sSub&gt;&lt;m:sSubPr&gt;&lt;m:ctrlPr&gt;&lt;w:rPr&gt;&lt;w:rFonts w:ascii=&quot;Cambria Math&quot; w:h-ansi=&quot;Cambria Math&quot;/&gt;&lt;wx:font wx:val=&quot;Cambria Math&quot;/&gt;&lt;w:i/&gt;&lt;w:i-cs/&gt;&lt;w:sz w:val=&quot;24&quot;/&gt;&lt;w:shd w:val=&quot;clear&quot; w:color=&quot;auto&quot; w:fill=&quot;FFFFFF&quot;/&gt;&lt;/w:rPr&gt;&lt;/m:ctrlPr&gt;&lt;/m:sSubPr&gt;&lt;m:e&gt;&lt;m:r&gt;&lt;w:rPr&gt;&lt;w:rFonts w:ascii=&quot;Cambria Math&quot; w:h-ansi=&quot;Cambria Math&quot;/&gt;&lt;wx:font wx:val=&quot;Cambria Math&quot;/&gt;&lt;w:i/&gt;&lt;w:i-cs/&gt;&lt;w:shd w:val=&quot;clear&quot; w:color=&quot;auto&quot; w:fill=&quot;FFFFFF&quot;/&gt;&lt;/w:rPr&gt;&lt;m:t&gt;Y&lt;/m:t&gt;&lt;/m:r&gt;&lt;/m:e&gt;&lt;m:sub&gt;&lt;m:r&gt;&lt;w:rPr&gt;&lt;w:rFonts w:ascii=&quot;Cambria Math&quot; w:h-ansi=&quot;Cambria Math&quot; w:hint=&quot;fareast&quot;/&gt;&lt;wx:font wx:val=&quot;Cambria Math&quot;/&gt;&lt;w:i/&gt;&lt;w:i-cs/&gt;&lt;w:shd w:val=&quot;clear&quot; w:color=&quot;auto&quot; w:fill=&quot;FFFFFF&quot;/&gt;&lt;/w:rPr&gt;&lt;m:t&gt;i&lt;/m:t&gt;&lt;/m:r&gt;&lt;/m:sub&gt;&lt;/m:sSub&gt;&lt;m:r&gt;&lt;w:rPr&gt;&lt;w:rFonts w:ascii=&quot;Cambria Math&quot; w:h-ansi=&quot;Cambria Math&quot;/&gt;&lt;wx:font wx:val=&quot;Cambria Math&quot;/&gt;&lt;w:i/&gt;&lt;w:i-cs/&gt;&lt;w:shd w:val=&quot;clear&quot; w:color=&quot;auto&quot; w:fill=&quot;FFFFFF&quot;/&gt;&lt;/w:rPr&gt;&lt;m:t&gt;?&lt;/m:t&gt;&lt;/m:r&gt;&lt;m:sSub&gt;&lt;m:sSubPr&gt;&lt;m:ctrlPr&gt;&lt;w:rPr&gt;&lt;w:rFonts w:ascii=&quot;Cambria Math&quot; w:h-ansi=&quot;Cambria Math&quot;/&gt;&lt;wx:font wx:val=&quot;Cambria Math&quot;/&gt;&lt;w:i/&gt;&lt;w:i-cs/&gt;&lt;w:sz w:val=&quot;24&quot;/&gt;&lt;w:shd w:val=&quot;clear&quot; w:color=&quot;auto&quot; w:fill=&quot;FFFFFF&quot;/&gt;&lt;/w:rPr&gt;&lt;/m:ctrlPr&gt;&lt;/m:sSubPr&gt;&lt;m:e&gt;&lt;m:r&gt;&lt;w:rPr&gt;&lt;w:rFonts w:ascii=&quot;Cambria Math&quot; w:h-ansi=&quot;Cambria Math&quot;/&gt;&lt;wx:font wx:val=&quot;Cambria Math&quot;/&gt;&lt;w:i/&gt;&lt;w:i-cs/&gt;&lt;w:shd w:val=&quot;clear&quot; w:color=&quot;auto&quot; w:fill=&quot;FFFFFF&quot;/&gt;&lt;/w:rPr&gt;&lt;m:t&gt;Q&lt;/m:t&gt;&lt;/m:r&gt;&lt;/m:e&gt;&lt;m:sub&gt;&lt;m:r&gt;&lt;w:rPr&gt;&lt;w:rFonts w:ascii=&quot;Cambria Math&quot; w:h-ansi=&quot;Cambria Math&quot; w:hint=&quot;fareast&quot;/&gt;&lt;wx:font wx:val=&quot;Cambria Math&quot;/&gt;&lt;w:i/&gt;&lt;w:i-cs/&gt;&lt;w:shd w:val=&quot;clear&quot; w:color=&quot;auto&quot; w:fill=&quot;FFFFFF&quot;/&gt;&lt;/w:rPr&gt;&lt;m:t&gt;i&lt;/m:t&gt;&lt;/m:r&gt;&lt;m:r&gt;&lt;w:rPr&gt;&lt;w:rFonts w:ascii=&quot;Cambria Math&quot; w:h-ansi=&quot;Cambria Math&quot; w:hint=&quot;fareast&quot;/&gt;&lt;wx:font wx:val=&quot;宋体&quot;/&gt;&lt;w:i/&gt;&lt;w:i-cs/&gt;&lt;w:shd w:val=&quot;clear&quot; w:color=&quot;auto&quot; w:fill=&quot;w:FFFFFF&quot;/&lt;w&gt;&lt;/w:rPr:v&gt;&lt;m:t&gt;基lea&lt;/m:t&gt;&lt;/colm:r&gt;&lt;/m:utosub&gt;&lt;/m:illsSub&gt;&lt;/mFFF:e&gt;&lt;/m:narrPry&gt;&lt;/m:den&gt;&lt;/m:f&gt;&lt;m:r&gt;&lt;m:rPr&gt;&lt;m:sty m:val=&quot;p&quot;/&gt;&lt;/m:rPr&gt;&lt;w:rPr&gt;&lt;w:rFonts w:ascii=&quot;Cambria Math&quot; w:h-ansi=&quot;Cambria Math&quot;/&gt;&lt;wx:font wx:val=&quot;Cambria Math&quot;/&gt;&lt;w:i-cs/&gt;&lt;w:shd :w:val=&quot;clewar&quot; w:colovr=&quot;auto&quot; w:fill=&quot;FFFFFF&quot;/&gt;&lt;/w:rPr&gt;&lt;m:t&gt;?&lt;/m:t&gt;&lt;/m:r&gt;&lt;m:sSub&gt;&lt;m:sSubPr&gt;&lt;m:ctrlPr&gt;&lt;w:rPr&gt;&lt;w:rFonts w:ascii=&quot;Cambria Math&quot; w:h-ansi=&quot;Cambria Math&quot;/&gt;&lt;wx:font wx:val=&quot;Cambria Math&quot;/&gt;&lt;w:i-cs/&gt;&lt;w:sz w:val=&quot;24&quot;/&gt;&lt;w:shd w:val=&quot;clear&quot; w:color=&quot;auto&quot; w:fill=&quot;FFFFFF&quot;/&gt;&lt;/w:rPr&gt;&lt;/m:ctrlPr&gt;&lt;/m:sSubPr&gt;&lt;m:e&gt;&lt;m:r&gt;&lt;w:rPr&gt;&lt;w:rFonts w:ascii=&quot;Cambria Math&quot; w:h-ansi=&quot;Cambria Math&quot;/&gt;&lt;wx:font wx:val=&quot;Cambria Math&quot;/&gt;&lt;w:i/&gt;&lt;w:i-cs/&gt;&lt;w:shd w:val=&quot;clear&quot; w:color=&quot;auto&quot; w:fill=&quot;FFFFFF&quot;/&gt;&lt;/w:rPr&gt;&lt;m:t&gt;ρ&lt;/m:t&gt;&lt;/m:r=&gt;&lt;/m:e&gt;&lt;m:siub&gt;&lt;m:r&gt;&lt;w:&quot;rPr&gt;&lt;w:rFon&lt;ts w:ascii=&lt;&quot;Cambria Ma&lt;th&quot; w:h-answi=&quot;Cambria oMath&quot; w:hint=&quot;&quot;fareast&quot;/&gt;&lt;wx:font wx:val=&quot;宋体&quot;/&gt;&lt;w:i/&gt;&lt;w:i-cs/&gt;&lt;w:shd w:val=&quot;clear&quot; w:color=&quot;auto&quot; w:fill=&quot;FFFFFF&quot;/&gt;&lt;/w:rPr&gt;&lt;m:t&gt;实&lt;/m:t&gt;&lt;/m:r&gt;&lt;/m:sub&gt;&lt;/m:sSub&gt;&lt;/m:oMath&gt;:r=&lt;/m:oMathPar:sia&gt;&lt;aml:annotw:&quot;ation aml:idon&lt;=&quot;0&quot; w:type=i=&lt;&quot;Word.BookmaMa&lt;rk.End&quot;/&gt;&lt;/wnsw:p&gt;&lt;w:sectPra o wsp:rsidR=&quot;00t=&quot;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7" chromakey="#FFFFFF" o:title=""/>
            <o:lock v:ext="edit" aspectratio="t"/>
            <w10:wrap type="none"/>
            <w10:anchorlock/>
          </v:shape>
        </w:pict>
      </w:r>
      <w:r>
        <w:instrText xml:space="preserve"> </w:instrText>
      </w:r>
      <w:r>
        <w:fldChar w:fldCharType="end"/>
      </w:r>
      <w:r>
        <w:t>…………………………………………………………（1）</w:t>
      </w:r>
    </w:p>
    <w:p>
      <w:pPr>
        <w:ind w:firstLine="420" w:firstLineChars="200"/>
        <w:rPr>
          <w:rFonts w:ascii="Times New Roman" w:hAnsi="Times New Roman" w:cs="Times New Roman"/>
        </w:rPr>
      </w:pPr>
      <w:r>
        <w:rPr>
          <w:rFonts w:ascii="Times New Roman" w:hAnsi="Times New Roman" w:cs="Times New Roman"/>
        </w:rPr>
        <w:t>式中：</w:t>
      </w:r>
    </w:p>
    <w:p>
      <w:pPr>
        <w:ind w:firstLine="420" w:firstLineChars="20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基</w:t>
      </w:r>
      <w:r>
        <w:rPr>
          <w:rFonts w:ascii="Times New Roman" w:hAnsi="Times New Roman" w:cs="Times New Roman"/>
        </w:rPr>
        <w:t>：水污染物基准排水量排放浓度，mg/L；</w:t>
      </w:r>
    </w:p>
    <w:p>
      <w:pPr>
        <w:ind w:firstLine="420" w:firstLineChars="200"/>
        <w:rPr>
          <w:rFonts w:ascii="Times New Roman" w:hAnsi="Times New Roman" w:cs="Times New Roman"/>
        </w:rPr>
      </w:pPr>
      <w:r>
        <w:rPr>
          <w:rFonts w:ascii="Times New Roman" w:hAnsi="Times New Roman" w:cs="Times New Roman"/>
        </w:rPr>
        <w:t>Q</w:t>
      </w:r>
      <w:r>
        <w:rPr>
          <w:rFonts w:ascii="Times New Roman" w:hAnsi="Times New Roman" w:cs="Times New Roman"/>
          <w:vertAlign w:val="subscript"/>
        </w:rPr>
        <w:t>总</w:t>
      </w:r>
      <w:r>
        <w:rPr>
          <w:rFonts w:ascii="Times New Roman" w:hAnsi="Times New Roman" w:cs="Times New Roman"/>
        </w:rPr>
        <w:t>：实测排水总量，m</w:t>
      </w:r>
      <w:r>
        <w:rPr>
          <w:rFonts w:ascii="Times New Roman" w:hAnsi="Times New Roman" w:cs="Times New Roman"/>
          <w:vertAlign w:val="superscript"/>
        </w:rPr>
        <w:t>3</w:t>
      </w:r>
      <w:r>
        <w:rPr>
          <w:rFonts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Y</w:t>
      </w:r>
      <w:r>
        <w:rPr>
          <w:rFonts w:ascii="Times New Roman" w:hAnsi="Times New Roman" w:cs="Times New Roman"/>
          <w:vertAlign w:val="subscript"/>
        </w:rPr>
        <w:t>i</w:t>
      </w:r>
      <w:r>
        <w:rPr>
          <w:rFonts w:ascii="Times New Roman" w:hAnsi="Times New Roman" w:cs="Times New Roman"/>
        </w:rPr>
        <w:t>：第i种产品产量，t；</w:t>
      </w:r>
    </w:p>
    <w:p>
      <w:pPr>
        <w:ind w:firstLine="420" w:firstLineChars="200"/>
        <w:rPr>
          <w:rFonts w:ascii="Times New Roman" w:hAnsi="Times New Roman" w:cs="Times New Roman"/>
        </w:rPr>
      </w:pPr>
      <w:r>
        <w:rPr>
          <w:rFonts w:ascii="Times New Roman" w:hAnsi="Times New Roman" w:cs="Times New Roman"/>
        </w:rPr>
        <w:t>Q</w:t>
      </w:r>
      <w:r>
        <w:rPr>
          <w:rFonts w:ascii="Times New Roman" w:hAnsi="Times New Roman" w:cs="Times New Roman"/>
          <w:vertAlign w:val="subscript"/>
        </w:rPr>
        <w:t>i基</w:t>
      </w:r>
      <w:r>
        <w:rPr>
          <w:rFonts w:ascii="Times New Roman" w:hAnsi="Times New Roman" w:cs="Times New Roman"/>
        </w:rPr>
        <w:t>：第i种产品的单位产品基准排水量，m</w:t>
      </w:r>
      <w:r>
        <w:rPr>
          <w:rFonts w:ascii="Times New Roman" w:hAnsi="Times New Roman" w:cs="Times New Roman"/>
          <w:vertAlign w:val="superscript"/>
        </w:rPr>
        <w:t>3</w:t>
      </w:r>
      <w:r>
        <w:rPr>
          <w:rFonts w:ascii="Times New Roman" w:hAnsi="Times New Roman" w:cs="Times New Roman"/>
        </w:rPr>
        <w:t>/t；</w:t>
      </w:r>
    </w:p>
    <w:p>
      <w:pPr>
        <w:ind w:firstLine="420" w:firstLineChars="20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实</w:t>
      </w:r>
      <w:r>
        <w:rPr>
          <w:rFonts w:ascii="Times New Roman" w:hAnsi="Times New Roman" w:cs="Times New Roman"/>
        </w:rPr>
        <w:t>：实测水污染物浓度，mg/L。</w:t>
      </w:r>
    </w:p>
    <w:p>
      <w:pPr>
        <w:ind w:firstLine="420" w:firstLineChars="200"/>
      </w:pPr>
      <w:r>
        <w:rPr>
          <w:rFonts w:ascii="Times New Roman" w:hAnsi="Times New Roman" w:cs="Times New Roman"/>
        </w:rPr>
        <w:t>若</w:t>
      </w:r>
      <w:r>
        <w:rPr>
          <w:rFonts w:ascii="Times New Roman" w:hAnsi="Times New Roman" w:cs="Times New Roman"/>
        </w:rPr>
        <w:fldChar w:fldCharType="begin"/>
      </w:r>
      <w:r>
        <w:rPr>
          <w:rFonts w:ascii="Times New Roman" w:hAnsi="Times New Roman" w:cs="Times New Roman"/>
        </w:rPr>
        <w:instrText xml:space="preserve"> QUOTE </w:instrText>
      </w:r>
      <w:r>
        <w:rPr>
          <w:rFonts w:ascii="Times New Roman" w:hAnsi="Times New Roman" w:cs="Times New Roman"/>
          <w:position w:val="-26"/>
        </w:rPr>
        <w:pict>
          <v:shape id="_x0000_i1027" o:spt="75" type="#_x0000_t75" style="height:31.3pt;width:14.9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bordersDontSurroundHeader/&gt;&lt;w:bordersDontSurroundFooter/&gt;&lt;w:linkStyle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docVars&gt;&lt;w:docVar w:name=&quot;__Grammarly_42____i&quot; w:val=&quot;H4sIAAAAAAAEAKtWckksSQxILCpxzi/NK1GyMqwFAAEhoTITAAAA&quot;/&gt;&lt;w:docVar w:name=&quot;__Grammarly_42___1&quot; w:val=&quot;H4sIAAAAAAAEAKtWcslP9kxRslIyNDa0NDcwMLc0NLUwN7EwMrVU0lEKTi0uzszPAykwrAUA39xV+CwAAAA=&quot;/&gt;&lt;/w:docVars&gt;&lt;wsp:rsids&gt;&lt;wsp:rsidRoot wsp:val=&quot;00AA32F3&quot;/&gt;&lt;wsp:rsid wsp:val=&quot;00007199&quot;/&gt;&lt;wsp:rsid wsp:val=&quot;000125FF&quot;/&gt;&lt;wsp:rsid wsp:val=&quot;00014AE5&quot;/&gt;&lt;wsp:rsid wsp:val=&quot;00034C75&quot;/&gt;&lt;wsp:rsid wsp:val=&quot;000427E9&quot;/&gt;&lt;wsp:rsid wsp:val=&quot;00050D45&quot;/&gt;&lt;wsp:rsid wsp:val=&quot;0005242A&quot;/&gt;&lt;wsp:rsid wsp:val=&quot;00065A4D&quot;/&gt;&lt;wsp:rsid wsp:val=&quot;00091A25&quot;/&gt;&lt;wsp:rsid wsp:val=&quot;000A2CCE&quot;/&gt;&lt;wsp:rsid wsp:val=&quot;000A6D9C&quot;/&gt;&lt;wsp:rsid wsp:val=&quot;000B03B9&quot;/&gt;&lt;wsp:rsid wsp:val=&quot;000B07FB&quot;/&gt;&lt;wsp:rsid wsp:val=&quot;000B1515&quot;/&gt;&lt;wsp:rsid wsp:val=&quot;000B22AC&quot;/&gt;&lt;wsp:rsid wsp:val=&quot;000B488A&quot;/&gt;&lt;wsp:rsid wsp:val=&quot;000D09E6&quot;/&gt;&lt;wsp:rsid wsp:val=&quot;000F4FE9&quot;/&gt;&lt;wsp:rsid wsp:val=&quot;001038F7&quot;/&gt;&lt;wsp:rsid wsp:val=&quot;00105A02&quot;/&gt;&lt;wsp:rsid wsp:val=&quot;00123B27&quot;/&gt;&lt;wsp:rsid wsp:val=&quot;0012536A&quot;/&gt;&lt;wsp:rsid wsp:val=&quot;00126CAF&quot;/&gt;&lt;wsp:rsid wsp:val=&quot;001459F8&quot;/&gt;&lt;wsp:rsid wsp:val=&quot;00150663&quot;/&gt;&lt;wsp:rsid wsp:val=&quot;00161EF1&quot;/&gt;&lt;wsp:rsid wsp:val=&quot;00171228&quot;/&gt;&lt;wsp:rsid wsp:val=&quot;001A1211&quot;/&gt;&lt;wsp:rsid wsp:val=&quot;001B06AF&quot;/&gt;&lt;wsp:rsid wsp:val=&quot;001B7C90&quot;/&gt;&lt;wsp:rsid wsp:val=&quot;001C0D11&quot;/&gt;&lt;wsp:rsid wsp:val=&quot;001E3CBE&quot;/&gt;&lt;wsp:rsid wsp:val=&quot;001E4B2A&quot;/&gt;&lt;wsp:rsid wsp:val=&quot;001F0DE7&quot;/&gt;&lt;wsp:rsid wsp:val=&quot;001F62B7&quot;/&gt;&lt;wsp:rsid wsp:val=&quot;002007C2&quot;/&gt;&lt;wsp:rsid wsp:val=&quot;00230FD6&quot;/&gt;&lt;wsp:rsid wsp:val=&quot;00232490&quot;/&gt;&lt;wsp:rsid wsp:val=&quot;00232935&quot;/&gt;&lt;wsp:rsid wsp:val=&quot;00233351&quot;/&gt;&lt;wsp:rsid wsp:val=&quot;0023522A&quot;/&gt;&lt;wsp:rsid wsp:val=&quot;00256BBA&quot;/&gt;&lt;wsp:rsid wsp:val=&quot;00263187&quot;/&gt;&lt;wsp:rsid wsp:val=&quot;00276C3B&quot;/&gt;&lt;wsp:rsid wsp:val=&quot;00293FF9&quot;/&gt;&lt;wsp:rsid wsp:val=&quot;002E1AF8&quot;/&gt;&lt;wsp:rsid wsp:val=&quot;002E2A2A&quot;/&gt;&lt;wsp:rsid wsp:val=&quot;00307FDB&quot;/&gt;&lt;wsp:rsid wsp:val=&quot;0033075B&quot;/&gt;&lt;wsp:rsid wsp:val=&quot;003320D5&quot;/&gt;&lt;wsp:rsid wsp:val=&quot;0035144F&quot;/&gt;&lt;wsp:rsid wsp:val=&quot;00366E6A&quot;/&gt;&lt;wsp:rsid wsp:val=&quot;003705E3&quot;/&gt;&lt;wsp:rsid wsp:val=&quot;0037151D&quot;/&gt;&lt;wsp:rsid wsp:val=&quot;003920A4&quot;/&gt;&lt;wsp:rsid wsp:val=&quot;003935E1&quot;/&gt;&lt;wsp:rsid wsp:val=&quot;003A602F&quot;/&gt;&lt;wsp:rsid wsp:val=&quot;003B386C&quot;/&gt;&lt;wsp:rsid wsp:val=&quot;003C43F3&quot;/&gt;&lt;wsp:rsid wsp:val=&quot;003C5C41&quot;/&gt;&lt;wsp:rsid wsp:val=&quot;003C62E9&quot;/&gt;&lt;wsp:rsid wsp:val=&quot;003D346D&quot;/&gt;&lt;wsp:rsid wsp:val=&quot;003D3578&quot;/&gt;&lt;wsp:rsid wsp:val=&quot;003D7301&quot;/&gt;&lt;wsp:rsid wsp:val=&quot;003D7404&quot;/&gt;&lt;wsp:rsid wsp:val=&quot;003F50F8&quot;/&gt;&lt;wsp:rsid wsp:val=&quot;00427844&quot;/&gt;&lt;wsp:rsid wsp:val=&quot;0043443C&quot;/&gt;&lt;wsp:rsid wsp:val=&quot;00452CE7&quot;/&gt;&lt;wsp:rsid wsp:val=&quot;0045652E&quot;/&gt;&lt;wsp:rsid wsp:val=&quot;004956AC&quot;/&gt;&lt;wsp:rsid wsp:val=&quot;004A0714&quot;/&gt;&lt;wsp:rsid wsp:val=&quot;004C6742&quot;/&gt;&lt;wsp:rsid wsp:val=&quot;004C7858&quot;/&gt;&lt;wsp:rsid wsp:val=&quot;004D0307&quot;/&gt;&lt;wsp:rsid wsp:val=&quot;004E69DC&quot;/&gt;&lt;wsp:rsid wsp:val=&quot;004F5D22&quot;/&gt;&lt;wsp:rsid wsp:val=&quot;00516A0D&quot;/&gt;&lt;wsp:rsid wsp:val=&quot;00523FFF&quot;/&gt;&lt;wsp:rsid wsp:val=&quot;00547F20&quot;/&gt;&lt;wsp:rsid wsp:val=&quot;005608B0&quot;/&gt;&lt;wsp:rsid wsp:val=&quot;005A46EA&quot;/&gt;&lt;wsp:rsid wsp:val=&quot;005C4535&quot;/&gt;&lt;wsp:rsid wsp:val=&quot;005E4BA6&quot;/&gt;&lt;wsp:rsid wsp:val=&quot;005F419A&quot;/&gt;&lt;wsp:rsid wsp:val=&quot;00606F92&quot;/&gt;&lt;wsp:rsid wsp:val=&quot;00622415&quot;/&gt;&lt;wsp:rsid wsp:val=&quot;0062507C&quot;/&gt;&lt;wsp:rsid wsp:val=&quot;0062662C&quot;/&gt;&lt;wsp:rsid wsp:val=&quot;006430A1&quot;/&gt;&lt;wsp:rsid wsp:val=&quot;00643505&quot;/&gt;&lt;wsp:rsid wsp:val=&quot;00663772&quot;/&gt;&lt;wsp:rsid wsp:val=&quot;00672376&quot;/&gt;&lt;wsp:rsid wsp:val=&quot;0068017D&quot;/&gt;&lt;wsp:rsid wsp:val=&quot;00687459&quot;/&gt;&lt;wsp:rsid wsp:val=&quot;006B1F04&quot;/&gt;&lt;wsp:rsid wsp:val=&quot;006D356C&quot;/&gt;&lt;wsp:rsid wsp:val=&quot;006D7FBC&quot;/&gt;&lt;wsp:rsid wsp:val=&quot;006F29D6&quot;/&gt;&lt;wsp:rsid wsp:val=&quot;006F7923&quot;/&gt;&lt;wsp:rsid wsp:val=&quot;00714110&quot;/&gt;&lt;wsp:rsid wsp:val=&quot;00752A34&quot;/&gt;&lt;wsp:rsid wsp:val=&quot;0076513A&quot;/&gt;&lt;wsp:rsid wsp:val=&quot;00771F76&quot;/&gt;&lt;wsp:rsid wsp:val=&quot;00786633&quot;/&gt;&lt;wsp:rsid wsp:val=&quot;007A073A&quot;/&gt;&lt;wsp:rsid wsp:val=&quot;007B6DCF&quot;/&gt;&lt;wsp:rsid wsp:val=&quot;007C1C6F&quot;/&gt;&lt;wsp:rsid wsp:val=&quot;007D43F8&quot;/&gt;&lt;wsp:rsid wsp:val=&quot;007D674E&quot;/&gt;&lt;wsp:rsid wsp:val=&quot;007F197C&quot;/&gt;&lt;wsp:rsid wsp:val=&quot;007F4814&quot;/&gt;&lt;wsp:rsid wsp:val=&quot;00800A37&quot;/&gt;&lt;wsp:rsid wsp:val=&quot;00803E1C&quot;/&gt;&lt;wsp:rsid wsp:val=&quot;00811BE5&quot;/&gt;&lt;wsp:rsid wsp:val=&quot;00842A8A&quot;/&gt;&lt;wsp:rsid wsp:val=&quot;00845F3A&quot;/&gt;&lt;wsp:rsid wsp:val=&quot;00875EAB&quot;/&gt;&lt;wsp:rsid wsp:val=&quot;008B01DD&quot;/&gt;&lt;wsp:rsid wsp:val=&quot;008D29A2&quot;/&gt;&lt;wsp:rsid wsp:val=&quot;008F2913&quot;/&gt;&lt;wsp:rsid wsp:val=&quot;00902A98&quot;/&gt;&lt;wsp:rsid wsp:val=&quot;009038DA&quot;/&gt;&lt;wsp:rsid wsp:val=&quot;00941888&quot;/&gt;&lt;wsp:rsid wsp:val=&quot;00943CDE&quot;/&gt;&lt;wsp:rsid wsp:val=&quot;00967CB3&quot;/&gt;&lt;wsp:rsid wsp:val=&quot;00992EB7&quot;/&gt;&lt;wsp:rsid wsp:val=&quot;009A525C&quot;/&gt;&lt;wsp:rsid wsp:val=&quot;009A5D84&quot;/&gt;&lt;wsp:rsid wsp:val=&quot;009A791B&quot;/&gt;&lt;wsp:rsid wsp:val=&quot;009B3893&quot;/&gt;&lt;wsp:rsid wsp:val=&quot;009F5B89&quot;/&gt;&lt;wsp:rsid wsp:val=&quot;00A008E2&quot;/&gt;&lt;wsp:rsid wsp:val=&quot;00A00D9B&quot;/&gt;&lt;wsp:rsid wsp:val=&quot;00A33AA4&quot;/&gt;&lt;wsp:rsid wsp:val=&quot;00A370B4&quot;/&gt;&lt;wsp:rsid wsp:val=&quot;00A53D37&quot;/&gt;&lt;wsp:rsid wsp:val=&quot;00A82BB9&quot;/&gt;&lt;wsp:rsid wsp:val=&quot;00A84557&quot;/&gt;&lt;wsp:rsid wsp:val=&quot;00A90A2F&quot;/&gt;&lt;wsp:rsid wsp:val=&quot;00A926A0&quot;/&gt;&lt;wsp:rsid wsp:val=&quot;00AA32F3&quot;/&gt;&lt;wsp:rsid wsp:val=&quot;00AB79E9&quot;/&gt;&lt;wsp:rsid wsp:val=&quot;00B17192&quot;/&gt;&lt;wsp:rsid wsp:val=&quot;00B20085&quot;/&gt;&lt;wsp:rsid wsp:val=&quot;00B215F8&quot;/&gt;&lt;wsp:rsid wsp:val=&quot;00B23D80&quot;/&gt;&lt;wsp:rsid wsp:val=&quot;00B25FF4&quot;/&gt;&lt;wsp:rsid wsp:val=&quot;00B4333C&quot;/&gt;&lt;wsp:rsid wsp:val=&quot;00B43A09&quot;/&gt;&lt;wsp:rsid wsp:val=&quot;00B52D15&quot;/&gt;&lt;wsp:rsid wsp:val=&quot;00B649C6&quot;/&gt;&lt;wsp:rsid wsp:val=&quot;00B815BA&quot;/&gt;&lt;wsp:rsid wsp:val=&quot;00BB6078&quot;/&gt;&lt;wsp:rsid wsp:val=&quot;00BE1389&quot;/&gt;&lt;wsp:rsid wsp:val=&quot;00BE31B6&quot;/&gt;&lt;wsp:rsid wsp:val=&quot;00C041DE&quot;/&gt;&lt;wsp:rsid wsp:val=&quot;00C361F0&quot;/&gt;&lt;wsp:rsid wsp:val=&quot;00C8060A&quot;/&gt;&lt;wsp:rsid wsp:val=&quot;00C90115&quot;/&gt;&lt;wsp:rsid wsp:val=&quot;00C939C6&quot;/&gt;&lt;wsp:rsid wsp:val=&quot;00C97911&quot;/&gt;&lt;wsp:rsid wsp:val=&quot;00CB3E8A&quot;/&gt;&lt;wsp:rsid wsp:val=&quot;00CD2750&quot;/&gt;&lt;wsp:rsid wsp:val=&quot;00CD59FD&quot;/&gt;&lt;wsp:rsid wsp:val=&quot;00D1345D&quot;/&gt;&lt;wsp:rsid wsp:val=&quot;00D33346&quot;/&gt;&lt;wsp:rsid wsp:val=&quot;00D4549B&quot;/&gt;&lt;wsp:rsid wsp:val=&quot;00D63B74&quot;/&gt;&lt;wsp:rsid wsp:val=&quot;00D913CD&quot;/&gt;&lt;wsp:rsid wsp:val=&quot;00D939BD&quot;/&gt;&lt;wsp:rsid wsp:val=&quot;00DB5CAD&quot;/&gt;&lt;wsp:rsid wsp:val=&quot;00E10A48&quot;/&gt;&lt;wsp:rsid wsp:val=&quot;00E20CC7&quot;/&gt;&lt;wsp:rsid wsp:val=&quot;00E270A2&quot;/&gt;&lt;wsp:rsid wsp:val=&quot;00E278C1&quot;/&gt;&lt;wsp:rsid wsp:val=&quot;00E44F0C&quot;/&gt;&lt;wsp:rsid wsp:val=&quot;00E67AC7&quot;/&gt;&lt;wsp:rsid wsp:val=&quot;00E829A1&quot;/&gt;&lt;wsp:rsid wsp:val=&quot;00E864C2&quot;/&gt;&lt;wsp:rsid wsp:val=&quot;00EA2529&quot;/&gt;&lt;wsp:rsid wsp:val=&quot;00EA371B&quot;/&gt;&lt;wsp:rsid wsp:val=&quot;00EC54A8&quot;/&gt;&lt;wsp:rsid wsp:val=&quot;00ED57A6&quot;/&gt;&lt;wsp:rsid wsp:val=&quot;00F001FD&quot;/&gt;&lt;wsp:rsid wsp:val=&quot;00F07EAF&quot;/&gt;&lt;wsp:rsid wsp:val=&quot;00F16054&quot;/&gt;&lt;wsp:rsid wsp:val=&quot;00F243DE&quot;/&gt;&lt;wsp:rsid wsp:val=&quot;00F5203C&quot;/&gt;&lt;wsp:rsid wsp:val=&quot;00F617F0&quot;/&gt;&lt;wsp:rsid wsp:val=&quot;00F650FA&quot;/&gt;&lt;wsp:rsid wsp:val=&quot;00F66E89&quot;/&gt;&lt;wsp:rsid wsp:val=&quot;00F71358&quot;/&gt;&lt;wsp:rsid wsp:val=&quot;00F8440F&quot;/&gt;&lt;wsp:rsid wsp:val=&quot;00FA641D&quot;/&gt;&lt;wsp:rsid wsp:val=&quot;00FB321B&quot;/&gt;&lt;wsp:rsid wsp:val=&quot;00FC6A31&quot;/&gt;&lt;wsp:rsid wsp:val=&quot;00FE4016&quot;/&gt;&lt;/wsp:rsids&gt;&lt;/w:docPr&gt;&lt;w:body&gt;&lt;wx:sect&gt;&lt;w:p wsp:rsidR=&quot;00000000&quot; wsp:rsidRDefault=&quot;00622415&quot; wsp:rsidP=&quot;00622415&quot;&gt;&lt;m:oMathPara&gt;&lt;m:oMath&gt;&lt;m:sSub&gt;&lt;m:sSubPr&gt;&lt;m:ctrlPr&gt;&lt;w:rPr&gt;&lt;w:rFonts w:ascii=&quot;Cambria Math&quot; w:h-ansi=&quot;Cambria Math&quot;/&gt;&lt;wx:font wx:val=&quot;Cambria Math&quot;/&gt;&lt;w:i/&gt;&lt;w:i-cs/&gt;&lt;w:sz w:val=&quot;24&quot;/&gt;&lt;w:shd w:val=&quot;clear&quot; w:color=&quot;auto&quot; w:fill=&quot;FFFFFF&quot;/&gt;&lt;/w:rPr&gt;&lt;/m:ctrlPr&gt;&lt;/m:sSubPr&gt;&lt;m:e&gt;&lt;m:r&gt;&lt;w:rPr&gt;&lt;w:rFonts w:ascii=&quot;Cambria Math&quot; w:h-ansi=&quot;Cambria Math&quot;/&gt;&lt;wx:font wx:val=&quot;Cambria Math&quot;/&gt;&lt;w:i/&gt;&lt;w:i-cs/&gt;&lt;w:shd w:val=&quot;clear&quot; w:color=&quot;auto&quot; w:fill=&quot;FFFFFF&quot;/&gt;&lt;/w:rPr&gt;&lt;m:t&gt;Q&lt;/m:t&gt;&lt;/m:r&gt;&lt;/m:e&gt;&lt;m:sub&gt;&lt;m:r&gt;&lt;w:rPr&gt;&lt;w:rFonts w:ascii=&quot;Cambria Math&quot; w:h-ansi=&quot;Cambria Math&quot; w:hint=&quot;fareast&quot;/&gt;&lt;wx:font wx:val=&quot;宋体&quot;/&gt;&lt;w:i/&gt;&lt;w:i-cs/&gt;&lt;w:shd w:val=&quot;clear&quot; w:color=&quot;auto&quot; w:fill=&quot;FFFFFF&quot;/&gt;&lt;/w:rPr&gt;&lt;m:t&gt;总&lt;/m:t&gt;&lt;/m:r&gt;&lt;/m:sub&gt;&lt;/m:sSub&gt;&lt;/m:oMath&gt;&lt;/m:oMathPara&gt;&lt;/w:p&gt;&lt;w:sectPr&gt;&lt;r&gt;&lt;r&gt;&lt;r&gt;&lt;r&gt;&lt;r&gt;&lt;r&gt;&lt;r&gt;&lt;r &lt;w: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8" chromakey="#FFFFFF" o:title=""/>
            <o:lock v:ext="edit" aspectratio="t"/>
            <w10:wrap type="none"/>
            <w10:anchorlock/>
          </v:shape>
        </w:pic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t>Q</w:t>
      </w:r>
      <w:r>
        <w:rPr>
          <w:rFonts w:ascii="Times New Roman" w:hAnsi="Times New Roman" w:cs="Times New Roman"/>
          <w:vertAlign w:val="subscript"/>
        </w:rPr>
        <w:t>总</w:t>
      </w:r>
      <w:r>
        <w:rPr>
          <w:rFonts w:ascii="Times New Roman" w:hAnsi="Times New Roman" w:cs="Times New Roman"/>
        </w:rPr>
        <w:fldChar w:fldCharType="end"/>
      </w:r>
      <w:r>
        <w:rPr>
          <w:rFonts w:ascii="Times New Roman" w:hAnsi="Times New Roman" w:cs="Times New Roman"/>
        </w:rPr>
        <w:t>与</w:t>
      </w:r>
      <w:r>
        <w:rPr>
          <w:rFonts w:ascii="Times New Roman" w:hAnsi="Times New Roman" w:cs="Times New Roman"/>
          <w:position w:val="-14"/>
        </w:rPr>
        <w:object>
          <v:shape id="_x0000_i1028" o:spt="75" type="#_x0000_t75" style="height:20.1pt;width:54.2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6" r:id="rId19">
            <o:LockedField>false</o:LockedField>
          </o:OLEObject>
        </w:object>
      </w:r>
      <w:r>
        <w:rPr>
          <w:rFonts w:ascii="Times New Roman" w:hAnsi="Times New Roman" w:cs="Times New Roman"/>
        </w:rPr>
        <w:fldChar w:fldCharType="begin"/>
      </w:r>
      <w:r>
        <w:rPr>
          <w:rFonts w:ascii="Times New Roman" w:hAnsi="Times New Roman" w:cs="Times New Roman"/>
        </w:rPr>
        <w:instrText xml:space="preserve"> QUOTE </w:instrText>
      </w:r>
      <w:r>
        <w:rPr>
          <w:rFonts w:ascii="Times New Roman" w:hAnsi="Times New Roman" w:cs="Times New Roman"/>
          <w:position w:val="-26"/>
        </w:rPr>
        <w:pict>
          <v:shape id="_x0000_i1029" o:spt="75" type="#_x0000_t75" style="height:31.3pt;width:44.9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bordersDontSurroundHeader/&gt;&lt;w:bordersDontSurroundFooter/&gt;&lt;w:linkStyle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docVars&gt;&lt;w:docVar w:name=&quot;__Grammarly_42____i&quot; w:val=&quot;H4sIAAAAAAAEAKtWckksSQxILCpxzi/NK1GyMqwFAAEhoTITAAAA&quot;/&gt;&lt;w:docVar w:name=&quot;__Grammarly_42___1&quot; w:val=&quot;H4sIAAAAAAAEAKtWcslP9kxRslIyNDa0NDcwMLc0NLUwN7EwMrVU0lEKTi0uzszPAykwrAUA39xV+CwAAAA=&quot;/&gt;&lt;/w:docVars&gt;&lt;wsp:rsids&gt;&lt;wsp:rsidRoot wsp:val=&quot;00AA32F3&quot;/&gt;&lt;wsp:rsid wsp:val=&quot;00007199&quot;/&gt;&lt;wsp:rsid wsp:val=&quot;000125FF&quot;/&gt;&lt;wsp:rsid wsp:val=&quot;00014AE5&quot;/&gt;&lt;wsp:rsid wsp:val=&quot;00034C75&quot;/&gt;&lt;wsp:rsid wsp:val=&quot;000427E9&quot;/&gt;&lt;wsp:rsid wsp:val=&quot;00050D45&quot;/&gt;&lt;wsp:rsid wsp:val=&quot;0005242A&quot;/&gt;&lt;wsp:rsid wsp:val=&quot;00065A4D&quot;/&gt;&lt;wsp:rsid wsp:val=&quot;00091A25&quot;/&gt;&lt;wsp:rsid wsp:val=&quot;000A2CCE&quot;/&gt;&lt;wsp:rsid wsp:val=&quot;000A6D9C&quot;/&gt;&lt;wsp:rsid wsp:val=&quot;000B03B9&quot;/&gt;&lt;wsp:rsid wsp:val=&quot;000B07FB&quot;/&gt;&lt;wsp:rsid wsp:val=&quot;000B1515&quot;/&gt;&lt;wsp:rsid wsp:val=&quot;000B22AC&quot;/&gt;&lt;wsp:rsid wsp:val=&quot;000B488A&quot;/&gt;&lt;wsp:rsid wsp:val=&quot;000D09E6&quot;/&gt;&lt;wsp:rsid wsp:val=&quot;000F4FE9&quot;/&gt;&lt;wsp:rsid wsp:val=&quot;001038F7&quot;/&gt;&lt;wsp:rsid wsp:val=&quot;00105A02&quot;/&gt;&lt;wsp:rsid wsp:val=&quot;00123B27&quot;/&gt;&lt;wsp:rsid wsp:val=&quot;0012536A&quot;/&gt;&lt;wsp:rsid wsp:val=&quot;00126CAF&quot;/&gt;&lt;wsp:rsid wsp:val=&quot;001459F8&quot;/&gt;&lt;wsp:rsid wsp:val=&quot;00150663&quot;/&gt;&lt;wsp:rsid wsp:val=&quot;00161EF1&quot;/&gt;&lt;wsp:rsid wsp:val=&quot;00171228&quot;/&gt;&lt;wsp:rsid wsp:val=&quot;001A1211&quot;/&gt;&lt;wsp:rsid wsp:val=&quot;001B06AF&quot;/&gt;&lt;wsp:rsid wsp:val=&quot;001B7C90&quot;/&gt;&lt;wsp:rsid wsp:val=&quot;001C0D11&quot;/&gt;&lt;wsp:rsid wsp:val=&quot;001E3CBE&quot;/&gt;&lt;wsp:rsid wsp:val=&quot;001E4B2A&quot;/&gt;&lt;wsp:rsid wsp:val=&quot;001F0DE7&quot;/&gt;&lt;wsp:rsid wsp:val=&quot;001F62B7&quot;/&gt;&lt;wsp:rsid wsp:val=&quot;002007C2&quot;/&gt;&lt;wsp:rsid wsp:val=&quot;00230FD6&quot;/&gt;&lt;wsp:rsid wsp:val=&quot;00232490&quot;/&gt;&lt;wsp:rsid wsp:val=&quot;00232935&quot;/&gt;&lt;wsp:rsid wsp:val=&quot;00233351&quot;/&gt;&lt;wsp:rsid wsp:val=&quot;0023522A&quot;/&gt;&lt;wsp:rsid wsp:val=&quot;00256BBA&quot;/&gt;&lt;wsp:rsid wsp:val=&quot;00263187&quot;/&gt;&lt;wsp:rsid wsp:val=&quot;00276C3B&quot;/&gt;&lt;wsp:rsid wsp:val=&quot;00293FF9&quot;/&gt;&lt;wsp:rsid wsp:val=&quot;002E1AF8&quot;/&gt;&lt;wsp:rsid wsp:val=&quot;002E2A2A&quot;/&gt;&lt;wsp:rsid wsp:val=&quot;00307FDB&quot;/&gt;&lt;wsp:rsid wsp:val=&quot;0033075B&quot;/&gt;&lt;wsp:rsid wsp:val=&quot;003320D5&quot;/&gt;&lt;wsp:rsid wsp:val=&quot;0035144F&quot;/&gt;&lt;wsp:rsid wsp:val=&quot;00366E6A&quot;/&gt;&lt;wsp:rsid wsp:val=&quot;003705E3&quot;/&gt;&lt;wsp:rsid wsp:val=&quot;0037151D&quot;/&gt;&lt;wsp:rsid wsp:val=&quot;003920A4&quot;/&gt;&lt;wsp:rsid wsp:val=&quot;003935E1&quot;/&gt;&lt;wsp:rsid wsp:val=&quot;003A602F&quot;/&gt;&lt;wsp:rsid wsp:val=&quot;003B386C&quot;/&gt;&lt;wsp:rsid wsp:val=&quot;003C43F3&quot;/&gt;&lt;wsp:rsid wsp:val=&quot;003C5C41&quot;/&gt;&lt;wsp:rsid wsp:val=&quot;003C62E9&quot;/&gt;&lt;wsp:rsid wsp:val=&quot;003D346D&quot;/&gt;&lt;wsp:rsid wsp:val=&quot;003D3578&quot;/&gt;&lt;wsp:rsid wsp:val=&quot;003D7301&quot;/&gt;&lt;wsp:rsid wsp:val=&quot;003D7404&quot;/&gt;&lt;wsp:rsid wsp:val=&quot;003F50F8&quot;/&gt;&lt;wsp:rsid wsp:val=&quot;00427844&quot;/&gt;&lt;wsp:rsid wsp:val=&quot;0043443C&quot;/&gt;&lt;wsp:rsid wsp:val=&quot;00452CE7&quot;/&gt;&lt;wsp:rsid wsp:val=&quot;0045652E&quot;/&gt;&lt;wsp:rsid wsp:val=&quot;004956AC&quot;/&gt;&lt;wsp:rsid wsp:val=&quot;004A0714&quot;/&gt;&lt;wsp:rsid wsp:val=&quot;004C6742&quot;/&gt;&lt;wsp:rsid wsp:val=&quot;004C7858&quot;/&gt;&lt;wsp:rsid wsp:val=&quot;004D0307&quot;/&gt;&lt;wsp:rsid wsp:val=&quot;004E69DC&quot;/&gt;&lt;wsp:rsid wsp:val=&quot;004F5D22&quot;/&gt;&lt;wsp:rsid wsp:val=&quot;00516A0D&quot;/&gt;&lt;wsp:rsid wsp:val=&quot;00523FFF&quot;/&gt;&lt;wsp:rsid wsp:val=&quot;00547F20&quot;/&gt;&lt;wsp:rsid wsp:val=&quot;005608B0&quot;/&gt;&lt;wsp:rsid wsp:val=&quot;005A46EA&quot;/&gt;&lt;wsp:rsid wsp:val=&quot;005C4535&quot;/&gt;&lt;wsp:rsid wsp:val=&quot;005E4BA6&quot;/&gt;&lt;wsp:rsid wsp:val=&quot;005F419A&quot;/&gt;&lt;wsp:rsid wsp:val=&quot;00606F92&quot;/&gt;&lt;wsp:rsid wsp:val=&quot;0062507C&quot;/&gt;&lt;wsp:rsid wsp:val=&quot;0062662C&quot;/&gt;&lt;wsp:rsid wsp:val=&quot;006430A1&quot;/&gt;&lt;wsp:rsid wsp:val=&quot;00643505&quot;/&gt;&lt;wsp:rsid wsp:val=&quot;00663772&quot;/&gt;&lt;wsp:rsid wsp:val=&quot;00672376&quot;/&gt;&lt;wsp:rsid wsp:val=&quot;0068017D&quot;/&gt;&lt;wsp:rsid wsp:val=&quot;00687459&quot;/&gt;&lt;wsp:rsid wsp:val=&quot;006B1F04&quot;/&gt;&lt;wsp:rsid wsp:val=&quot;006D356C&quot;/&gt;&lt;wsp:rsid wsp:val=&quot;006D7FBC&quot;/&gt;&lt;wsp:rsid wsp:val=&quot;006F29D6&quot;/&gt;&lt;wsp:rsid wsp:val=&quot;006F7923&quot;/&gt;&lt;wsp:rsid wsp:val=&quot;00714110&quot;/&gt;&lt;wsp:rsid wsp:val=&quot;00752A34&quot;/&gt;&lt;wsp:rsid wsp:val=&quot;0076513A&quot;/&gt;&lt;wsp:rsid wsp:val=&quot;00771F76&quot;/&gt;&lt;wsp:rsid wsp:val=&quot;00786633&quot;/&gt;&lt;wsp:rsid wsp:val=&quot;007A073A&quot;/&gt;&lt;wsp:rsid wsp:val=&quot;007B6DCF&quot;/&gt;&lt;wsp:rsid wsp:val=&quot;007C1C6F&quot;/&gt;&lt;wsp:rsid wsp:val=&quot;007D43F8&quot;/&gt;&lt;wsp:rsid wsp:val=&quot;007D674E&quot;/&gt;&lt;wsp:rsid wsp:val=&quot;007F197C&quot;/&gt;&lt;wsp:rsid wsp:val=&quot;007F4814&quot;/&gt;&lt;wsp:rsid wsp:val=&quot;00800A37&quot;/&gt;&lt;wsp:rsid wsp:val=&quot;00803E1C&quot;/&gt;&lt;wsp:rsid wsp:val=&quot;00811BE5&quot;/&gt;&lt;wsp:rsid wsp:val=&quot;00842A8A&quot;/&gt;&lt;wsp:rsid wsp:val=&quot;00845F3A&quot;/&gt;&lt;wsp:rsid wsp:val=&quot;00875EAB&quot;/&gt;&lt;wsp:rsid wsp:val=&quot;008B01DD&quot;/&gt;&lt;wsp:rsid wsp:val=&quot;008D29A2&quot;/&gt;&lt;wsp:rsid wsp:val=&quot;008F2913&quot;/&gt;&lt;wsp:rsid wsp:val=&quot;00902A98&quot;/&gt;&lt;wsp:rsid wsp:val=&quot;009038DA&quot;/&gt;&lt;wsp:rsid wsp:val=&quot;00941888&quot;/&gt;&lt;wsp:rsid wsp:val=&quot;00943CDE&quot;/&gt;&lt;wsp:rsid wsp:val=&quot;00967CB3&quot;/&gt;&lt;wsp:rsid wsp:val=&quot;00992EB7&quot;/&gt;&lt;wsp:rsid wsp:val=&quot;009A525C&quot;/&gt;&lt;wsp:rsid wsp:val=&quot;009A5D84&quot;/&gt;&lt;wsp:rsid wsp:val=&quot;009A791B&quot;/&gt;&lt;wsp:rsid wsp:val=&quot;009B3893&quot;/&gt;&lt;wsp:rsid wsp:val=&quot;009F5B89&quot;/&gt;&lt;wsp:rsid wsp:val=&quot;00A008E2&quot;/&gt;&lt;wsp:rsid wsp:val=&quot;00A00D9B&quot;/&gt;&lt;wsp:rsid wsp:val=&quot;00A33AA4&quot;/&gt;&lt;wsp:rsid wsp:val=&quot;00A370B4&quot;/&gt;&lt;wsp:rsid wsp:val=&quot;00A53D37&quot;/&gt;&lt;wsp:rsid wsp:val=&quot;00A82BB9&quot;/&gt;&lt;wsp:rsid wsp:val=&quot;00A84557&quot;/&gt;&lt;wsp:rsid wsp:val=&quot;00A90A2F&quot;/&gt;&lt;wsp:rsid wsp:val=&quot;00A926A0&quot;/&gt;&lt;wsp:rsid wsp:val=&quot;00AA32F3&quot;/&gt;&lt;wsp:rsid wsp:val=&quot;00AB79E9&quot;/&gt;&lt;wsp:rsid wsp:val=&quot;00B17192&quot;/&gt;&lt;wsp:rsid wsp:val=&quot;00B20085&quot;/&gt;&lt;wsp:rsid wsp:val=&quot;00B215F8&quot;/&gt;&lt;wsp:rsid wsp:val=&quot;00B23D80&quot;/&gt;&lt;wsp:rsid wsp:val=&quot;00B25FF4&quot;/&gt;&lt;wsp:rsid wsp:val=&quot;00B4333C&quot;/&gt;&lt;wsp:rsid wsp:val=&quot;00B43A09&quot;/&gt;&lt;wsp:rsid wsp:val=&quot;00B52D15&quot;/&gt;&lt;wsp:rsid wsp:val=&quot;00B649C6&quot;/&gt;&lt;wsp:rsid wsp:val=&quot;00B815BA&quot;/&gt;&lt;wsp:rsid wsp:val=&quot;00BB6078&quot;/&gt;&lt;wsp:rsid wsp:val=&quot;00BE1389&quot;/&gt;&lt;wsp:rsid wsp:val=&quot;00BE31B6&quot;/&gt;&lt;wsp:rsid wsp:val=&quot;00C041DE&quot;/&gt;&lt;wsp:rsid wsp:val=&quot;00C361F0&quot;/&gt;&lt;wsp:rsid wsp:val=&quot;00C8060A&quot;/&gt;&lt;wsp:rsid wsp:val=&quot;00C90115&quot;/&gt;&lt;wsp:rsid wsp:val=&quot;00C939C6&quot;/&gt;&lt;wsp:rsid wsp:val=&quot;00C97911&quot;/&gt;&lt;wsp:rsid wsp:val=&quot;00CB3E8A&quot;/&gt;&lt;wsp:rsid wsp:val=&quot;00CD2750&quot;/&gt;&lt;wsp:rsid wsp:val=&quot;00CD59FD&quot;/&gt;&lt;wsp:rsid wsp:val=&quot;00D1345D&quot;/&gt;&lt;wsp:rsid wsp:val=&quot;00D33346&quot;/&gt;&lt;wsp:rsid wsp:val=&quot;00D4549B&quot;/&gt;&lt;wsp:rsid wsp:val=&quot;00D63B74&quot;/&gt;&lt;wsp:rsid wsp:val=&quot;00D913CD&quot;/&gt;&lt;wsp:rsid wsp:val=&quot;00D939BD&quot;/&gt;&lt;wsp:rsid wsp:val=&quot;00DB5CAD&quot;/&gt;&lt;wsp:rsid wsp:val=&quot;00E10A48&quot;/&gt;&lt;wsp:rsid wsp:val=&quot;00E20CC7&quot;/&gt;&lt;wsp:rsid wsp:val=&quot;00E270A2&quot;/&gt;&lt;wsp:rsid wsp:val=&quot;00E278C1&quot;/&gt;&lt;wsp:rsid wsp:val=&quot;00E44F0C&quot;/&gt;&lt;wsp:rsid wsp:val=&quot;00E67AC7&quot;/&gt;&lt;wsp:rsid wsp:val=&quot;00E829A1&quot;/&gt;&lt;wsp:rsid wsp:val=&quot;00E864C2&quot;/&gt;&lt;wsp:rsid wsp:val=&quot;00EA2529&quot;/&gt;&lt;wsp:rsid wsp:val=&quot;00EA371B&quot;/&gt;&lt;wsp:rsid wsp:val=&quot;00EC54A8&quot;/&gt;&lt;wsp:rsid wsp:val=&quot;00ED57A6&quot;/&gt;&lt;wsp:rsid wsp:val=&quot;00F001FD&quot;/&gt;&lt;wsp:rsid wsp:val=&quot;00F07EAF&quot;/&gt;&lt;wsp:rsid wsp:val=&quot;00F16054&quot;/&gt;&lt;wsp:rsid wsp:val=&quot;00F243DE&quot;/&gt;&lt;wsp:rsid wsp:val=&quot;00F5203C&quot;/&gt;&lt;wsp:rsid wsp:val=&quot;00F617F0&quot;/&gt;&lt;wsp:rsid wsp:val=&quot;00F650FA&quot;/&gt;&lt;wsp:rsid wsp:val=&quot;00F66E89&quot;/&gt;&lt;wsp:rsid wsp:val=&quot;00F71358&quot;/&gt;&lt;wsp:rsid wsp:val=&quot;00F8440F&quot;/&gt;&lt;wsp:rsid wsp:val=&quot;00FA641D&quot;/&gt;&lt;wsp:rsid wsp:val=&quot;00FB321B&quot;/&gt;&lt;wsp:rsid wsp:val=&quot;00FC6A31&quot;/&gt;&lt;wsp:rsid wsp:val=&quot;00FD53E4&quot;/&gt;&lt;wsp:rsid wsp:val=&quot;00FE4016&quot;/&gt;&lt;/wsp:rsids&gt;&lt;/w:docPr&gt;&lt;w:body&gt;&lt;wx:sect&gt;&lt;w:p wsp:rsidR=&quot;00000000&quot; wsp:rsidRDefault=&quot;00FD53E4&quot; wsp:rsidP=&quot;00FD53E4&quot;&gt;&lt;m:oMathPara&gt;&lt;m:oMath&gt;&lt;m:nary&gt;&lt;m:naryPr&gt;&lt;m:chr m:val=&quot;∑&quot;/&gt;&lt;m:limLoc m:val=&quot;undOvr&quot;/&gt;&lt;m:subHide m:val=&quot;1&quot;/&gt;&lt;m:supHide m:val=&quot;1&quot;/&gt;&lt;m:ctrlPr&gt;&lt;w:rPr&gt;&lt;w:rFonts w:ascii=&quot;Cambria Math&quot; w:h-ansi=&quot;Cambria Math&quot;/&gt;&lt;wx:font wx:val=&quot;CambriaDDDDDDDD M3ath&quot;/&gt;&lt;w:i/&gt;&lt;w:i-cs/&gt;&lt;w:sz w:val=&quot;24&quot;/&gt;&lt;w:shd w:val=&quot;clear&quot; w:color=&quot;auto&quot; w:fill=&quot;FFFFFF&quot;/&gt;&lt;/w:rPr&gt;&lt;/m:ctrlPr&gt;&lt;/m:naryPr&gt;&lt;m:sub/&gt;&lt;m:sup/&gt;&lt;m:e&gt;&lt;m:sSub&gt;&lt;m:sSubPr&gt;&lt;m:ctrlPr&gt;&lt;w:rPr&gt;&lt;w:rFonts w:ascii=&quot;Cambria Math&quot; w:h-ansi=&quot;Cambria Math&quot;/&gt;&lt;wx:font wx:val=&quot;Cambria Math&quot;/&gt;&lt;w:i/&gt;&lt;w:i-cs/&gt;&lt;w:sz w:val=&quot;24&quot;/&gt;&lt;w:shd w:val=&quot;clear&quot; w:color=&quot;auto&quot; w:fill=&quot;FFFFFF&quot;/&gt;&lt;/w:rPr&gt;&lt;/m:ctrlPr&gt;&lt;/m:sSubPr&gt;&lt;m:e&gt;&lt;m:r&gt;&lt;w:rPr&gt;&lt;w:rFonts w:ascii=&quot;Cambria Math&quot; w:h-ansi=&quot;Cambria Math&quot;/&gt;&lt;wx:font wx:val=&quot;Cambria Math&quot;/&gt;&lt;w:i/&gt;&lt;w:i-cs/&gt;&lt;w:shd w:val=&quot;clear&quot; w:color=&quot;auto&quot; w:fill=&quot;FFFFFF&quot;/&gt;&lt;/w:rPr&gt;&lt;m:t&gt;Y&lt;/m:t&gt;&lt;/m:r&gt;&lt;/m:e&gt;&lt;m:sub&gt;&lt;m:r&gt;&lt;w:rPr&gt;&lt;w:rFonts w:ascii=&quot;Cambria Math&quot; w:h-ansi=&quot;Cambria Math&quot; w:hint=&quot;fareast&quot;/&gt;&lt;wx:font wx:val=&quot;Cambria Math&quot;/&gt;&lt;w:i/&gt;&lt;w:i-cs/&gt;&lt;w:shd w:val=&quot;clear&quot; w:color=&quot;auto&quot; w:fill=&quot;FFFFFF&quot;/&gt;&lt;/w:rPr&gt;&lt;m:t&gt;i&lt;/m:t&gt;&lt;/m:r&gt;&lt;/m:sub&gt;&lt;/m:sSub&gt;&lt;m:r&gt;&lt;w:rPr&gt;&lt;w:rFonts w:ascii=&quot;Cambria Math&quot; w:h-ansi=&quot;Cambria Math&quot;/&gt;&lt;wx:font wx:val=&quot;Cambria Math&quot;/&gt;&lt;w:i/&gt;&lt;w:i-cs/&gt;&lt;w:shd w:val=&quot;clear&quot; w:color=&quot;auto&quot; w:fill=&quot;FFFFFF&quot;/&gt;&lt;/w:rPr&gt;&lt;m:t&gt;?&lt;/m:t&gt;&lt;/m:r&gt;&lt;m:sSub&gt;&lt;m:sSubPr&gt;&lt;m:ctrlPr&gt;&lt;w:rPr&gt;&lt;w:rFonts w:ascii=&quot;Cambria Math&quot; w:h-ansi=&quot;Cambria Math&quot;/&gt;&lt;wx:font wx:val=&quot;Cambria Math&quot;/&gt;&lt;w:i/&gt;&lt;w:i-cs/&gt;&lt;w:sz w:val=&quot;24&quot;/&gt;&lt;w:shd w:val=&quot;clear&quot; w:color=&quot;auto&quot; w:fill=&quot;FFFFFF&quot;/&gt;&lt;/w:rPr&gt;&lt;/m:ctrlPr&gt;&lt;/m:sSubPr&gt;&lt;m:e&gt;&lt;m:r&gt;&lt;w:rPr&gt;&lt;w:rFonts w:ascii=&quot;Cambria Math&quot; w:h-ansi=&quot;Cambria Math&quot;/&gt;&lt;wx:font wx:val=&quot;Cambria Math&quot;/&gt;&lt;w:i/&gt;&lt;w:i-cs/&gt;&lt;w:shd w:val=&quot;clear&quot; w:color=&quot;auto&quot; w:fill=&quot;FFFFFF&quot;/&gt;&lt;/w:rPr&gt;&lt;m:t&gt;Q&lt;/m:t&gt;&lt;/m:r&gt;&lt;/m:e&gt;&lt;m:sub&gt;&lt;m:r&gt;&lt;w:rPr&gt;&lt;w:rFonts w:ascii=&quot;Cambria Math&quot; w:h-ansi=&quot;Cambria Math&quot; w:hint=&quot;fareast&quot;/&gt;&lt;wx:font wx:val=&quot;Cambria Math&quot;/&gt;&lt;w:i/&gt;&lt;w:i-cs/&gt;&lt;w:shd w:val=&quot;clear&quot; w:color=&quot;auto&quot; w:fill=&quot;FFFFFF&quot;/&gt;&lt;/w:rPr&gt;&lt;m:t&gt;i&lt;/m:t&gt;&lt;/m:r&gt;&lt;m:r&gt;&lt;w:rPr&gt;&lt;w:rFonts w:ascii=&quot;Cambria Math&quot; w:h-ansi=&quot;Cambria Math&quot; w:hint=&quot;fareast&quot;/&gt;&lt;wx:font wx:val=&quot;宋体&quot;/&gt;&lt;w:i/&gt;&lt;w:i-cs/&gt;&lt;w:shd w:val=&quot;clear&quot; w:color=&quot;auto&quot; w:fill=&quot;FFFFFF&quot;/&gt;&lt;/w:rPr&gt;&lt;m:t&gt;基&lt;/m:t&gt;&lt;/m:r&gt;&lt;/m:sub&gt;&lt;/m:sSub&gt;&lt;/m:e&gt;&lt;/m:nary&gt;&lt;/m:oMath&gt;&lt;/m:oMathPara&gt;&lt;/w:p&gt;&lt;w:sectPr wsp:rsidR=&quot;00000000&quot;&gt;&lt;w:pgSz w:w=&quot;12240&quot; w:h=&quot;15840&quot;/&gt;&lt;w:pgMeasaastrst&quot; t&quot;/w&quot;/&gt;:/&gt;&lt;t&gt;&lt;wo&lt;wxp=&quot;:fo1440&quot; w:right=&quot;1800&quot; w:bottom=&quot;1440&quot; w:left=&quot;1800&quot; w:header=&quot;720&quot; w:footer=&quot;720&quot; w:gutter=&quot;0&quot;/&gt;&lt;w:cols w:space=&quot;720&quot;/&gt;&lt;/w:sectPr&gt;&lt;/wx:sect&gt;&lt;/w:body&gt;&lt;/w:wordDocument&gt;">
            <v:path/>
            <v:fill on="f" focussize="0,0"/>
            <v:stroke on="f" joinstyle="miter"/>
            <v:imagedata r:id="rId21" chromakey="#FFFFFF" o:title=""/>
            <o:lock v:ext="edit" aspectratio="t"/>
            <w10:wrap type="none"/>
            <w10:anchorlock/>
          </v:shape>
        </w:pic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比值小于1，则以水污染物实测浓度作为判定排放是否达标的依据。</w:t>
      </w:r>
    </w:p>
    <w:p>
      <w:pPr>
        <w:pStyle w:val="2"/>
      </w:pPr>
      <w:bookmarkStart w:id="19" w:name="_Toc29243789"/>
      <w:r>
        <w:rPr>
          <w:rFonts w:hint="eastAsia"/>
        </w:rPr>
        <w:t>废水控盐技术要求</w:t>
      </w:r>
      <w:bookmarkEnd w:id="19"/>
    </w:p>
    <w:p>
      <w:pPr>
        <w:pStyle w:val="4"/>
        <w:spacing w:before="120" w:beforeLines="50" w:afterLines="50"/>
        <w:ind w:left="578" w:hanging="578"/>
      </w:pPr>
      <w:r>
        <w:t>源头控制</w:t>
      </w:r>
    </w:p>
    <w:p>
      <w:pPr>
        <w:pStyle w:val="6"/>
        <w:numPr>
          <w:ilvl w:val="2"/>
          <w:numId w:val="0"/>
        </w:numPr>
        <w:ind w:firstLine="420" w:firstLineChars="200"/>
      </w:pPr>
      <w:bookmarkStart w:id="20" w:name="_Hlk27237185"/>
      <w:r>
        <w:rPr>
          <w:rFonts w:hint="eastAsia"/>
        </w:rPr>
        <w:t>宜</w:t>
      </w:r>
      <w:r>
        <w:t>采用风脱水、低盐腌制、分阶段加盐腌渍和三腌水回用工艺，减少盐渍过程用盐量和增加含盐水再利用率。</w:t>
      </w:r>
    </w:p>
    <w:p>
      <w:pPr>
        <w:pStyle w:val="4"/>
        <w:spacing w:before="120" w:beforeLines="50" w:afterLines="50"/>
        <w:ind w:left="578" w:hanging="578"/>
      </w:pPr>
      <w:r>
        <w:t>过程控制</w:t>
      </w:r>
    </w:p>
    <w:p>
      <w:pPr>
        <w:pStyle w:val="6"/>
        <w:numPr>
          <w:ilvl w:val="2"/>
          <w:numId w:val="0"/>
        </w:numPr>
        <w:ind w:firstLine="420" w:firstLineChars="200"/>
      </w:pPr>
      <w:r>
        <w:t>榨菜生产企业宜采用预脱盐、滚筒喷淋脱盐等技术，减少脱盐用水量。</w:t>
      </w:r>
    </w:p>
    <w:p>
      <w:pPr>
        <w:pStyle w:val="4"/>
        <w:spacing w:before="120" w:beforeLines="50" w:afterLines="50"/>
        <w:ind w:left="578" w:hanging="578"/>
      </w:pPr>
      <w:r>
        <w:t>末端控制</w:t>
      </w:r>
    </w:p>
    <w:p>
      <w:pPr>
        <w:ind w:firstLine="420" w:firstLineChars="200"/>
      </w:pPr>
      <w:r>
        <w:rPr>
          <w:rFonts w:hint="eastAsia"/>
        </w:rPr>
        <w:t>宜利用膜技术、MVR低温蒸发技术对含盐水进行浓缩，并提高浓盐水回用多样化。</w:t>
      </w:r>
    </w:p>
    <w:bookmarkEnd w:id="20"/>
    <w:p>
      <w:pPr>
        <w:pStyle w:val="2"/>
      </w:pPr>
      <w:bookmarkStart w:id="21" w:name="_Toc29243790"/>
      <w:r>
        <w:rPr>
          <w:rFonts w:hint="eastAsia"/>
        </w:rPr>
        <w:t>污染物监测要求</w:t>
      </w:r>
      <w:bookmarkEnd w:id="21"/>
    </w:p>
    <w:p>
      <w:pPr>
        <w:pStyle w:val="4"/>
        <w:spacing w:before="120"/>
        <w:ind w:left="0" w:firstLine="0"/>
        <w:rPr>
          <w:rFonts w:ascii="宋体" w:hAnsi="宋体" w:eastAsia="宋体"/>
        </w:rPr>
      </w:pPr>
      <w:r>
        <w:rPr>
          <w:rFonts w:hint="eastAsia" w:ascii="宋体" w:hAnsi="宋体" w:eastAsia="宋体"/>
        </w:rPr>
        <w:t>污水样品的采集方法应按 GB 12998、HJ/T 91、</w:t>
      </w:r>
      <w:r>
        <w:rPr>
          <w:rFonts w:ascii="宋体" w:hAnsi="宋体" w:eastAsia="宋体"/>
        </w:rPr>
        <w:t>HJ/T 92</w:t>
      </w:r>
      <w:r>
        <w:rPr>
          <w:rFonts w:hint="eastAsia" w:ascii="宋体" w:hAnsi="宋体" w:eastAsia="宋体"/>
        </w:rPr>
        <w:t>及相关分析方法标准的有关规定执行。</w:t>
      </w:r>
    </w:p>
    <w:p>
      <w:pPr>
        <w:pStyle w:val="4"/>
        <w:spacing w:before="120"/>
        <w:ind w:left="0" w:firstLine="0"/>
        <w:rPr>
          <w:rFonts w:ascii="宋体" w:hAnsi="宋体" w:eastAsia="宋体"/>
        </w:rPr>
      </w:pPr>
      <w:r>
        <w:rPr>
          <w:rFonts w:hint="eastAsia" w:ascii="宋体" w:hAnsi="宋体" w:eastAsia="宋体"/>
        </w:rPr>
        <w:t>污水样品的保存方法应按 GB 12999、HJ/T 91、</w:t>
      </w:r>
      <w:r>
        <w:rPr>
          <w:rFonts w:ascii="宋体" w:hAnsi="宋体" w:eastAsia="宋体"/>
        </w:rPr>
        <w:t>HJ/T 92</w:t>
      </w:r>
      <w:r>
        <w:rPr>
          <w:rFonts w:hint="eastAsia" w:ascii="宋体" w:hAnsi="宋体" w:eastAsia="宋体"/>
        </w:rPr>
        <w:t>及相关分析方法标准的有关规定执行。</w:t>
      </w:r>
    </w:p>
    <w:p>
      <w:pPr>
        <w:pStyle w:val="4"/>
        <w:spacing w:before="120"/>
        <w:ind w:left="0" w:firstLine="0"/>
        <w:rPr>
          <w:rFonts w:ascii="宋体" w:hAnsi="宋体" w:eastAsia="宋体"/>
        </w:rPr>
      </w:pPr>
      <w:r>
        <w:rPr>
          <w:rFonts w:hint="eastAsia" w:ascii="宋体" w:hAnsi="宋体" w:eastAsia="宋体"/>
        </w:rPr>
        <w:t>排污单位应按照有关法律和《环境监测管理办法》的规定，对排污状况进行监测，并保存原始监测记录。</w:t>
      </w:r>
    </w:p>
    <w:p>
      <w:pPr>
        <w:pStyle w:val="4"/>
        <w:spacing w:before="120"/>
        <w:ind w:left="0" w:firstLine="0"/>
        <w:rPr>
          <w:rFonts w:ascii="宋体" w:hAnsi="宋体" w:eastAsia="宋体"/>
        </w:rPr>
      </w:pPr>
      <w:r>
        <w:rPr>
          <w:rFonts w:hint="eastAsia" w:ascii="宋体" w:hAnsi="宋体" w:eastAsia="宋体"/>
        </w:rPr>
        <w:t>对水污染物排放浓度的测定应按照表 3</w:t>
      </w:r>
      <w:r>
        <w:rPr>
          <w:rFonts w:ascii="宋体" w:hAnsi="宋体" w:eastAsia="宋体"/>
        </w:rPr>
        <w:t xml:space="preserve"> </w:t>
      </w:r>
      <w:r>
        <w:rPr>
          <w:rFonts w:hint="eastAsia" w:ascii="宋体" w:hAnsi="宋体" w:eastAsia="宋体"/>
        </w:rPr>
        <w:t>所列的监测方法或国家生态环境主管部门认定的等效方法执行。</w:t>
      </w:r>
    </w:p>
    <w:p>
      <w:pPr>
        <w:widowControl/>
        <w:jc w:val="left"/>
      </w:pPr>
    </w:p>
    <w:p>
      <w:pPr>
        <w:numPr>
          <w:ilvl w:val="0"/>
          <w:numId w:val="3"/>
        </w:numPr>
        <w:spacing w:line="360" w:lineRule="exact"/>
        <w:ind w:left="0" w:firstLine="0"/>
        <w:jc w:val="center"/>
        <w:rPr>
          <w:rFonts w:ascii="Times New Roman" w:hAnsi="Times New Roman" w:eastAsia="黑体" w:cs="Times New Roman"/>
        </w:rPr>
      </w:pPr>
      <w:r>
        <w:rPr>
          <w:rFonts w:hint="eastAsia" w:ascii="Times New Roman" w:hAnsi="Times New Roman" w:eastAsia="黑体" w:cs="Times New Roman"/>
        </w:rPr>
        <w:t>水污染物浓度测定方法</w:t>
      </w:r>
    </w:p>
    <w:tbl>
      <w:tblPr>
        <w:tblStyle w:val="30"/>
        <w:tblpPr w:leftFromText="180" w:rightFromText="180" w:vertAnchor="text" w:horzAnchor="page" w:tblpXSpec="center" w:tblpY="286"/>
        <w:tblOverlap w:val="never"/>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052"/>
        <w:gridCol w:w="443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6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序号</w:t>
            </w:r>
          </w:p>
        </w:tc>
        <w:tc>
          <w:tcPr>
            <w:tcW w:w="205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污染物项目</w:t>
            </w:r>
          </w:p>
        </w:tc>
        <w:tc>
          <w:tcPr>
            <w:tcW w:w="44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方法标准名称</w:t>
            </w:r>
          </w:p>
        </w:tc>
        <w:tc>
          <w:tcPr>
            <w:tcW w:w="17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方法标准号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6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2052"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化学需氧量（COD</w:t>
            </w:r>
            <w:r>
              <w:rPr>
                <w:rFonts w:ascii="Times New Roman" w:hAnsi="Times New Roman" w:cs="Times New Roman"/>
                <w:sz w:val="18"/>
                <w:szCs w:val="18"/>
                <w:vertAlign w:val="subscript"/>
              </w:rPr>
              <w:t>Cr</w:t>
            </w:r>
            <w:r>
              <w:rPr>
                <w:rFonts w:ascii="Times New Roman" w:hAnsi="Times New Roman" w:cs="Times New Roman"/>
                <w:sz w:val="18"/>
                <w:szCs w:val="18"/>
              </w:rPr>
              <w:t>）</w:t>
            </w:r>
          </w:p>
        </w:tc>
        <w:tc>
          <w:tcPr>
            <w:tcW w:w="44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高氯高氨废水 化学需氧量的测定 氯离子校正法</w:t>
            </w:r>
          </w:p>
        </w:tc>
        <w:tc>
          <w:tcPr>
            <w:tcW w:w="17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31195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66" w:type="dxa"/>
            <w:vMerge w:val="continue"/>
            <w:vAlign w:val="center"/>
          </w:tcPr>
          <w:p>
            <w:pPr>
              <w:jc w:val="center"/>
              <w:rPr>
                <w:rFonts w:ascii="Times New Roman" w:hAnsi="Times New Roman" w:cs="Times New Roman"/>
                <w:sz w:val="18"/>
                <w:szCs w:val="18"/>
              </w:rPr>
            </w:pPr>
          </w:p>
        </w:tc>
        <w:tc>
          <w:tcPr>
            <w:tcW w:w="2052" w:type="dxa"/>
            <w:vMerge w:val="continue"/>
            <w:vAlign w:val="center"/>
          </w:tcPr>
          <w:p>
            <w:pPr>
              <w:jc w:val="center"/>
              <w:rPr>
                <w:rFonts w:ascii="Times New Roman" w:hAnsi="Times New Roman" w:cs="Times New Roman"/>
                <w:sz w:val="18"/>
                <w:szCs w:val="18"/>
              </w:rPr>
            </w:pPr>
          </w:p>
        </w:tc>
        <w:tc>
          <w:tcPr>
            <w:tcW w:w="44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高氯废水 化学需氧量的测定 氯气校正法</w:t>
            </w:r>
          </w:p>
        </w:tc>
        <w:tc>
          <w:tcPr>
            <w:tcW w:w="17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HJ/T 70-2001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6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2052"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氯离子（Cl</w:t>
            </w:r>
            <w:r>
              <w:rPr>
                <w:rFonts w:ascii="Times New Roman" w:hAnsi="Times New Roman" w:cs="Times New Roman"/>
                <w:sz w:val="18"/>
                <w:szCs w:val="18"/>
                <w:vertAlign w:val="superscript"/>
              </w:rPr>
              <w:t>-</w:t>
            </w:r>
            <w:r>
              <w:rPr>
                <w:rFonts w:ascii="Times New Roman" w:hAnsi="Times New Roman" w:cs="Times New Roman"/>
                <w:sz w:val="18"/>
                <w:szCs w:val="18"/>
              </w:rPr>
              <w:t>）</w:t>
            </w:r>
          </w:p>
        </w:tc>
        <w:tc>
          <w:tcPr>
            <w:tcW w:w="44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水质 氯化物的测定 硝酸银滴定法</w:t>
            </w:r>
          </w:p>
        </w:tc>
        <w:tc>
          <w:tcPr>
            <w:tcW w:w="17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66" w:type="dxa"/>
            <w:vMerge w:val="continue"/>
            <w:vAlign w:val="center"/>
          </w:tcPr>
          <w:p>
            <w:pPr>
              <w:jc w:val="center"/>
              <w:rPr>
                <w:rFonts w:ascii="Times New Roman" w:hAnsi="Times New Roman" w:cs="Times New Roman"/>
                <w:sz w:val="18"/>
                <w:szCs w:val="18"/>
              </w:rPr>
            </w:pPr>
          </w:p>
        </w:tc>
        <w:tc>
          <w:tcPr>
            <w:tcW w:w="2052" w:type="dxa"/>
            <w:vMerge w:val="continue"/>
            <w:vAlign w:val="center"/>
          </w:tcPr>
          <w:p>
            <w:pPr>
              <w:jc w:val="center"/>
              <w:rPr>
                <w:rFonts w:ascii="Times New Roman" w:hAnsi="Times New Roman" w:cs="Times New Roman"/>
                <w:sz w:val="18"/>
                <w:szCs w:val="18"/>
              </w:rPr>
            </w:pPr>
          </w:p>
        </w:tc>
        <w:tc>
          <w:tcPr>
            <w:tcW w:w="44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水质 无机阴离子的测定 离子色谱法</w:t>
            </w:r>
          </w:p>
        </w:tc>
        <w:tc>
          <w:tcPr>
            <w:tcW w:w="17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HJ/T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6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2052"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氨氮（NH</w:t>
            </w:r>
            <w:r>
              <w:rPr>
                <w:rFonts w:ascii="Times New Roman" w:hAnsi="Times New Roman" w:cs="Times New Roman"/>
                <w:sz w:val="18"/>
                <w:szCs w:val="18"/>
                <w:vertAlign w:val="subscript"/>
              </w:rPr>
              <w:t>3</w:t>
            </w:r>
            <w:r>
              <w:rPr>
                <w:rFonts w:ascii="Times New Roman" w:hAnsi="Times New Roman" w:cs="Times New Roman"/>
                <w:sz w:val="18"/>
                <w:szCs w:val="18"/>
              </w:rPr>
              <w:t>-N）</w:t>
            </w:r>
          </w:p>
        </w:tc>
        <w:tc>
          <w:tcPr>
            <w:tcW w:w="44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水质 氨氮的测定 蒸馏-中和滴定</w:t>
            </w:r>
          </w:p>
        </w:tc>
        <w:tc>
          <w:tcPr>
            <w:tcW w:w="17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66" w:type="dxa"/>
            <w:vMerge w:val="continue"/>
            <w:vAlign w:val="center"/>
          </w:tcPr>
          <w:p>
            <w:pPr>
              <w:jc w:val="center"/>
              <w:rPr>
                <w:rFonts w:ascii="Times New Roman" w:hAnsi="Times New Roman" w:cs="Times New Roman"/>
                <w:sz w:val="18"/>
                <w:szCs w:val="18"/>
              </w:rPr>
            </w:pPr>
          </w:p>
        </w:tc>
        <w:tc>
          <w:tcPr>
            <w:tcW w:w="2052" w:type="dxa"/>
            <w:vMerge w:val="continue"/>
            <w:vAlign w:val="center"/>
          </w:tcPr>
          <w:p>
            <w:pPr>
              <w:jc w:val="center"/>
              <w:rPr>
                <w:rFonts w:ascii="Times New Roman" w:hAnsi="Times New Roman" w:cs="Times New Roman"/>
                <w:sz w:val="18"/>
                <w:szCs w:val="18"/>
              </w:rPr>
            </w:pPr>
          </w:p>
        </w:tc>
        <w:tc>
          <w:tcPr>
            <w:tcW w:w="44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水质 氨氮的测定 纳氏试剂分光光度法</w:t>
            </w:r>
          </w:p>
        </w:tc>
        <w:tc>
          <w:tcPr>
            <w:tcW w:w="17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HJ 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66" w:type="dxa"/>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205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总磷（TP）</w:t>
            </w:r>
          </w:p>
        </w:tc>
        <w:tc>
          <w:tcPr>
            <w:tcW w:w="44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水质 总磷的测定 钼酸铵分光光度法</w:t>
            </w:r>
          </w:p>
        </w:tc>
        <w:tc>
          <w:tcPr>
            <w:tcW w:w="17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GB/T 11893</w:t>
            </w:r>
          </w:p>
        </w:tc>
      </w:tr>
    </w:tbl>
    <w:p>
      <w:pPr>
        <w:pStyle w:val="2"/>
        <w:numPr>
          <w:ilvl w:val="0"/>
          <w:numId w:val="0"/>
        </w:numPr>
      </w:pPr>
    </w:p>
    <w:p>
      <w:pPr>
        <w:pStyle w:val="2"/>
      </w:pPr>
      <w:bookmarkStart w:id="22" w:name="_Toc29243791"/>
      <w:r>
        <w:rPr>
          <w:rFonts w:hint="eastAsia"/>
        </w:rPr>
        <w:t>实施要求</w:t>
      </w:r>
      <w:bookmarkEnd w:id="22"/>
    </w:p>
    <w:p>
      <w:pPr>
        <w:pStyle w:val="4"/>
        <w:numPr>
          <w:ilvl w:val="1"/>
          <w:numId w:val="0"/>
        </w:numPr>
        <w:spacing w:before="120"/>
        <w:ind w:firstLine="420" w:firstLineChars="200"/>
        <w:rPr>
          <w:rFonts w:ascii="宋体" w:hAnsi="宋体" w:eastAsia="宋体"/>
        </w:rPr>
      </w:pPr>
      <w:r>
        <w:rPr>
          <w:rFonts w:hint="eastAsia" w:ascii="宋体" w:hAnsi="宋体" w:eastAsia="宋体"/>
        </w:rPr>
        <w:t>本标准由县级</w:t>
      </w:r>
      <w:bookmarkStart w:id="23" w:name="_GoBack"/>
      <w:bookmarkEnd w:id="23"/>
      <w:r>
        <w:rPr>
          <w:rFonts w:hint="eastAsia" w:ascii="宋体" w:hAnsi="宋体" w:eastAsia="宋体"/>
        </w:rPr>
        <w:t>以上人民政府生态环境主管部门负责</w:t>
      </w:r>
      <w:r>
        <w:rPr>
          <w:rFonts w:hint="eastAsia" w:ascii="宋体" w:hAnsi="宋体" w:eastAsia="宋体" w:cs="宋体"/>
        </w:rPr>
        <w:t>实施与监督</w:t>
      </w:r>
      <w:r>
        <w:rPr>
          <w:rFonts w:hint="eastAsia" w:ascii="宋体" w:hAnsi="宋体" w:eastAsia="宋体"/>
        </w:rPr>
        <w:t>。</w:t>
      </w:r>
    </w:p>
    <w:p>
      <w:pPr>
        <w:pStyle w:val="5"/>
        <w:ind w:firstLine="0" w:firstLineChars="0"/>
      </w:pPr>
    </w:p>
    <w:sectPr>
      <w:headerReference r:id="rId11" w:type="first"/>
      <w:footerReference r:id="rId13" w:type="first"/>
      <w:footerReference r:id="rId12" w:type="default"/>
      <w:pgSz w:w="11906" w:h="16838"/>
      <w:pgMar w:top="1814" w:right="1134" w:bottom="1418" w:left="1418" w:header="1418"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w:fldChar w:fldCharType="begin"/>
    </w:r>
    <w:r>
      <w:instrText xml:space="preserve"> PAGE   \* MERGEFORMAT </w:instrText>
    </w:r>
    <w:r>
      <w:fldChar w:fldCharType="separate"/>
    </w:r>
    <w: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right"/>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right"/>
    </w:pPr>
    <w:r>
      <w:fldChar w:fldCharType="begin"/>
    </w:r>
    <w:r>
      <w:instrText xml:space="preserve"> PAGE   \* MERGEFORMAT </w:instrText>
    </w:r>
    <w:r>
      <w:fldChar w:fldCharType="separate"/>
    </w:r>
    <w:r>
      <w:t>5</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right"/>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DB50/  XXXX—201x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ascii="黑体" w:hAnsi="黑体" w:eastAsia="黑体"/>
        <w:sz w:val="21"/>
        <w:szCs w:val="21"/>
      </w:rPr>
      <w:t xml:space="preserve">DB50/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黑体" w:hAnsi="黑体" w:eastAsia="黑体"/>
        <w:sz w:val="21"/>
        <w:szCs w:val="21"/>
      </w:rPr>
      <w:t xml:space="preserve">DB50/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黑体" w:hAnsi="黑体" w:eastAsia="黑体"/>
        <w:sz w:val="21"/>
        <w:szCs w:val="21"/>
      </w:rPr>
    </w:pPr>
    <w:r>
      <w:rPr>
        <w:rFonts w:hint="eastAsia" w:ascii="黑体" w:hAnsi="黑体" w:eastAsia="黑体"/>
        <w:sz w:val="21"/>
        <w:szCs w:val="21"/>
      </w:rPr>
      <w:t xml:space="preserve">DB50/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ascii="黑体" w:hAnsi="黑体" w:eastAsia="黑体"/>
        <w:sz w:val="21"/>
        <w:szCs w:val="21"/>
      </w:rPr>
    </w:pPr>
    <w:r>
      <w:rPr>
        <w:rFonts w:hint="eastAsia" w:ascii="黑体" w:hAnsi="黑体" w:eastAsia="黑体"/>
        <w:sz w:val="21"/>
        <w:szCs w:val="21"/>
      </w:rPr>
      <w:t xml:space="preserve">DB50/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黑体" w:hAnsi="黑体" w:eastAsia="黑体"/>
        <w:sz w:val="21"/>
        <w:szCs w:val="21"/>
      </w:rPr>
    </w:pPr>
    <w:r>
      <w:rPr>
        <w:rFonts w:hint="eastAsia" w:ascii="黑体" w:hAnsi="黑体" w:eastAsia="黑体"/>
        <w:sz w:val="21"/>
        <w:szCs w:val="21"/>
      </w:rPr>
      <w:t xml:space="preserve">DB50/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表%1"/>
      <w:lvlJc w:val="left"/>
      <w:pPr>
        <w:tabs>
          <w:tab w:val="left" w:pos="420"/>
        </w:tabs>
        <w:ind w:left="420" w:hanging="420"/>
      </w:pPr>
      <w:rPr>
        <w:rFonts w:hint="default" w:ascii="Times New Roman" w:hAnsi="Times New Roman"/>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C50F90"/>
    <w:multiLevelType w:val="multilevel"/>
    <w:tmpl w:val="44C50F90"/>
    <w:lvl w:ilvl="0" w:tentative="0">
      <w:start w:val="1"/>
      <w:numFmt w:val="lowerLetter"/>
      <w:pStyle w:val="51"/>
      <w:lvlText w:val="%1)"/>
      <w:lvlJc w:val="left"/>
      <w:pPr>
        <w:tabs>
          <w:tab w:val="left" w:pos="840"/>
        </w:tabs>
        <w:ind w:left="839" w:hanging="419"/>
      </w:pPr>
      <w:rPr>
        <w:rFonts w:hint="eastAsia" w:ascii="宋体" w:eastAsia="宋体" w:cs="Times New Roman"/>
        <w:b w:val="0"/>
        <w:bCs w:val="0"/>
        <w:i w:val="0"/>
        <w:iCs w:val="0"/>
        <w:sz w:val="21"/>
        <w:szCs w:val="21"/>
      </w:rPr>
    </w:lvl>
    <w:lvl w:ilvl="1" w:tentative="0">
      <w:start w:val="1"/>
      <w:numFmt w:val="decimal"/>
      <w:pStyle w:val="45"/>
      <w:lvlText w:val="%2)"/>
      <w:lvlJc w:val="left"/>
      <w:pPr>
        <w:tabs>
          <w:tab w:val="left" w:pos="1260"/>
        </w:tabs>
        <w:ind w:left="1259" w:hanging="419"/>
      </w:pPr>
      <w:rPr>
        <w:rFonts w:hint="eastAsia" w:cs="Times New Roman"/>
      </w:rPr>
    </w:lvl>
    <w:lvl w:ilvl="2" w:tentative="0">
      <w:start w:val="1"/>
      <w:numFmt w:val="decimal"/>
      <w:pStyle w:val="54"/>
      <w:lvlText w:val="(%3)"/>
      <w:lvlJc w:val="left"/>
      <w:pPr>
        <w:tabs>
          <w:tab w:val="left" w:pos="0"/>
        </w:tabs>
        <w:ind w:left="1679" w:hanging="420"/>
      </w:pPr>
      <w:rPr>
        <w:rFonts w:hint="eastAsia" w:ascii="宋体" w:eastAsia="宋体" w:cs="Times New Roman"/>
        <w:b w:val="0"/>
        <w:bCs w:val="0"/>
        <w:i w:val="0"/>
        <w:iCs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6A934934"/>
    <w:multiLevelType w:val="multilevel"/>
    <w:tmpl w:val="6A934934"/>
    <w:lvl w:ilvl="0" w:tentative="0">
      <w:start w:val="1"/>
      <w:numFmt w:val="decimal"/>
      <w:pStyle w:val="2"/>
      <w:lvlText w:val="%1"/>
      <w:lvlJc w:val="left"/>
      <w:pPr>
        <w:ind w:left="432" w:hanging="432"/>
      </w:pPr>
      <w:rPr>
        <w:rFonts w:hint="eastAsia"/>
      </w:rPr>
    </w:lvl>
    <w:lvl w:ilvl="1" w:tentative="0">
      <w:start w:val="1"/>
      <w:numFmt w:val="decimal"/>
      <w:pStyle w:val="4"/>
      <w:lvlText w:val="%1.%2"/>
      <w:lvlJc w:val="left"/>
      <w:pPr>
        <w:ind w:left="576" w:hanging="576"/>
      </w:pPr>
      <w:rPr>
        <w:rFonts w:hint="default" w:ascii="Times New Roman" w:hAnsi="Times New Roman" w:cs="Times New Roman"/>
      </w:rPr>
    </w:lvl>
    <w:lvl w:ilvl="2" w:tentative="0">
      <w:start w:val="1"/>
      <w:numFmt w:val="decimal"/>
      <w:pStyle w:val="6"/>
      <w:suff w:val="space"/>
      <w:lvlText w:val="%1.%2.%3"/>
      <w:lvlJc w:val="left"/>
      <w:pPr>
        <w:ind w:left="720" w:hanging="720"/>
      </w:pPr>
      <w:rPr>
        <w:rFonts w:hint="eastAsia"/>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BC"/>
    <w:rsid w:val="000056EC"/>
    <w:rsid w:val="000100A1"/>
    <w:rsid w:val="00010D85"/>
    <w:rsid w:val="00014EA4"/>
    <w:rsid w:val="000314A0"/>
    <w:rsid w:val="00031621"/>
    <w:rsid w:val="0003247F"/>
    <w:rsid w:val="000339D6"/>
    <w:rsid w:val="00035C52"/>
    <w:rsid w:val="000379FF"/>
    <w:rsid w:val="00041A51"/>
    <w:rsid w:val="000443F1"/>
    <w:rsid w:val="0004588E"/>
    <w:rsid w:val="000478E1"/>
    <w:rsid w:val="00051E15"/>
    <w:rsid w:val="0005462C"/>
    <w:rsid w:val="000560FB"/>
    <w:rsid w:val="00065BD9"/>
    <w:rsid w:val="0006654A"/>
    <w:rsid w:val="000773EA"/>
    <w:rsid w:val="000778D8"/>
    <w:rsid w:val="000806FC"/>
    <w:rsid w:val="000818AE"/>
    <w:rsid w:val="00085A60"/>
    <w:rsid w:val="00086685"/>
    <w:rsid w:val="00092686"/>
    <w:rsid w:val="00093295"/>
    <w:rsid w:val="00096074"/>
    <w:rsid w:val="00096487"/>
    <w:rsid w:val="000A3A75"/>
    <w:rsid w:val="000A56DD"/>
    <w:rsid w:val="000A6EAB"/>
    <w:rsid w:val="000B1D9C"/>
    <w:rsid w:val="000B235B"/>
    <w:rsid w:val="000B2F67"/>
    <w:rsid w:val="000B4065"/>
    <w:rsid w:val="000B4823"/>
    <w:rsid w:val="000B4CA8"/>
    <w:rsid w:val="000B5B2C"/>
    <w:rsid w:val="000B62B4"/>
    <w:rsid w:val="000C01C1"/>
    <w:rsid w:val="000C0AF3"/>
    <w:rsid w:val="000C52B0"/>
    <w:rsid w:val="000C613F"/>
    <w:rsid w:val="000D0087"/>
    <w:rsid w:val="000D03E8"/>
    <w:rsid w:val="000D07F2"/>
    <w:rsid w:val="000D127A"/>
    <w:rsid w:val="000D1937"/>
    <w:rsid w:val="000D6110"/>
    <w:rsid w:val="000F0BD8"/>
    <w:rsid w:val="000F2737"/>
    <w:rsid w:val="000F6EE0"/>
    <w:rsid w:val="0010075D"/>
    <w:rsid w:val="00104489"/>
    <w:rsid w:val="001112AB"/>
    <w:rsid w:val="001154C8"/>
    <w:rsid w:val="001208E9"/>
    <w:rsid w:val="00122609"/>
    <w:rsid w:val="001226E1"/>
    <w:rsid w:val="00131E4C"/>
    <w:rsid w:val="001323D4"/>
    <w:rsid w:val="001333DF"/>
    <w:rsid w:val="00133AFF"/>
    <w:rsid w:val="001345B9"/>
    <w:rsid w:val="001357BB"/>
    <w:rsid w:val="00141A67"/>
    <w:rsid w:val="00151AD2"/>
    <w:rsid w:val="00152865"/>
    <w:rsid w:val="00153641"/>
    <w:rsid w:val="00161778"/>
    <w:rsid w:val="0016305A"/>
    <w:rsid w:val="00164CD7"/>
    <w:rsid w:val="001726C5"/>
    <w:rsid w:val="00172B4D"/>
    <w:rsid w:val="00180D86"/>
    <w:rsid w:val="00183451"/>
    <w:rsid w:val="0018475B"/>
    <w:rsid w:val="00187C68"/>
    <w:rsid w:val="0019167C"/>
    <w:rsid w:val="001937F7"/>
    <w:rsid w:val="001939F4"/>
    <w:rsid w:val="001A3EE2"/>
    <w:rsid w:val="001A53C9"/>
    <w:rsid w:val="001B19FF"/>
    <w:rsid w:val="001B4A6C"/>
    <w:rsid w:val="001B5DC0"/>
    <w:rsid w:val="001C0637"/>
    <w:rsid w:val="001C2F1B"/>
    <w:rsid w:val="001C34FB"/>
    <w:rsid w:val="001D0D60"/>
    <w:rsid w:val="001D22F4"/>
    <w:rsid w:val="001D2F2E"/>
    <w:rsid w:val="001E1999"/>
    <w:rsid w:val="001E1C6B"/>
    <w:rsid w:val="001E3149"/>
    <w:rsid w:val="001E3BD5"/>
    <w:rsid w:val="001E48D6"/>
    <w:rsid w:val="001E78A9"/>
    <w:rsid w:val="001E7A4D"/>
    <w:rsid w:val="001F2563"/>
    <w:rsid w:val="001F5D8D"/>
    <w:rsid w:val="001F77A3"/>
    <w:rsid w:val="002000BE"/>
    <w:rsid w:val="00201D57"/>
    <w:rsid w:val="00203E1E"/>
    <w:rsid w:val="00210609"/>
    <w:rsid w:val="00211B13"/>
    <w:rsid w:val="002212C2"/>
    <w:rsid w:val="00223119"/>
    <w:rsid w:val="002264E3"/>
    <w:rsid w:val="0023093D"/>
    <w:rsid w:val="00232A56"/>
    <w:rsid w:val="00235184"/>
    <w:rsid w:val="00235A77"/>
    <w:rsid w:val="0023725F"/>
    <w:rsid w:val="00245F6E"/>
    <w:rsid w:val="002501E7"/>
    <w:rsid w:val="002507C4"/>
    <w:rsid w:val="0025280D"/>
    <w:rsid w:val="00253AA6"/>
    <w:rsid w:val="00254C53"/>
    <w:rsid w:val="00255D65"/>
    <w:rsid w:val="002634F4"/>
    <w:rsid w:val="0026355F"/>
    <w:rsid w:val="00272E62"/>
    <w:rsid w:val="00283719"/>
    <w:rsid w:val="00283E37"/>
    <w:rsid w:val="00285B93"/>
    <w:rsid w:val="002872D9"/>
    <w:rsid w:val="00292A15"/>
    <w:rsid w:val="00292AA0"/>
    <w:rsid w:val="00295419"/>
    <w:rsid w:val="0029743E"/>
    <w:rsid w:val="002A2438"/>
    <w:rsid w:val="002A3C27"/>
    <w:rsid w:val="002B5112"/>
    <w:rsid w:val="002B5AA0"/>
    <w:rsid w:val="002C1BFE"/>
    <w:rsid w:val="002C3F85"/>
    <w:rsid w:val="002C5A33"/>
    <w:rsid w:val="002D0818"/>
    <w:rsid w:val="002D31DF"/>
    <w:rsid w:val="002D34EB"/>
    <w:rsid w:val="002E060E"/>
    <w:rsid w:val="002E0A8C"/>
    <w:rsid w:val="002E32DA"/>
    <w:rsid w:val="002E5B7D"/>
    <w:rsid w:val="002E60F7"/>
    <w:rsid w:val="002E78DD"/>
    <w:rsid w:val="002F18B0"/>
    <w:rsid w:val="002F1AB5"/>
    <w:rsid w:val="002F36B7"/>
    <w:rsid w:val="002F7277"/>
    <w:rsid w:val="00300F95"/>
    <w:rsid w:val="003010A1"/>
    <w:rsid w:val="00310973"/>
    <w:rsid w:val="00312FDA"/>
    <w:rsid w:val="003167F5"/>
    <w:rsid w:val="003233C2"/>
    <w:rsid w:val="0033098D"/>
    <w:rsid w:val="00330D1E"/>
    <w:rsid w:val="00331903"/>
    <w:rsid w:val="003325DB"/>
    <w:rsid w:val="0033487F"/>
    <w:rsid w:val="00337977"/>
    <w:rsid w:val="00344F31"/>
    <w:rsid w:val="00347109"/>
    <w:rsid w:val="00353D8F"/>
    <w:rsid w:val="003606A9"/>
    <w:rsid w:val="00361FC5"/>
    <w:rsid w:val="00362EA6"/>
    <w:rsid w:val="00363A5E"/>
    <w:rsid w:val="00363DCE"/>
    <w:rsid w:val="00366165"/>
    <w:rsid w:val="003673A4"/>
    <w:rsid w:val="00370146"/>
    <w:rsid w:val="003711ED"/>
    <w:rsid w:val="0037496C"/>
    <w:rsid w:val="00374EC0"/>
    <w:rsid w:val="00380E3F"/>
    <w:rsid w:val="00380E4E"/>
    <w:rsid w:val="00382539"/>
    <w:rsid w:val="003904B7"/>
    <w:rsid w:val="003911A6"/>
    <w:rsid w:val="003955DE"/>
    <w:rsid w:val="00395A49"/>
    <w:rsid w:val="00395C05"/>
    <w:rsid w:val="00397179"/>
    <w:rsid w:val="003A0A7C"/>
    <w:rsid w:val="003A221C"/>
    <w:rsid w:val="003A3C89"/>
    <w:rsid w:val="003A6D1D"/>
    <w:rsid w:val="003B541C"/>
    <w:rsid w:val="003C2B30"/>
    <w:rsid w:val="003C3D29"/>
    <w:rsid w:val="003C5285"/>
    <w:rsid w:val="003C5D8A"/>
    <w:rsid w:val="003C6829"/>
    <w:rsid w:val="003C6D8C"/>
    <w:rsid w:val="003D0372"/>
    <w:rsid w:val="003D0B2B"/>
    <w:rsid w:val="003D5A5D"/>
    <w:rsid w:val="003D7721"/>
    <w:rsid w:val="003E1E2F"/>
    <w:rsid w:val="003E39A4"/>
    <w:rsid w:val="003E49F9"/>
    <w:rsid w:val="003E54D3"/>
    <w:rsid w:val="003E684C"/>
    <w:rsid w:val="003F0EE5"/>
    <w:rsid w:val="003F4957"/>
    <w:rsid w:val="0040406C"/>
    <w:rsid w:val="004119AE"/>
    <w:rsid w:val="00414707"/>
    <w:rsid w:val="004147D8"/>
    <w:rsid w:val="00415965"/>
    <w:rsid w:val="00417D6A"/>
    <w:rsid w:val="004206DC"/>
    <w:rsid w:val="00425F8B"/>
    <w:rsid w:val="00431010"/>
    <w:rsid w:val="00431810"/>
    <w:rsid w:val="004323AA"/>
    <w:rsid w:val="0043626B"/>
    <w:rsid w:val="004366DB"/>
    <w:rsid w:val="00442AFB"/>
    <w:rsid w:val="004448B1"/>
    <w:rsid w:val="00447AE8"/>
    <w:rsid w:val="00452F11"/>
    <w:rsid w:val="004608D3"/>
    <w:rsid w:val="0046117F"/>
    <w:rsid w:val="00462941"/>
    <w:rsid w:val="00463B89"/>
    <w:rsid w:val="00464702"/>
    <w:rsid w:val="004662EC"/>
    <w:rsid w:val="00471CDA"/>
    <w:rsid w:val="00472D9B"/>
    <w:rsid w:val="004740B7"/>
    <w:rsid w:val="0048142E"/>
    <w:rsid w:val="00485C6B"/>
    <w:rsid w:val="00486A76"/>
    <w:rsid w:val="004958B9"/>
    <w:rsid w:val="004964B0"/>
    <w:rsid w:val="004A1696"/>
    <w:rsid w:val="004A7FDE"/>
    <w:rsid w:val="004B250E"/>
    <w:rsid w:val="004B47E6"/>
    <w:rsid w:val="004C273A"/>
    <w:rsid w:val="004C44E0"/>
    <w:rsid w:val="004C53E3"/>
    <w:rsid w:val="004C5F3E"/>
    <w:rsid w:val="004D04D2"/>
    <w:rsid w:val="004D1ACE"/>
    <w:rsid w:val="004D4809"/>
    <w:rsid w:val="004D520F"/>
    <w:rsid w:val="004D57C3"/>
    <w:rsid w:val="004D5DF8"/>
    <w:rsid w:val="004E11FA"/>
    <w:rsid w:val="004E251F"/>
    <w:rsid w:val="004E4DD8"/>
    <w:rsid w:val="004E6318"/>
    <w:rsid w:val="004F159A"/>
    <w:rsid w:val="004F1989"/>
    <w:rsid w:val="004F27C2"/>
    <w:rsid w:val="004F57E6"/>
    <w:rsid w:val="004F79A3"/>
    <w:rsid w:val="00500ED3"/>
    <w:rsid w:val="00502B7C"/>
    <w:rsid w:val="00504DB0"/>
    <w:rsid w:val="00505524"/>
    <w:rsid w:val="00512E55"/>
    <w:rsid w:val="00513DD0"/>
    <w:rsid w:val="00516499"/>
    <w:rsid w:val="00520B01"/>
    <w:rsid w:val="0052153C"/>
    <w:rsid w:val="00524B54"/>
    <w:rsid w:val="00524D7E"/>
    <w:rsid w:val="00531B91"/>
    <w:rsid w:val="00532D07"/>
    <w:rsid w:val="00541564"/>
    <w:rsid w:val="00542861"/>
    <w:rsid w:val="00544D9F"/>
    <w:rsid w:val="00545C9E"/>
    <w:rsid w:val="00557614"/>
    <w:rsid w:val="0056078F"/>
    <w:rsid w:val="00564855"/>
    <w:rsid w:val="005721F7"/>
    <w:rsid w:val="005765FC"/>
    <w:rsid w:val="00580817"/>
    <w:rsid w:val="0058206A"/>
    <w:rsid w:val="00584066"/>
    <w:rsid w:val="00584BEC"/>
    <w:rsid w:val="005854A6"/>
    <w:rsid w:val="00585973"/>
    <w:rsid w:val="005907B3"/>
    <w:rsid w:val="00592680"/>
    <w:rsid w:val="00594928"/>
    <w:rsid w:val="005B076E"/>
    <w:rsid w:val="005B0BB3"/>
    <w:rsid w:val="005B530C"/>
    <w:rsid w:val="005C2E85"/>
    <w:rsid w:val="005C5F18"/>
    <w:rsid w:val="005C5F1C"/>
    <w:rsid w:val="005C74A1"/>
    <w:rsid w:val="005D26F5"/>
    <w:rsid w:val="005D3266"/>
    <w:rsid w:val="005D5626"/>
    <w:rsid w:val="005E0DE8"/>
    <w:rsid w:val="005E3084"/>
    <w:rsid w:val="005E6066"/>
    <w:rsid w:val="005E639B"/>
    <w:rsid w:val="005E7E24"/>
    <w:rsid w:val="005F4D86"/>
    <w:rsid w:val="005F6136"/>
    <w:rsid w:val="005F63A1"/>
    <w:rsid w:val="005F7B77"/>
    <w:rsid w:val="006027A9"/>
    <w:rsid w:val="00607E07"/>
    <w:rsid w:val="0061027F"/>
    <w:rsid w:val="00611144"/>
    <w:rsid w:val="00611F11"/>
    <w:rsid w:val="006130AD"/>
    <w:rsid w:val="006159AB"/>
    <w:rsid w:val="00620445"/>
    <w:rsid w:val="00621A29"/>
    <w:rsid w:val="00631264"/>
    <w:rsid w:val="0063760E"/>
    <w:rsid w:val="0063798F"/>
    <w:rsid w:val="00642EB2"/>
    <w:rsid w:val="0064397B"/>
    <w:rsid w:val="00647705"/>
    <w:rsid w:val="006639C6"/>
    <w:rsid w:val="0066484F"/>
    <w:rsid w:val="0067478A"/>
    <w:rsid w:val="00682015"/>
    <w:rsid w:val="00682FDC"/>
    <w:rsid w:val="006844D0"/>
    <w:rsid w:val="00684661"/>
    <w:rsid w:val="00685043"/>
    <w:rsid w:val="00685ABB"/>
    <w:rsid w:val="00687167"/>
    <w:rsid w:val="00687BC7"/>
    <w:rsid w:val="00687FE4"/>
    <w:rsid w:val="00691487"/>
    <w:rsid w:val="006A0598"/>
    <w:rsid w:val="006A0C0F"/>
    <w:rsid w:val="006A221E"/>
    <w:rsid w:val="006A308C"/>
    <w:rsid w:val="006A4291"/>
    <w:rsid w:val="006A6056"/>
    <w:rsid w:val="006A6E66"/>
    <w:rsid w:val="006B09F7"/>
    <w:rsid w:val="006B2516"/>
    <w:rsid w:val="006C464D"/>
    <w:rsid w:val="006D2362"/>
    <w:rsid w:val="006D2CC9"/>
    <w:rsid w:val="006D47AE"/>
    <w:rsid w:val="006D659B"/>
    <w:rsid w:val="006E0444"/>
    <w:rsid w:val="006E07C5"/>
    <w:rsid w:val="006E4289"/>
    <w:rsid w:val="006F2BA4"/>
    <w:rsid w:val="006F2F83"/>
    <w:rsid w:val="006F333D"/>
    <w:rsid w:val="0070590D"/>
    <w:rsid w:val="00715DB5"/>
    <w:rsid w:val="00716263"/>
    <w:rsid w:val="00725E4E"/>
    <w:rsid w:val="007305DA"/>
    <w:rsid w:val="00730FC0"/>
    <w:rsid w:val="007365FD"/>
    <w:rsid w:val="007407E4"/>
    <w:rsid w:val="00751FDD"/>
    <w:rsid w:val="00752E35"/>
    <w:rsid w:val="007564BE"/>
    <w:rsid w:val="00760047"/>
    <w:rsid w:val="00762AB8"/>
    <w:rsid w:val="00763462"/>
    <w:rsid w:val="007670FA"/>
    <w:rsid w:val="007679ED"/>
    <w:rsid w:val="00767B07"/>
    <w:rsid w:val="00770A14"/>
    <w:rsid w:val="00771F0A"/>
    <w:rsid w:val="00773C68"/>
    <w:rsid w:val="00781679"/>
    <w:rsid w:val="00781BB2"/>
    <w:rsid w:val="0078516F"/>
    <w:rsid w:val="00786350"/>
    <w:rsid w:val="00790608"/>
    <w:rsid w:val="00792B50"/>
    <w:rsid w:val="007930A2"/>
    <w:rsid w:val="007939AF"/>
    <w:rsid w:val="007A1341"/>
    <w:rsid w:val="007A1E2E"/>
    <w:rsid w:val="007A5A7D"/>
    <w:rsid w:val="007A6C51"/>
    <w:rsid w:val="007B0ED8"/>
    <w:rsid w:val="007B2401"/>
    <w:rsid w:val="007B49AE"/>
    <w:rsid w:val="007B5DD6"/>
    <w:rsid w:val="007B62CF"/>
    <w:rsid w:val="007B79C3"/>
    <w:rsid w:val="007C3099"/>
    <w:rsid w:val="007C31D7"/>
    <w:rsid w:val="007C3306"/>
    <w:rsid w:val="007C37E8"/>
    <w:rsid w:val="007C49A1"/>
    <w:rsid w:val="007D084F"/>
    <w:rsid w:val="007D3C56"/>
    <w:rsid w:val="007D4D5A"/>
    <w:rsid w:val="007E3CAD"/>
    <w:rsid w:val="007E5C86"/>
    <w:rsid w:val="007E63CE"/>
    <w:rsid w:val="007E69D4"/>
    <w:rsid w:val="007F3955"/>
    <w:rsid w:val="007F7F32"/>
    <w:rsid w:val="00807F24"/>
    <w:rsid w:val="00810A4C"/>
    <w:rsid w:val="008111AE"/>
    <w:rsid w:val="00823ED6"/>
    <w:rsid w:val="00823F5A"/>
    <w:rsid w:val="00824250"/>
    <w:rsid w:val="008270B7"/>
    <w:rsid w:val="008307E3"/>
    <w:rsid w:val="00833933"/>
    <w:rsid w:val="008347C1"/>
    <w:rsid w:val="008370D9"/>
    <w:rsid w:val="00840EC1"/>
    <w:rsid w:val="00840F38"/>
    <w:rsid w:val="00845081"/>
    <w:rsid w:val="00845475"/>
    <w:rsid w:val="008475BB"/>
    <w:rsid w:val="008534AC"/>
    <w:rsid w:val="0086357C"/>
    <w:rsid w:val="00863BBF"/>
    <w:rsid w:val="008646D5"/>
    <w:rsid w:val="00864835"/>
    <w:rsid w:val="00864F21"/>
    <w:rsid w:val="00865554"/>
    <w:rsid w:val="008671AE"/>
    <w:rsid w:val="00871203"/>
    <w:rsid w:val="00871436"/>
    <w:rsid w:val="008729BE"/>
    <w:rsid w:val="00874F57"/>
    <w:rsid w:val="00876C4C"/>
    <w:rsid w:val="008778CA"/>
    <w:rsid w:val="008809D7"/>
    <w:rsid w:val="00884D50"/>
    <w:rsid w:val="00885D6D"/>
    <w:rsid w:val="00891072"/>
    <w:rsid w:val="008919C2"/>
    <w:rsid w:val="00891DAC"/>
    <w:rsid w:val="008957F1"/>
    <w:rsid w:val="00896F42"/>
    <w:rsid w:val="00897B0B"/>
    <w:rsid w:val="008A1864"/>
    <w:rsid w:val="008A3276"/>
    <w:rsid w:val="008A71AA"/>
    <w:rsid w:val="008B2E1A"/>
    <w:rsid w:val="008B32ED"/>
    <w:rsid w:val="008B428D"/>
    <w:rsid w:val="008B595A"/>
    <w:rsid w:val="008C062E"/>
    <w:rsid w:val="008C2166"/>
    <w:rsid w:val="008C49FB"/>
    <w:rsid w:val="008D0F63"/>
    <w:rsid w:val="008D2092"/>
    <w:rsid w:val="008D48D6"/>
    <w:rsid w:val="008D4B32"/>
    <w:rsid w:val="008D665B"/>
    <w:rsid w:val="008D7090"/>
    <w:rsid w:val="008E073E"/>
    <w:rsid w:val="008E0B07"/>
    <w:rsid w:val="008E5442"/>
    <w:rsid w:val="008E5578"/>
    <w:rsid w:val="008F2FB7"/>
    <w:rsid w:val="008F39F5"/>
    <w:rsid w:val="008F7367"/>
    <w:rsid w:val="009076E3"/>
    <w:rsid w:val="00907E4A"/>
    <w:rsid w:val="00910CAD"/>
    <w:rsid w:val="00916821"/>
    <w:rsid w:val="009175F8"/>
    <w:rsid w:val="009218AF"/>
    <w:rsid w:val="00925563"/>
    <w:rsid w:val="009258D8"/>
    <w:rsid w:val="009301EB"/>
    <w:rsid w:val="00930476"/>
    <w:rsid w:val="0093336D"/>
    <w:rsid w:val="00935FE2"/>
    <w:rsid w:val="0093742B"/>
    <w:rsid w:val="00941CDE"/>
    <w:rsid w:val="00942E84"/>
    <w:rsid w:val="00952C32"/>
    <w:rsid w:val="009535DB"/>
    <w:rsid w:val="00955398"/>
    <w:rsid w:val="00957418"/>
    <w:rsid w:val="009577BF"/>
    <w:rsid w:val="009620C0"/>
    <w:rsid w:val="009659D8"/>
    <w:rsid w:val="00970910"/>
    <w:rsid w:val="0097376F"/>
    <w:rsid w:val="0097487A"/>
    <w:rsid w:val="009748C5"/>
    <w:rsid w:val="00982897"/>
    <w:rsid w:val="00983217"/>
    <w:rsid w:val="00983701"/>
    <w:rsid w:val="00985E73"/>
    <w:rsid w:val="00987C57"/>
    <w:rsid w:val="00993147"/>
    <w:rsid w:val="009A03F6"/>
    <w:rsid w:val="009A0D5D"/>
    <w:rsid w:val="009A1434"/>
    <w:rsid w:val="009A27D0"/>
    <w:rsid w:val="009A4852"/>
    <w:rsid w:val="009A5126"/>
    <w:rsid w:val="009B259F"/>
    <w:rsid w:val="009B2D1A"/>
    <w:rsid w:val="009B58E9"/>
    <w:rsid w:val="009C3088"/>
    <w:rsid w:val="009C7E52"/>
    <w:rsid w:val="00A03D20"/>
    <w:rsid w:val="00A061A1"/>
    <w:rsid w:val="00A12063"/>
    <w:rsid w:val="00A20F05"/>
    <w:rsid w:val="00A21102"/>
    <w:rsid w:val="00A26953"/>
    <w:rsid w:val="00A30454"/>
    <w:rsid w:val="00A32640"/>
    <w:rsid w:val="00A32D76"/>
    <w:rsid w:val="00A35131"/>
    <w:rsid w:val="00A472CD"/>
    <w:rsid w:val="00A50696"/>
    <w:rsid w:val="00A51512"/>
    <w:rsid w:val="00A53DA1"/>
    <w:rsid w:val="00A60C20"/>
    <w:rsid w:val="00A61788"/>
    <w:rsid w:val="00A6271C"/>
    <w:rsid w:val="00A6610D"/>
    <w:rsid w:val="00A717F6"/>
    <w:rsid w:val="00A71BFC"/>
    <w:rsid w:val="00A724B8"/>
    <w:rsid w:val="00A7376C"/>
    <w:rsid w:val="00A73E53"/>
    <w:rsid w:val="00A80AC4"/>
    <w:rsid w:val="00A82C31"/>
    <w:rsid w:val="00A82E0F"/>
    <w:rsid w:val="00A905B8"/>
    <w:rsid w:val="00A9145D"/>
    <w:rsid w:val="00A91A1C"/>
    <w:rsid w:val="00A91ED3"/>
    <w:rsid w:val="00A9507F"/>
    <w:rsid w:val="00A973B2"/>
    <w:rsid w:val="00AA3A67"/>
    <w:rsid w:val="00AB4D17"/>
    <w:rsid w:val="00AC2067"/>
    <w:rsid w:val="00AC2D2C"/>
    <w:rsid w:val="00AD1530"/>
    <w:rsid w:val="00AD28D6"/>
    <w:rsid w:val="00AD4830"/>
    <w:rsid w:val="00AE04EE"/>
    <w:rsid w:val="00AE23CB"/>
    <w:rsid w:val="00AE2794"/>
    <w:rsid w:val="00AE4694"/>
    <w:rsid w:val="00AE46B0"/>
    <w:rsid w:val="00AE4A27"/>
    <w:rsid w:val="00AE4A28"/>
    <w:rsid w:val="00AF7546"/>
    <w:rsid w:val="00AF7EE1"/>
    <w:rsid w:val="00B00F27"/>
    <w:rsid w:val="00B0275F"/>
    <w:rsid w:val="00B12112"/>
    <w:rsid w:val="00B12B02"/>
    <w:rsid w:val="00B12FE3"/>
    <w:rsid w:val="00B14958"/>
    <w:rsid w:val="00B24C64"/>
    <w:rsid w:val="00B25BAC"/>
    <w:rsid w:val="00B36C9A"/>
    <w:rsid w:val="00B37175"/>
    <w:rsid w:val="00B3736B"/>
    <w:rsid w:val="00B41EBE"/>
    <w:rsid w:val="00B4349F"/>
    <w:rsid w:val="00B5067B"/>
    <w:rsid w:val="00B506A0"/>
    <w:rsid w:val="00B53918"/>
    <w:rsid w:val="00B53ECD"/>
    <w:rsid w:val="00B55DF7"/>
    <w:rsid w:val="00B750DC"/>
    <w:rsid w:val="00B848DC"/>
    <w:rsid w:val="00B84FBC"/>
    <w:rsid w:val="00B864B2"/>
    <w:rsid w:val="00B90B2B"/>
    <w:rsid w:val="00B92082"/>
    <w:rsid w:val="00BA0C84"/>
    <w:rsid w:val="00BA123C"/>
    <w:rsid w:val="00BA191B"/>
    <w:rsid w:val="00BA258F"/>
    <w:rsid w:val="00BA3305"/>
    <w:rsid w:val="00BA4114"/>
    <w:rsid w:val="00BA49F0"/>
    <w:rsid w:val="00BA6C18"/>
    <w:rsid w:val="00BB085C"/>
    <w:rsid w:val="00BB2F49"/>
    <w:rsid w:val="00BB338D"/>
    <w:rsid w:val="00BB3F93"/>
    <w:rsid w:val="00BB61BA"/>
    <w:rsid w:val="00BB6C5B"/>
    <w:rsid w:val="00BC6391"/>
    <w:rsid w:val="00BD1FBF"/>
    <w:rsid w:val="00BD2714"/>
    <w:rsid w:val="00BD59A8"/>
    <w:rsid w:val="00BE2563"/>
    <w:rsid w:val="00BE460A"/>
    <w:rsid w:val="00BE4D9A"/>
    <w:rsid w:val="00BE6782"/>
    <w:rsid w:val="00BF0926"/>
    <w:rsid w:val="00BF14CB"/>
    <w:rsid w:val="00BF1C46"/>
    <w:rsid w:val="00BF3AFB"/>
    <w:rsid w:val="00BF520D"/>
    <w:rsid w:val="00C00369"/>
    <w:rsid w:val="00C00420"/>
    <w:rsid w:val="00C02D4C"/>
    <w:rsid w:val="00C056AB"/>
    <w:rsid w:val="00C06A7C"/>
    <w:rsid w:val="00C115B7"/>
    <w:rsid w:val="00C12082"/>
    <w:rsid w:val="00C15E79"/>
    <w:rsid w:val="00C17B60"/>
    <w:rsid w:val="00C17DCC"/>
    <w:rsid w:val="00C218FD"/>
    <w:rsid w:val="00C219EA"/>
    <w:rsid w:val="00C25DB1"/>
    <w:rsid w:val="00C27907"/>
    <w:rsid w:val="00C3167D"/>
    <w:rsid w:val="00C3424E"/>
    <w:rsid w:val="00C37A9D"/>
    <w:rsid w:val="00C40019"/>
    <w:rsid w:val="00C43F23"/>
    <w:rsid w:val="00C47C49"/>
    <w:rsid w:val="00C51B41"/>
    <w:rsid w:val="00C52E50"/>
    <w:rsid w:val="00C56E4B"/>
    <w:rsid w:val="00C6221F"/>
    <w:rsid w:val="00C62356"/>
    <w:rsid w:val="00C6592A"/>
    <w:rsid w:val="00C65F3C"/>
    <w:rsid w:val="00C6625C"/>
    <w:rsid w:val="00C675CA"/>
    <w:rsid w:val="00C70FE6"/>
    <w:rsid w:val="00C71239"/>
    <w:rsid w:val="00C7495A"/>
    <w:rsid w:val="00C87645"/>
    <w:rsid w:val="00C87839"/>
    <w:rsid w:val="00C902A1"/>
    <w:rsid w:val="00C914B8"/>
    <w:rsid w:val="00C931A0"/>
    <w:rsid w:val="00C93C76"/>
    <w:rsid w:val="00C94F35"/>
    <w:rsid w:val="00C95281"/>
    <w:rsid w:val="00C95715"/>
    <w:rsid w:val="00CA0430"/>
    <w:rsid w:val="00CA144E"/>
    <w:rsid w:val="00CA1ED4"/>
    <w:rsid w:val="00CA37D8"/>
    <w:rsid w:val="00CA599B"/>
    <w:rsid w:val="00CA7D11"/>
    <w:rsid w:val="00CB07B4"/>
    <w:rsid w:val="00CB1B46"/>
    <w:rsid w:val="00CB37C4"/>
    <w:rsid w:val="00CB6E8B"/>
    <w:rsid w:val="00CC01C9"/>
    <w:rsid w:val="00CC4172"/>
    <w:rsid w:val="00CC57ED"/>
    <w:rsid w:val="00CC79BC"/>
    <w:rsid w:val="00CD25F1"/>
    <w:rsid w:val="00CD4479"/>
    <w:rsid w:val="00CE1DCF"/>
    <w:rsid w:val="00CE353A"/>
    <w:rsid w:val="00CE55C6"/>
    <w:rsid w:val="00CE7618"/>
    <w:rsid w:val="00CF26A7"/>
    <w:rsid w:val="00CF288F"/>
    <w:rsid w:val="00CF3641"/>
    <w:rsid w:val="00D04A42"/>
    <w:rsid w:val="00D04D5D"/>
    <w:rsid w:val="00D058A5"/>
    <w:rsid w:val="00D0642F"/>
    <w:rsid w:val="00D066F0"/>
    <w:rsid w:val="00D121F2"/>
    <w:rsid w:val="00D12A46"/>
    <w:rsid w:val="00D1322B"/>
    <w:rsid w:val="00D13504"/>
    <w:rsid w:val="00D22049"/>
    <w:rsid w:val="00D238D2"/>
    <w:rsid w:val="00D3135A"/>
    <w:rsid w:val="00D324D8"/>
    <w:rsid w:val="00D35A94"/>
    <w:rsid w:val="00D42083"/>
    <w:rsid w:val="00D43FD7"/>
    <w:rsid w:val="00D44967"/>
    <w:rsid w:val="00D66DCF"/>
    <w:rsid w:val="00D701A4"/>
    <w:rsid w:val="00D73C87"/>
    <w:rsid w:val="00D75D06"/>
    <w:rsid w:val="00D763F3"/>
    <w:rsid w:val="00D83513"/>
    <w:rsid w:val="00D84F1D"/>
    <w:rsid w:val="00D87AC7"/>
    <w:rsid w:val="00D92FCE"/>
    <w:rsid w:val="00D9647F"/>
    <w:rsid w:val="00D97FA9"/>
    <w:rsid w:val="00DA15B3"/>
    <w:rsid w:val="00DA22ED"/>
    <w:rsid w:val="00DA4E29"/>
    <w:rsid w:val="00DB1862"/>
    <w:rsid w:val="00DB1EAE"/>
    <w:rsid w:val="00DB1F70"/>
    <w:rsid w:val="00DB3DC2"/>
    <w:rsid w:val="00DB7E7C"/>
    <w:rsid w:val="00DC12B7"/>
    <w:rsid w:val="00DC1B67"/>
    <w:rsid w:val="00DC225E"/>
    <w:rsid w:val="00DC3D1B"/>
    <w:rsid w:val="00DC4FDE"/>
    <w:rsid w:val="00DC6678"/>
    <w:rsid w:val="00DC7461"/>
    <w:rsid w:val="00DD447D"/>
    <w:rsid w:val="00DD7AE3"/>
    <w:rsid w:val="00DF52AA"/>
    <w:rsid w:val="00DF7D31"/>
    <w:rsid w:val="00E008A0"/>
    <w:rsid w:val="00E017BA"/>
    <w:rsid w:val="00E0251D"/>
    <w:rsid w:val="00E04EF8"/>
    <w:rsid w:val="00E05B36"/>
    <w:rsid w:val="00E06563"/>
    <w:rsid w:val="00E0695D"/>
    <w:rsid w:val="00E07D0A"/>
    <w:rsid w:val="00E12BCC"/>
    <w:rsid w:val="00E1483B"/>
    <w:rsid w:val="00E2122C"/>
    <w:rsid w:val="00E25731"/>
    <w:rsid w:val="00E265D4"/>
    <w:rsid w:val="00E26CD8"/>
    <w:rsid w:val="00E30941"/>
    <w:rsid w:val="00E31A7F"/>
    <w:rsid w:val="00E33A14"/>
    <w:rsid w:val="00E37407"/>
    <w:rsid w:val="00E40179"/>
    <w:rsid w:val="00E41746"/>
    <w:rsid w:val="00E44FA0"/>
    <w:rsid w:val="00E47B3C"/>
    <w:rsid w:val="00E500D4"/>
    <w:rsid w:val="00E51119"/>
    <w:rsid w:val="00E51774"/>
    <w:rsid w:val="00E52CA2"/>
    <w:rsid w:val="00E5726F"/>
    <w:rsid w:val="00E57556"/>
    <w:rsid w:val="00E60A00"/>
    <w:rsid w:val="00E64FF8"/>
    <w:rsid w:val="00E83502"/>
    <w:rsid w:val="00E84F91"/>
    <w:rsid w:val="00E8627B"/>
    <w:rsid w:val="00E86660"/>
    <w:rsid w:val="00E86B0F"/>
    <w:rsid w:val="00E87214"/>
    <w:rsid w:val="00E91B71"/>
    <w:rsid w:val="00EA0D69"/>
    <w:rsid w:val="00EA52A0"/>
    <w:rsid w:val="00EA655D"/>
    <w:rsid w:val="00EA714A"/>
    <w:rsid w:val="00EB14CF"/>
    <w:rsid w:val="00EB2823"/>
    <w:rsid w:val="00EB2C53"/>
    <w:rsid w:val="00EB3AC2"/>
    <w:rsid w:val="00EB427F"/>
    <w:rsid w:val="00EB6AEC"/>
    <w:rsid w:val="00EB7864"/>
    <w:rsid w:val="00EC0281"/>
    <w:rsid w:val="00EC1BE9"/>
    <w:rsid w:val="00EC4A51"/>
    <w:rsid w:val="00ED717F"/>
    <w:rsid w:val="00EE094C"/>
    <w:rsid w:val="00EE0B1F"/>
    <w:rsid w:val="00EE2AFA"/>
    <w:rsid w:val="00EF0EC6"/>
    <w:rsid w:val="00EF1203"/>
    <w:rsid w:val="00EF24CE"/>
    <w:rsid w:val="00EF3AD4"/>
    <w:rsid w:val="00EF61C7"/>
    <w:rsid w:val="00EF74D3"/>
    <w:rsid w:val="00F05FCE"/>
    <w:rsid w:val="00F06110"/>
    <w:rsid w:val="00F11C01"/>
    <w:rsid w:val="00F133B9"/>
    <w:rsid w:val="00F13445"/>
    <w:rsid w:val="00F200AB"/>
    <w:rsid w:val="00F2216E"/>
    <w:rsid w:val="00F22E36"/>
    <w:rsid w:val="00F249A7"/>
    <w:rsid w:val="00F24D1F"/>
    <w:rsid w:val="00F2683C"/>
    <w:rsid w:val="00F33E07"/>
    <w:rsid w:val="00F35352"/>
    <w:rsid w:val="00F4389D"/>
    <w:rsid w:val="00F46B8C"/>
    <w:rsid w:val="00F523AA"/>
    <w:rsid w:val="00F54C2E"/>
    <w:rsid w:val="00F6008C"/>
    <w:rsid w:val="00F61027"/>
    <w:rsid w:val="00F61F2D"/>
    <w:rsid w:val="00F63C22"/>
    <w:rsid w:val="00F64367"/>
    <w:rsid w:val="00F66B1C"/>
    <w:rsid w:val="00F72FBD"/>
    <w:rsid w:val="00F74D1D"/>
    <w:rsid w:val="00F7685E"/>
    <w:rsid w:val="00F8204F"/>
    <w:rsid w:val="00F850F8"/>
    <w:rsid w:val="00F85996"/>
    <w:rsid w:val="00F90ABB"/>
    <w:rsid w:val="00FA5872"/>
    <w:rsid w:val="00FA6944"/>
    <w:rsid w:val="00FB19F4"/>
    <w:rsid w:val="00FC2444"/>
    <w:rsid w:val="00FD06A0"/>
    <w:rsid w:val="00FD0823"/>
    <w:rsid w:val="00FD14DA"/>
    <w:rsid w:val="00FD7DE7"/>
    <w:rsid w:val="00FE2690"/>
    <w:rsid w:val="00FE35C2"/>
    <w:rsid w:val="00FE69DF"/>
    <w:rsid w:val="00FF1E16"/>
    <w:rsid w:val="00FF392F"/>
    <w:rsid w:val="00FF67B5"/>
    <w:rsid w:val="00FF703E"/>
    <w:rsid w:val="015F21F2"/>
    <w:rsid w:val="02D33458"/>
    <w:rsid w:val="037E242F"/>
    <w:rsid w:val="04A85A9A"/>
    <w:rsid w:val="05ED69E4"/>
    <w:rsid w:val="07CF4DDF"/>
    <w:rsid w:val="08B62A63"/>
    <w:rsid w:val="097C3DA4"/>
    <w:rsid w:val="0A3718BB"/>
    <w:rsid w:val="0A3C192C"/>
    <w:rsid w:val="0D454199"/>
    <w:rsid w:val="0F3877AC"/>
    <w:rsid w:val="0FBB0FC3"/>
    <w:rsid w:val="0FE63A8C"/>
    <w:rsid w:val="101750F9"/>
    <w:rsid w:val="12F11555"/>
    <w:rsid w:val="13696BB5"/>
    <w:rsid w:val="13FA30C9"/>
    <w:rsid w:val="150E4F3B"/>
    <w:rsid w:val="1510555D"/>
    <w:rsid w:val="173F1664"/>
    <w:rsid w:val="18247439"/>
    <w:rsid w:val="185934B4"/>
    <w:rsid w:val="187B3C4B"/>
    <w:rsid w:val="187E73AE"/>
    <w:rsid w:val="194B6FCB"/>
    <w:rsid w:val="1AFE098B"/>
    <w:rsid w:val="1B5972FA"/>
    <w:rsid w:val="1C3A22FA"/>
    <w:rsid w:val="1D4C6596"/>
    <w:rsid w:val="1E326191"/>
    <w:rsid w:val="1F135C3C"/>
    <w:rsid w:val="20FF71E3"/>
    <w:rsid w:val="210747C5"/>
    <w:rsid w:val="21680E33"/>
    <w:rsid w:val="24887950"/>
    <w:rsid w:val="25CA5177"/>
    <w:rsid w:val="26B04F27"/>
    <w:rsid w:val="27794CD9"/>
    <w:rsid w:val="2ACF7D9B"/>
    <w:rsid w:val="2C8A5B12"/>
    <w:rsid w:val="2EE70AF2"/>
    <w:rsid w:val="2FD02504"/>
    <w:rsid w:val="30090D2F"/>
    <w:rsid w:val="33093E95"/>
    <w:rsid w:val="365F6E31"/>
    <w:rsid w:val="36764B5F"/>
    <w:rsid w:val="38856359"/>
    <w:rsid w:val="38BA4693"/>
    <w:rsid w:val="3A71663E"/>
    <w:rsid w:val="3A826C20"/>
    <w:rsid w:val="3BFE0828"/>
    <w:rsid w:val="3CF91B21"/>
    <w:rsid w:val="3D095522"/>
    <w:rsid w:val="3E586B0E"/>
    <w:rsid w:val="3E9836F1"/>
    <w:rsid w:val="3EAA1D78"/>
    <w:rsid w:val="403D4BEA"/>
    <w:rsid w:val="40CE7D02"/>
    <w:rsid w:val="410757C5"/>
    <w:rsid w:val="41265C12"/>
    <w:rsid w:val="450562E2"/>
    <w:rsid w:val="47C61D0E"/>
    <w:rsid w:val="49972998"/>
    <w:rsid w:val="4AFA2C5B"/>
    <w:rsid w:val="4B4E5A5D"/>
    <w:rsid w:val="4BE75CBB"/>
    <w:rsid w:val="4EC118E3"/>
    <w:rsid w:val="4F595D2A"/>
    <w:rsid w:val="50D77222"/>
    <w:rsid w:val="5127638C"/>
    <w:rsid w:val="54704104"/>
    <w:rsid w:val="554C4A3C"/>
    <w:rsid w:val="559E7075"/>
    <w:rsid w:val="57896521"/>
    <w:rsid w:val="5954543F"/>
    <w:rsid w:val="59AC1D71"/>
    <w:rsid w:val="5B5F0A54"/>
    <w:rsid w:val="5C5C1656"/>
    <w:rsid w:val="5D962F70"/>
    <w:rsid w:val="5DB9366C"/>
    <w:rsid w:val="5F115001"/>
    <w:rsid w:val="5FF61691"/>
    <w:rsid w:val="603422A9"/>
    <w:rsid w:val="60DB3289"/>
    <w:rsid w:val="625820F2"/>
    <w:rsid w:val="63001316"/>
    <w:rsid w:val="632D4DD5"/>
    <w:rsid w:val="64647AB6"/>
    <w:rsid w:val="658C2F7A"/>
    <w:rsid w:val="65921E13"/>
    <w:rsid w:val="662C7597"/>
    <w:rsid w:val="671F131F"/>
    <w:rsid w:val="688642D7"/>
    <w:rsid w:val="693750EE"/>
    <w:rsid w:val="6BCD005E"/>
    <w:rsid w:val="6D406914"/>
    <w:rsid w:val="706C3585"/>
    <w:rsid w:val="71411686"/>
    <w:rsid w:val="721F74C2"/>
    <w:rsid w:val="72536F24"/>
    <w:rsid w:val="7308707C"/>
    <w:rsid w:val="737B424D"/>
    <w:rsid w:val="73E44095"/>
    <w:rsid w:val="77F82287"/>
    <w:rsid w:val="7A3B0859"/>
    <w:rsid w:val="7A741366"/>
    <w:rsid w:val="7A74611B"/>
    <w:rsid w:val="7D7B3B00"/>
    <w:rsid w:val="7E593B62"/>
    <w:rsid w:val="7EA32842"/>
    <w:rsid w:val="7F69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semiHidden="0" w:name="heading 7" w:locked="1"/>
    <w:lsdException w:qFormat="1" w:uiPriority="0" w:semiHidden="0" w:name="heading 8" w:locked="1"/>
    <w:lsdException w:qFormat="1"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3"/>
    <w:next w:val="1"/>
    <w:link w:val="65"/>
    <w:qFormat/>
    <w:locked/>
    <w:uiPriority w:val="0"/>
    <w:pPr>
      <w:numPr>
        <w:ilvl w:val="0"/>
        <w:numId w:val="1"/>
      </w:numPr>
      <w:spacing w:before="240" w:beforeLines="100" w:after="240" w:afterLines="100"/>
      <w:outlineLvl w:val="0"/>
    </w:pPr>
    <w:rPr>
      <w:rFonts w:ascii="Times New Roman" w:cs="Times New Roman"/>
      <w:b/>
    </w:rPr>
  </w:style>
  <w:style w:type="paragraph" w:styleId="4">
    <w:name w:val="heading 2"/>
    <w:basedOn w:val="1"/>
    <w:next w:val="5"/>
    <w:link w:val="64"/>
    <w:qFormat/>
    <w:locked/>
    <w:uiPriority w:val="0"/>
    <w:pPr>
      <w:keepNext/>
      <w:keepLines/>
      <w:numPr>
        <w:ilvl w:val="1"/>
        <w:numId w:val="1"/>
      </w:numPr>
      <w:tabs>
        <w:tab w:val="left" w:pos="426"/>
      </w:tabs>
      <w:spacing w:before="240" w:after="120" w:line="360" w:lineRule="exact"/>
      <w:jc w:val="left"/>
      <w:outlineLvl w:val="1"/>
    </w:pPr>
    <w:rPr>
      <w:rFonts w:ascii="Times New Roman" w:hAnsi="黑体" w:eastAsia="黑体" w:cs="Times New Roman"/>
      <w:szCs w:val="20"/>
    </w:rPr>
  </w:style>
  <w:style w:type="paragraph" w:styleId="6">
    <w:name w:val="heading 3"/>
    <w:basedOn w:val="1"/>
    <w:next w:val="1"/>
    <w:link w:val="67"/>
    <w:unhideWhenUsed/>
    <w:qFormat/>
    <w:locked/>
    <w:uiPriority w:val="0"/>
    <w:pPr>
      <w:numPr>
        <w:ilvl w:val="2"/>
        <w:numId w:val="1"/>
      </w:numPr>
      <w:tabs>
        <w:tab w:val="left" w:pos="567"/>
      </w:tabs>
      <w:spacing w:after="60" w:line="360" w:lineRule="exact"/>
      <w:outlineLvl w:val="2"/>
    </w:pPr>
    <w:rPr>
      <w:rFonts w:ascii="Times New Roman" w:hAnsi="Times New Roman" w:cs="Times New Roman"/>
      <w:bCs/>
      <w:szCs w:val="20"/>
    </w:rPr>
  </w:style>
  <w:style w:type="paragraph" w:styleId="7">
    <w:name w:val="heading 4"/>
    <w:basedOn w:val="1"/>
    <w:next w:val="1"/>
    <w:link w:val="68"/>
    <w:unhideWhenUsed/>
    <w:qFormat/>
    <w:locked/>
    <w:uiPriority w:val="0"/>
    <w:pPr>
      <w:keepNext/>
      <w:keepLines/>
      <w:numPr>
        <w:ilvl w:val="3"/>
        <w:numId w:val="1"/>
      </w:numPr>
      <w:spacing w:before="280" w:after="290" w:line="376" w:lineRule="auto"/>
      <w:outlineLvl w:val="3"/>
    </w:pPr>
    <w:rPr>
      <w:rFonts w:ascii="等线 Light" w:hAnsi="等线 Light" w:eastAsia="等线 Light" w:cs="Times New Roman"/>
      <w:b/>
      <w:bCs/>
      <w:sz w:val="28"/>
      <w:szCs w:val="28"/>
    </w:rPr>
  </w:style>
  <w:style w:type="paragraph" w:styleId="8">
    <w:name w:val="heading 5"/>
    <w:basedOn w:val="1"/>
    <w:next w:val="1"/>
    <w:link w:val="69"/>
    <w:unhideWhenUsed/>
    <w:qFormat/>
    <w:locked/>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0"/>
    <w:unhideWhenUsed/>
    <w:qFormat/>
    <w:locked/>
    <w:uiPriority w:val="0"/>
    <w:pPr>
      <w:keepNext/>
      <w:keepLines/>
      <w:numPr>
        <w:ilvl w:val="5"/>
        <w:numId w:val="1"/>
      </w:numPr>
      <w:spacing w:before="240" w:after="64" w:line="320" w:lineRule="auto"/>
      <w:outlineLvl w:val="5"/>
    </w:pPr>
    <w:rPr>
      <w:rFonts w:ascii="等线 Light" w:hAnsi="等线 Light" w:eastAsia="等线 Light" w:cs="Times New Roman"/>
      <w:b/>
      <w:bCs/>
      <w:sz w:val="24"/>
      <w:szCs w:val="24"/>
    </w:rPr>
  </w:style>
  <w:style w:type="paragraph" w:styleId="10">
    <w:name w:val="heading 7"/>
    <w:basedOn w:val="1"/>
    <w:next w:val="1"/>
    <w:link w:val="71"/>
    <w:unhideWhenUsed/>
    <w:qFormat/>
    <w:locked/>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72"/>
    <w:unhideWhenUsed/>
    <w:qFormat/>
    <w:locked/>
    <w:uiPriority w:val="0"/>
    <w:pPr>
      <w:keepNext/>
      <w:keepLines/>
      <w:numPr>
        <w:ilvl w:val="7"/>
        <w:numId w:val="1"/>
      </w:numPr>
      <w:spacing w:before="240" w:after="64" w:line="320" w:lineRule="auto"/>
      <w:outlineLvl w:val="7"/>
    </w:pPr>
    <w:rPr>
      <w:rFonts w:ascii="等线 Light" w:hAnsi="等线 Light" w:eastAsia="等线 Light" w:cs="Times New Roman"/>
      <w:sz w:val="24"/>
      <w:szCs w:val="24"/>
    </w:rPr>
  </w:style>
  <w:style w:type="paragraph" w:styleId="12">
    <w:name w:val="heading 9"/>
    <w:basedOn w:val="1"/>
    <w:next w:val="1"/>
    <w:link w:val="73"/>
    <w:unhideWhenUsed/>
    <w:qFormat/>
    <w:locked/>
    <w:uiPriority w:val="0"/>
    <w:pPr>
      <w:keepNext/>
      <w:keepLines/>
      <w:numPr>
        <w:ilvl w:val="8"/>
        <w:numId w:val="1"/>
      </w:numPr>
      <w:spacing w:before="240" w:after="64" w:line="320" w:lineRule="auto"/>
      <w:outlineLvl w:val="8"/>
    </w:pPr>
    <w:rPr>
      <w:rFonts w:ascii="等线 Light" w:hAnsi="等线 Light" w:eastAsia="等线 Light" w:cs="Times New Roman"/>
    </w:rPr>
  </w:style>
  <w:style w:type="character" w:default="1" w:styleId="27">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customStyle="1" w:styleId="3">
    <w:name w:val="章标题"/>
    <w:next w:val="1"/>
    <w:qFormat/>
    <w:uiPriority w:val="99"/>
    <w:pPr>
      <w:spacing w:beforeLines="50" w:afterLines="50"/>
      <w:jc w:val="both"/>
      <w:outlineLvl w:val="1"/>
    </w:pPr>
    <w:rPr>
      <w:rFonts w:ascii="黑体" w:hAnsi="Times New Roman" w:eastAsia="黑体" w:cs="黑体"/>
      <w:sz w:val="21"/>
      <w:szCs w:val="21"/>
      <w:lang w:val="en-US" w:eastAsia="zh-CN" w:bidi="ar-SA"/>
    </w:rPr>
  </w:style>
  <w:style w:type="paragraph" w:customStyle="1" w:styleId="5">
    <w:name w:val="正文1"/>
    <w:basedOn w:val="1"/>
    <w:link w:val="77"/>
    <w:qFormat/>
    <w:uiPriority w:val="0"/>
    <w:pPr>
      <w:autoSpaceDE w:val="0"/>
      <w:autoSpaceDN w:val="0"/>
      <w:adjustRightInd w:val="0"/>
      <w:spacing w:line="360" w:lineRule="auto"/>
      <w:ind w:firstLine="420" w:firstLineChars="200"/>
      <w:jc w:val="left"/>
    </w:pPr>
    <w:rPr>
      <w:rFonts w:ascii="Times New Roman" w:hAnsi="Times New Roman" w:cs="Times New Roman"/>
    </w:rPr>
  </w:style>
  <w:style w:type="paragraph" w:styleId="13">
    <w:name w:val="annotation subject"/>
    <w:basedOn w:val="14"/>
    <w:next w:val="14"/>
    <w:link w:val="84"/>
    <w:unhideWhenUsed/>
    <w:qFormat/>
    <w:uiPriority w:val="99"/>
    <w:rPr>
      <w:b/>
      <w:bCs/>
    </w:rPr>
  </w:style>
  <w:style w:type="paragraph" w:styleId="14">
    <w:name w:val="annotation text"/>
    <w:basedOn w:val="1"/>
    <w:link w:val="83"/>
    <w:unhideWhenUsed/>
    <w:qFormat/>
    <w:uiPriority w:val="99"/>
    <w:pPr>
      <w:jc w:val="left"/>
    </w:pPr>
  </w:style>
  <w:style w:type="paragraph" w:styleId="15">
    <w:name w:val="Normal Indent"/>
    <w:basedOn w:val="1"/>
    <w:unhideWhenUsed/>
    <w:qFormat/>
    <w:uiPriority w:val="99"/>
    <w:pPr>
      <w:ind w:firstLine="420" w:firstLineChars="200"/>
    </w:pPr>
  </w:style>
  <w:style w:type="paragraph" w:styleId="16">
    <w:name w:val="Body Text"/>
    <w:basedOn w:val="1"/>
    <w:link w:val="37"/>
    <w:qFormat/>
    <w:uiPriority w:val="99"/>
    <w:pPr>
      <w:spacing w:line="460" w:lineRule="exact"/>
    </w:pPr>
    <w:rPr>
      <w:rFonts w:ascii="Times New Roman" w:hAnsi="Times New Roman" w:cs="Times New Roman"/>
      <w:kern w:val="0"/>
      <w:sz w:val="24"/>
      <w:szCs w:val="24"/>
      <w:lang w:val="zh-CN"/>
    </w:rPr>
  </w:style>
  <w:style w:type="paragraph" w:styleId="17">
    <w:name w:val="toc 3"/>
    <w:basedOn w:val="1"/>
    <w:next w:val="1"/>
    <w:qFormat/>
    <w:locked/>
    <w:uiPriority w:val="39"/>
    <w:pPr>
      <w:ind w:left="840" w:leftChars="400"/>
    </w:pPr>
  </w:style>
  <w:style w:type="paragraph" w:styleId="18">
    <w:name w:val="Plain Text"/>
    <w:basedOn w:val="1"/>
    <w:link w:val="33"/>
    <w:semiHidden/>
    <w:qFormat/>
    <w:uiPriority w:val="99"/>
    <w:rPr>
      <w:rFonts w:ascii="宋体" w:hAnsi="Courier New" w:cs="Times New Roman"/>
      <w:kern w:val="0"/>
      <w:lang w:val="zh-CN"/>
    </w:rPr>
  </w:style>
  <w:style w:type="paragraph" w:styleId="19">
    <w:name w:val="Date"/>
    <w:basedOn w:val="1"/>
    <w:next w:val="1"/>
    <w:link w:val="81"/>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32"/>
    <w:qFormat/>
    <w:uiPriority w:val="99"/>
    <w:pPr>
      <w:tabs>
        <w:tab w:val="center" w:pos="4153"/>
        <w:tab w:val="right" w:pos="8306"/>
      </w:tabs>
      <w:snapToGrid w:val="0"/>
      <w:jc w:val="left"/>
    </w:pPr>
    <w:rPr>
      <w:rFonts w:cs="Times New Roman"/>
      <w:kern w:val="0"/>
      <w:sz w:val="18"/>
      <w:szCs w:val="18"/>
      <w:lang w:val="zh-CN"/>
    </w:rPr>
  </w:style>
  <w:style w:type="paragraph" w:styleId="22">
    <w:name w:val="header"/>
    <w:basedOn w:val="1"/>
    <w:link w:val="38"/>
    <w:qFormat/>
    <w:uiPriority w:val="99"/>
    <w:pPr>
      <w:tabs>
        <w:tab w:val="center" w:pos="4153"/>
        <w:tab w:val="right" w:pos="8306"/>
      </w:tabs>
      <w:snapToGrid w:val="0"/>
      <w:jc w:val="center"/>
    </w:pPr>
    <w:rPr>
      <w:rFonts w:cs="Times New Roman"/>
      <w:sz w:val="18"/>
      <w:szCs w:val="18"/>
      <w:lang w:val="zh-CN"/>
    </w:rPr>
  </w:style>
  <w:style w:type="paragraph" w:styleId="23">
    <w:name w:val="toc 1"/>
    <w:basedOn w:val="1"/>
    <w:next w:val="1"/>
    <w:qFormat/>
    <w:uiPriority w:val="39"/>
  </w:style>
  <w:style w:type="paragraph" w:styleId="24">
    <w:name w:val="Body Text Indent 3"/>
    <w:basedOn w:val="1"/>
    <w:link w:val="34"/>
    <w:qFormat/>
    <w:uiPriority w:val="99"/>
    <w:pPr>
      <w:spacing w:after="120"/>
      <w:ind w:left="420" w:leftChars="200"/>
    </w:pPr>
    <w:rPr>
      <w:rFonts w:cs="Times New Roman"/>
      <w:kern w:val="0"/>
      <w:sz w:val="16"/>
      <w:szCs w:val="16"/>
      <w:lang w:val="zh-CN"/>
    </w:rPr>
  </w:style>
  <w:style w:type="paragraph" w:styleId="25">
    <w:name w:val="toc 2"/>
    <w:basedOn w:val="1"/>
    <w:next w:val="1"/>
    <w:qFormat/>
    <w:uiPriority w:val="39"/>
    <w:pPr>
      <w:ind w:left="420" w:leftChars="200"/>
    </w:pPr>
  </w:style>
  <w:style w:type="paragraph" w:styleId="26">
    <w:name w:val="Title"/>
    <w:basedOn w:val="3"/>
    <w:next w:val="1"/>
    <w:link w:val="66"/>
    <w:qFormat/>
    <w:locked/>
    <w:uiPriority w:val="0"/>
    <w:pPr>
      <w:spacing w:before="360" w:beforeLines="150" w:after="240" w:afterLines="100"/>
      <w:ind w:left="357"/>
      <w:jc w:val="center"/>
      <w:outlineLvl w:val="9"/>
    </w:pPr>
    <w:rPr>
      <w:rFonts w:ascii="Times New Roman" w:cs="Times New Roman"/>
      <w:sz w:val="32"/>
      <w:szCs w:val="32"/>
    </w:rPr>
  </w:style>
  <w:style w:type="character" w:styleId="28">
    <w:name w:val="Hyperlink"/>
    <w:qFormat/>
    <w:uiPriority w:val="99"/>
    <w:rPr>
      <w:rFonts w:cs="Times New Roman"/>
      <w:color w:val="0000FF"/>
      <w:u w:val="single"/>
    </w:rPr>
  </w:style>
  <w:style w:type="character" w:styleId="29">
    <w:name w:val="annotation reference"/>
    <w:basedOn w:val="27"/>
    <w:unhideWhenUsed/>
    <w:qFormat/>
    <w:uiPriority w:val="99"/>
    <w:rPr>
      <w:sz w:val="21"/>
      <w:szCs w:val="21"/>
    </w:rPr>
  </w:style>
  <w:style w:type="table" w:styleId="31">
    <w:name w:val="Table Grid"/>
    <w:basedOn w:val="30"/>
    <w:qFormat/>
    <w:locked/>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脚 字符"/>
    <w:link w:val="21"/>
    <w:qFormat/>
    <w:locked/>
    <w:uiPriority w:val="99"/>
    <w:rPr>
      <w:rFonts w:cs="Times New Roman"/>
      <w:sz w:val="18"/>
      <w:szCs w:val="18"/>
    </w:rPr>
  </w:style>
  <w:style w:type="character" w:customStyle="1" w:styleId="33">
    <w:name w:val="纯文本 字符"/>
    <w:link w:val="18"/>
    <w:semiHidden/>
    <w:qFormat/>
    <w:locked/>
    <w:uiPriority w:val="99"/>
    <w:rPr>
      <w:rFonts w:ascii="宋体" w:hAnsi="Courier New" w:eastAsia="宋体" w:cs="宋体"/>
      <w:sz w:val="21"/>
      <w:szCs w:val="21"/>
    </w:rPr>
  </w:style>
  <w:style w:type="character" w:customStyle="1" w:styleId="34">
    <w:name w:val="正文文本缩进 3 字符"/>
    <w:link w:val="24"/>
    <w:qFormat/>
    <w:locked/>
    <w:uiPriority w:val="99"/>
    <w:rPr>
      <w:rFonts w:ascii="Calibri" w:hAnsi="Calibri" w:eastAsia="宋体" w:cs="Calibri"/>
      <w:sz w:val="16"/>
      <w:szCs w:val="16"/>
    </w:rPr>
  </w:style>
  <w:style w:type="character" w:customStyle="1" w:styleId="35">
    <w:name w:val="段 Char"/>
    <w:link w:val="36"/>
    <w:qFormat/>
    <w:locked/>
    <w:uiPriority w:val="99"/>
    <w:rPr>
      <w:rFonts w:ascii="宋体" w:hAnsi="Times New Roman" w:cs="宋体"/>
      <w:sz w:val="21"/>
      <w:szCs w:val="21"/>
      <w:lang w:val="en-US" w:eastAsia="zh-CN" w:bidi="ar-SA"/>
    </w:rPr>
  </w:style>
  <w:style w:type="paragraph" w:customStyle="1" w:styleId="36">
    <w:name w:val="段"/>
    <w:link w:val="35"/>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37">
    <w:name w:val="正文文本 字符"/>
    <w:link w:val="16"/>
    <w:qFormat/>
    <w:locked/>
    <w:uiPriority w:val="99"/>
    <w:rPr>
      <w:rFonts w:ascii="Times New Roman" w:hAnsi="Times New Roman" w:eastAsia="宋体" w:cs="Times New Roman"/>
      <w:sz w:val="24"/>
      <w:szCs w:val="24"/>
    </w:rPr>
  </w:style>
  <w:style w:type="character" w:customStyle="1" w:styleId="38">
    <w:name w:val="页眉 字符"/>
    <w:link w:val="22"/>
    <w:qFormat/>
    <w:locked/>
    <w:uiPriority w:val="99"/>
    <w:rPr>
      <w:rFonts w:cs="Calibri"/>
      <w:kern w:val="2"/>
      <w:sz w:val="18"/>
      <w:szCs w:val="18"/>
    </w:rPr>
  </w:style>
  <w:style w:type="character" w:customStyle="1" w:styleId="39">
    <w:name w:val="发布"/>
    <w:qFormat/>
    <w:uiPriority w:val="99"/>
    <w:rPr>
      <w:rFonts w:ascii="黑体" w:eastAsia="黑体" w:cs="黑体"/>
      <w:spacing w:val="22"/>
      <w:w w:val="100"/>
      <w:position w:val="3"/>
      <w:sz w:val="28"/>
      <w:szCs w:val="28"/>
    </w:rPr>
  </w:style>
  <w:style w:type="paragraph" w:customStyle="1" w:styleId="40">
    <w:name w:val="目录 21"/>
    <w:basedOn w:val="1"/>
    <w:next w:val="1"/>
    <w:qFormat/>
    <w:uiPriority w:val="39"/>
    <w:pPr>
      <w:ind w:left="420" w:leftChars="200"/>
    </w:pPr>
  </w:style>
  <w:style w:type="paragraph" w:customStyle="1" w:styleId="41">
    <w:name w:val="目录 11"/>
    <w:basedOn w:val="1"/>
    <w:next w:val="1"/>
    <w:qFormat/>
    <w:uiPriority w:val="39"/>
  </w:style>
  <w:style w:type="paragraph" w:customStyle="1" w:styleId="4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二级条标题"/>
    <w:basedOn w:val="44"/>
    <w:next w:val="1"/>
    <w:qFormat/>
    <w:uiPriority w:val="99"/>
    <w:pPr>
      <w:outlineLvl w:val="3"/>
    </w:pPr>
  </w:style>
  <w:style w:type="paragraph" w:customStyle="1" w:styleId="44">
    <w:name w:val="一级条标题"/>
    <w:next w:val="1"/>
    <w:qFormat/>
    <w:uiPriority w:val="99"/>
    <w:pPr>
      <w:outlineLvl w:val="2"/>
    </w:pPr>
    <w:rPr>
      <w:rFonts w:ascii="Times New Roman" w:hAnsi="Times New Roman" w:eastAsia="黑体" w:cs="Times New Roman"/>
      <w:sz w:val="21"/>
      <w:szCs w:val="21"/>
      <w:lang w:val="en-US" w:eastAsia="zh-CN" w:bidi="ar-SA"/>
    </w:rPr>
  </w:style>
  <w:style w:type="paragraph" w:customStyle="1" w:styleId="45">
    <w:name w:val="数字编号列项（二级）"/>
    <w:qFormat/>
    <w:uiPriority w:val="99"/>
    <w:pPr>
      <w:numPr>
        <w:ilvl w:val="1"/>
        <w:numId w:val="2"/>
      </w:numPr>
      <w:jc w:val="both"/>
    </w:pPr>
    <w:rPr>
      <w:rFonts w:ascii="宋体" w:hAnsi="Times New Roman" w:eastAsia="宋体" w:cs="宋体"/>
      <w:sz w:val="21"/>
      <w:szCs w:val="21"/>
      <w:lang w:val="en-US" w:eastAsia="zh-CN" w:bidi="ar-SA"/>
    </w:rPr>
  </w:style>
  <w:style w:type="paragraph" w:customStyle="1" w:styleId="46">
    <w:name w:val="列表段落1"/>
    <w:basedOn w:val="1"/>
    <w:qFormat/>
    <w:uiPriority w:val="99"/>
    <w:pPr>
      <w:ind w:firstLine="420" w:firstLineChars="200"/>
    </w:pPr>
  </w:style>
  <w:style w:type="paragraph" w:customStyle="1" w:styleId="47">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48">
    <w:name w:val="目次、标准名称标题"/>
    <w:basedOn w:val="49"/>
    <w:next w:val="1"/>
    <w:qFormat/>
    <w:uiPriority w:val="99"/>
    <w:pPr>
      <w:spacing w:line="460" w:lineRule="exact"/>
    </w:pPr>
  </w:style>
  <w:style w:type="paragraph" w:customStyle="1" w:styleId="49">
    <w:name w:val="前言、引言标题"/>
    <w:next w:val="1"/>
    <w:qFormat/>
    <w:uiPriority w:val="99"/>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50">
    <w:name w:val="附录标识"/>
    <w:basedOn w:val="1"/>
    <w:next w:val="1"/>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1">
    <w:name w:val="字母编号列项（一级）"/>
    <w:qFormat/>
    <w:uiPriority w:val="99"/>
    <w:pPr>
      <w:numPr>
        <w:ilvl w:val="0"/>
        <w:numId w:val="2"/>
      </w:numPr>
      <w:jc w:val="both"/>
    </w:pPr>
    <w:rPr>
      <w:rFonts w:ascii="宋体" w:hAnsi="Times New Roman" w:eastAsia="宋体" w:cs="宋体"/>
      <w:sz w:val="21"/>
      <w:szCs w:val="21"/>
      <w:lang w:val="en-US" w:eastAsia="zh-CN" w:bidi="ar-SA"/>
    </w:rPr>
  </w:style>
  <w:style w:type="paragraph" w:customStyle="1" w:styleId="52">
    <w:name w:val="其他发布部门"/>
    <w:basedOn w:val="1"/>
    <w:qFormat/>
    <w:uiPriority w:val="99"/>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paragraph" w:customStyle="1" w:styleId="53">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54">
    <w:name w:val="编号列项（三级）"/>
    <w:qFormat/>
    <w:uiPriority w:val="99"/>
    <w:pPr>
      <w:numPr>
        <w:ilvl w:val="2"/>
        <w:numId w:val="2"/>
      </w:numPr>
    </w:pPr>
    <w:rPr>
      <w:rFonts w:ascii="宋体" w:hAnsi="Times New Roman" w:eastAsia="宋体" w:cs="宋体"/>
      <w:sz w:val="21"/>
      <w:szCs w:val="21"/>
      <w:lang w:val="en-US" w:eastAsia="zh-CN" w:bidi="ar-SA"/>
    </w:rPr>
  </w:style>
  <w:style w:type="paragraph" w:customStyle="1" w:styleId="55">
    <w:name w:val="三级条标题"/>
    <w:basedOn w:val="43"/>
    <w:next w:val="1"/>
    <w:qFormat/>
    <w:uiPriority w:val="99"/>
    <w:pPr>
      <w:outlineLvl w:val="4"/>
    </w:pPr>
  </w:style>
  <w:style w:type="paragraph" w:customStyle="1" w:styleId="56">
    <w:name w:val="图表脚注"/>
    <w:next w:val="1"/>
    <w:qFormat/>
    <w:uiPriority w:val="99"/>
    <w:pPr>
      <w:jc w:val="both"/>
    </w:pPr>
    <w:rPr>
      <w:rFonts w:ascii="宋体" w:hAnsi="Times New Roman" w:eastAsia="宋体" w:cs="宋体"/>
      <w:sz w:val="18"/>
      <w:szCs w:val="18"/>
      <w:lang w:val="en-US" w:eastAsia="zh-CN" w:bidi="ar-SA"/>
    </w:rPr>
  </w:style>
  <w:style w:type="paragraph" w:customStyle="1" w:styleId="57">
    <w:name w:val="正文公式编号制表符"/>
    <w:basedOn w:val="36"/>
    <w:next w:val="36"/>
    <w:qFormat/>
    <w:uiPriority w:val="99"/>
    <w:pPr>
      <w:tabs>
        <w:tab w:val="center" w:pos="4201"/>
        <w:tab w:val="right" w:leader="dot" w:pos="9298"/>
      </w:tabs>
      <w:ind w:firstLine="0" w:firstLineChars="0"/>
    </w:pPr>
  </w:style>
  <w:style w:type="paragraph" w:customStyle="1" w:styleId="58">
    <w:name w:val="实施日期"/>
    <w:basedOn w:val="59"/>
    <w:qFormat/>
    <w:uiPriority w:val="99"/>
    <w:pPr>
      <w:framePr w:hSpace="0" w:xAlign="right"/>
      <w:tabs>
        <w:tab w:val="left" w:pos="1008"/>
      </w:tabs>
      <w:ind w:left="1008" w:hanging="1008"/>
      <w:jc w:val="right"/>
    </w:pPr>
  </w:style>
  <w:style w:type="paragraph" w:customStyle="1" w:styleId="59">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szCs w:val="28"/>
      <w:lang w:val="en-US" w:eastAsia="zh-CN" w:bidi="ar-SA"/>
    </w:rPr>
  </w:style>
  <w:style w:type="paragraph" w:customStyle="1" w:styleId="60">
    <w:name w:val="表格内容文字"/>
    <w:basedOn w:val="18"/>
    <w:qFormat/>
    <w:uiPriority w:val="99"/>
    <w:pPr>
      <w:jc w:val="center"/>
    </w:pPr>
    <w:rPr>
      <w:rFonts w:ascii="Times New Roman" w:hAnsi="Times New Roman"/>
      <w:sz w:val="18"/>
      <w:szCs w:val="18"/>
    </w:rPr>
  </w:style>
  <w:style w:type="table" w:customStyle="1" w:styleId="61">
    <w:name w:val="Table Normal"/>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62">
    <w:name w:val="列出段落1"/>
    <w:basedOn w:val="1"/>
    <w:qFormat/>
    <w:uiPriority w:val="1"/>
    <w:pPr>
      <w:autoSpaceDE w:val="0"/>
      <w:autoSpaceDN w:val="0"/>
      <w:ind w:left="535" w:hanging="317"/>
      <w:jc w:val="left"/>
    </w:pPr>
    <w:rPr>
      <w:rFonts w:ascii="宋体" w:hAnsi="宋体" w:cs="宋体"/>
      <w:kern w:val="0"/>
      <w:sz w:val="22"/>
      <w:szCs w:val="22"/>
      <w:lang w:eastAsia="en-US"/>
    </w:rPr>
  </w:style>
  <w:style w:type="paragraph" w:customStyle="1" w:styleId="63">
    <w:name w:val="Table Paragraph"/>
    <w:basedOn w:val="1"/>
    <w:qFormat/>
    <w:uiPriority w:val="1"/>
    <w:pPr>
      <w:autoSpaceDE w:val="0"/>
      <w:autoSpaceDN w:val="0"/>
      <w:jc w:val="center"/>
    </w:pPr>
    <w:rPr>
      <w:rFonts w:ascii="Times New Roman" w:hAnsi="Times New Roman" w:cs="Times New Roman"/>
      <w:kern w:val="0"/>
      <w:sz w:val="18"/>
      <w:szCs w:val="22"/>
      <w:lang w:eastAsia="en-US"/>
    </w:rPr>
  </w:style>
  <w:style w:type="character" w:customStyle="1" w:styleId="64">
    <w:name w:val="标题 2 字符"/>
    <w:link w:val="4"/>
    <w:qFormat/>
    <w:uiPriority w:val="0"/>
    <w:rPr>
      <w:rFonts w:ascii="Times New Roman" w:hAnsi="黑体" w:eastAsia="黑体"/>
      <w:kern w:val="2"/>
      <w:sz w:val="21"/>
    </w:rPr>
  </w:style>
  <w:style w:type="character" w:customStyle="1" w:styleId="65">
    <w:name w:val="标题 1 字符"/>
    <w:link w:val="2"/>
    <w:qFormat/>
    <w:uiPriority w:val="0"/>
    <w:rPr>
      <w:rFonts w:ascii="Times New Roman" w:hAnsi="Times New Roman" w:eastAsia="黑体"/>
      <w:b/>
      <w:sz w:val="21"/>
      <w:szCs w:val="21"/>
    </w:rPr>
  </w:style>
  <w:style w:type="character" w:customStyle="1" w:styleId="66">
    <w:name w:val="标题 字符"/>
    <w:link w:val="26"/>
    <w:qFormat/>
    <w:uiPriority w:val="0"/>
    <w:rPr>
      <w:rFonts w:ascii="Times New Roman" w:hAnsi="Times New Roman" w:eastAsia="黑体"/>
      <w:sz w:val="32"/>
      <w:szCs w:val="32"/>
    </w:rPr>
  </w:style>
  <w:style w:type="character" w:customStyle="1" w:styleId="67">
    <w:name w:val="标题 3 字符"/>
    <w:link w:val="6"/>
    <w:qFormat/>
    <w:uiPriority w:val="0"/>
    <w:rPr>
      <w:rFonts w:ascii="Times New Roman" w:hAnsi="Times New Roman"/>
      <w:bCs/>
      <w:kern w:val="2"/>
      <w:sz w:val="21"/>
    </w:rPr>
  </w:style>
  <w:style w:type="character" w:customStyle="1" w:styleId="68">
    <w:name w:val="标题 4 字符"/>
    <w:link w:val="7"/>
    <w:semiHidden/>
    <w:qFormat/>
    <w:uiPriority w:val="0"/>
    <w:rPr>
      <w:rFonts w:ascii="等线 Light" w:hAnsi="等线 Light" w:eastAsia="等线 Light"/>
      <w:b/>
      <w:bCs/>
      <w:kern w:val="2"/>
      <w:sz w:val="28"/>
      <w:szCs w:val="28"/>
    </w:rPr>
  </w:style>
  <w:style w:type="character" w:customStyle="1" w:styleId="69">
    <w:name w:val="标题 5 字符"/>
    <w:link w:val="8"/>
    <w:semiHidden/>
    <w:qFormat/>
    <w:uiPriority w:val="0"/>
    <w:rPr>
      <w:rFonts w:cs="Calibri"/>
      <w:b/>
      <w:bCs/>
      <w:kern w:val="2"/>
      <w:sz w:val="28"/>
      <w:szCs w:val="28"/>
    </w:rPr>
  </w:style>
  <w:style w:type="character" w:customStyle="1" w:styleId="70">
    <w:name w:val="标题 6 字符"/>
    <w:link w:val="9"/>
    <w:semiHidden/>
    <w:qFormat/>
    <w:uiPriority w:val="0"/>
    <w:rPr>
      <w:rFonts w:ascii="等线 Light" w:hAnsi="等线 Light" w:eastAsia="等线 Light"/>
      <w:b/>
      <w:bCs/>
      <w:kern w:val="2"/>
      <w:sz w:val="24"/>
      <w:szCs w:val="24"/>
    </w:rPr>
  </w:style>
  <w:style w:type="character" w:customStyle="1" w:styleId="71">
    <w:name w:val="标题 7 字符"/>
    <w:link w:val="10"/>
    <w:semiHidden/>
    <w:qFormat/>
    <w:uiPriority w:val="0"/>
    <w:rPr>
      <w:rFonts w:cs="Calibri"/>
      <w:b/>
      <w:bCs/>
      <w:kern w:val="2"/>
      <w:sz w:val="24"/>
      <w:szCs w:val="24"/>
    </w:rPr>
  </w:style>
  <w:style w:type="character" w:customStyle="1" w:styleId="72">
    <w:name w:val="标题 8 字符"/>
    <w:link w:val="11"/>
    <w:semiHidden/>
    <w:qFormat/>
    <w:uiPriority w:val="0"/>
    <w:rPr>
      <w:rFonts w:ascii="等线 Light" w:hAnsi="等线 Light" w:eastAsia="等线 Light"/>
      <w:kern w:val="2"/>
      <w:sz w:val="24"/>
      <w:szCs w:val="24"/>
    </w:rPr>
  </w:style>
  <w:style w:type="character" w:customStyle="1" w:styleId="73">
    <w:name w:val="标题 9 字符"/>
    <w:link w:val="12"/>
    <w:semiHidden/>
    <w:qFormat/>
    <w:uiPriority w:val="0"/>
    <w:rPr>
      <w:rFonts w:ascii="等线 Light" w:hAnsi="等线 Light" w:eastAsia="等线 Light"/>
      <w:kern w:val="2"/>
      <w:sz w:val="21"/>
      <w:szCs w:val="21"/>
    </w:rPr>
  </w:style>
  <w:style w:type="paragraph" w:customStyle="1" w:styleId="74">
    <w:name w:val="标题3"/>
    <w:basedOn w:val="6"/>
    <w:link w:val="75"/>
    <w:qFormat/>
    <w:uiPriority w:val="0"/>
    <w:rPr>
      <w:b/>
      <w:bCs w:val="0"/>
    </w:rPr>
  </w:style>
  <w:style w:type="character" w:customStyle="1" w:styleId="75">
    <w:name w:val="标题3 字符"/>
    <w:link w:val="74"/>
    <w:qFormat/>
    <w:uiPriority w:val="0"/>
    <w:rPr>
      <w:rFonts w:ascii="Times New Roman" w:hAnsi="Times New Roman"/>
      <w:b/>
      <w:kern w:val="2"/>
      <w:sz w:val="21"/>
    </w:rPr>
  </w:style>
  <w:style w:type="paragraph" w:customStyle="1" w:styleId="76">
    <w:name w:val="No Spacing"/>
    <w:qFormat/>
    <w:uiPriority w:val="1"/>
    <w:pPr>
      <w:widowControl w:val="0"/>
      <w:jc w:val="center"/>
    </w:pPr>
    <w:rPr>
      <w:rFonts w:ascii="Times New Roman" w:hAnsi="Times New Roman" w:eastAsia="仿宋" w:cs="Times New Roman"/>
      <w:kern w:val="2"/>
      <w:sz w:val="22"/>
      <w:szCs w:val="22"/>
      <w:lang w:val="en-US" w:eastAsia="zh-CN" w:bidi="ar-SA"/>
    </w:rPr>
  </w:style>
  <w:style w:type="character" w:customStyle="1" w:styleId="77">
    <w:name w:val="正文1 字符"/>
    <w:link w:val="5"/>
    <w:qFormat/>
    <w:uiPriority w:val="0"/>
    <w:rPr>
      <w:rFonts w:ascii="Times New Roman" w:hAnsi="Times New Roman" w:cs="宋体"/>
      <w:kern w:val="2"/>
      <w:sz w:val="21"/>
      <w:szCs w:val="21"/>
      <w:lang w:val="en-US" w:eastAsia="zh-CN" w:bidi="ar-SA"/>
    </w:rPr>
  </w:style>
  <w:style w:type="character" w:customStyle="1" w:styleId="78">
    <w:name w:val="Placeholder Text"/>
    <w:basedOn w:val="27"/>
    <w:semiHidden/>
    <w:qFormat/>
    <w:uiPriority w:val="99"/>
    <w:rPr>
      <w:color w:val="808080"/>
    </w:rPr>
  </w:style>
  <w:style w:type="paragraph" w:customStyle="1" w:styleId="79">
    <w:name w:val="附录"/>
    <w:basedOn w:val="5"/>
    <w:link w:val="80"/>
    <w:qFormat/>
    <w:uiPriority w:val="0"/>
    <w:pPr>
      <w:ind w:firstLine="0" w:firstLineChars="0"/>
      <w:jc w:val="center"/>
    </w:pPr>
    <w:rPr>
      <w:rFonts w:ascii="黑体" w:hAnsi="黑体" w:eastAsia="黑体"/>
      <w:b/>
      <w:bCs/>
    </w:rPr>
  </w:style>
  <w:style w:type="character" w:customStyle="1" w:styleId="80">
    <w:name w:val="附录 字符"/>
    <w:basedOn w:val="77"/>
    <w:link w:val="79"/>
    <w:qFormat/>
    <w:uiPriority w:val="0"/>
    <w:rPr>
      <w:rFonts w:ascii="黑体" w:hAnsi="黑体" w:eastAsia="黑体" w:cs="宋体"/>
      <w:b/>
      <w:bCs/>
      <w:kern w:val="2"/>
      <w:sz w:val="21"/>
      <w:szCs w:val="21"/>
      <w:lang w:val="en-US" w:eastAsia="zh-CN" w:bidi="ar-SA"/>
    </w:rPr>
  </w:style>
  <w:style w:type="character" w:customStyle="1" w:styleId="81">
    <w:name w:val="日期 字符"/>
    <w:basedOn w:val="27"/>
    <w:link w:val="19"/>
    <w:semiHidden/>
    <w:qFormat/>
    <w:uiPriority w:val="99"/>
    <w:rPr>
      <w:rFonts w:cs="Calibri"/>
      <w:kern w:val="2"/>
      <w:sz w:val="21"/>
      <w:szCs w:val="21"/>
    </w:rPr>
  </w:style>
  <w:style w:type="paragraph" w:customStyle="1" w:styleId="82">
    <w:name w:val="List Paragraph"/>
    <w:basedOn w:val="1"/>
    <w:qFormat/>
    <w:uiPriority w:val="1"/>
    <w:pPr>
      <w:ind w:firstLine="420" w:firstLineChars="200"/>
    </w:pPr>
  </w:style>
  <w:style w:type="character" w:customStyle="1" w:styleId="83">
    <w:name w:val="批注文字 字符"/>
    <w:basedOn w:val="27"/>
    <w:link w:val="14"/>
    <w:semiHidden/>
    <w:qFormat/>
    <w:uiPriority w:val="99"/>
    <w:rPr>
      <w:rFonts w:cs="Calibri"/>
      <w:kern w:val="2"/>
      <w:sz w:val="21"/>
      <w:szCs w:val="21"/>
    </w:rPr>
  </w:style>
  <w:style w:type="character" w:customStyle="1" w:styleId="84">
    <w:name w:val="批注主题 字符"/>
    <w:basedOn w:val="83"/>
    <w:link w:val="13"/>
    <w:semiHidden/>
    <w:qFormat/>
    <w:uiPriority w:val="99"/>
    <w:rPr>
      <w:rFonts w:cs="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png"/><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DFBE7-E4D1-4543-B381-9A41B29AF681}">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Pages>
  <Words>596</Words>
  <Characters>3400</Characters>
  <Lines>28</Lines>
  <Paragraphs>7</Paragraphs>
  <TotalTime>39</TotalTime>
  <ScaleCrop>false</ScaleCrop>
  <LinksUpToDate>false</LinksUpToDate>
  <CharactersWithSpaces>3989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2019-06-12T09:16:00Z</dcterms:created>
  <dc:creator>DQS</dc:creator>
  <cp:lastModifiedBy>重庆市生态环境局_科技处_张耀云</cp:lastModifiedBy>
  <cp:lastPrinted>2020-01-06T14:57:00Z</cp:lastPrinted>
  <dcterms:modified xsi:type="dcterms:W3CDTF">2020-03-30T04:11:54Z</dcterms:modified>
  <dc:title>附件9</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