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jc w:val="center"/>
        <w:textAlignment w:val="auto"/>
        <w:rPr>
          <w:rFonts w:hint="default" w:ascii="Times New Roman" w:hAnsi="Times New Roman" w:eastAsia="方正小标宋_GBK" w:cs="Times New Roman"/>
          <w:bCs/>
          <w:sz w:val="32"/>
          <w:szCs w:val="32"/>
          <w:lang w:val="en" w:eastAsia="zh-CN"/>
        </w:rPr>
      </w:pPr>
      <w:bookmarkStart w:id="0" w:name="tbx_bt"/>
    </w:p>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jc w:val="center"/>
        <w:textAlignment w:val="auto"/>
        <w:rPr>
          <w:rFonts w:hint="default" w:ascii="Times New Roman" w:hAnsi="Times New Roman" w:eastAsia="方正小标宋_GBK" w:cs="Times New Roman"/>
          <w:bCs/>
          <w:sz w:val="32"/>
          <w:szCs w:val="32"/>
          <w:lang w:val="en"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jc w:val="center"/>
        <w:textAlignment w:val="auto"/>
        <w:rPr>
          <w:rFonts w:hint="default" w:ascii="Times New Roman" w:hAnsi="Times New Roman" w:eastAsia="方正小标宋_GBK" w:cs="Times New Roman"/>
          <w:bCs/>
          <w:sz w:val="44"/>
          <w:lang w:val="en" w:eastAsia="zh-CN"/>
        </w:rPr>
      </w:pPr>
      <w:r>
        <w:rPr>
          <w:rFonts w:hint="default" w:ascii="Times New Roman" w:hAnsi="Times New Roman" w:eastAsia="方正小标宋_GBK" w:cs="Times New Roman"/>
          <w:bCs/>
          <w:sz w:val="44"/>
          <w:lang w:val="en" w:eastAsia="zh-CN"/>
        </w:rPr>
        <w:t>重庆市生态环境局</w:t>
      </w: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jc w:val="center"/>
        <w:textAlignment w:val="auto"/>
        <w:rPr>
          <w:rFonts w:hint="eastAsia" w:ascii="Times New Roman" w:hAnsi="Times New Roman" w:eastAsia="仿宋_GB2312" w:cs="Times New Roman"/>
          <w:lang w:val="en-US" w:eastAsia="zh-CN"/>
        </w:rPr>
      </w:pPr>
      <w:r>
        <w:rPr>
          <w:rFonts w:hint="default" w:ascii="Times New Roman" w:hAnsi="Times New Roman" w:eastAsia="方正小标宋_GBK" w:cs="Times New Roman"/>
          <w:bCs/>
          <w:sz w:val="44"/>
          <w:lang w:val="en" w:eastAsia="zh-CN"/>
        </w:rPr>
        <w:t>关于废止第十批行政规范性文件的通知</w:t>
      </w:r>
      <w:bookmarkEnd w:id="0"/>
    </w:p>
    <w:p>
      <w:pPr>
        <w:ind w:left="3"/>
        <w:jc w:val="center"/>
        <w:rPr>
          <w:rFonts w:hint="default" w:ascii="Times New Roman" w:hAnsi="Times New Roman" w:eastAsia="方正仿宋_GBK" w:cs="Times New Roman"/>
          <w:bCs/>
        </w:rPr>
      </w:pPr>
      <w:bookmarkStart w:id="1" w:name="zsdw"/>
      <w:bookmarkStart w:id="5" w:name="_GoBack"/>
      <w:r>
        <w:rPr>
          <w:rFonts w:hint="default" w:ascii="Times New Roman" w:hAnsi="Times New Roman" w:eastAsia="方正仿宋_GBK" w:cs="Times New Roman"/>
          <w:bCs/>
        </w:rPr>
        <w:t>渝环〔</w:t>
      </w:r>
      <w:bookmarkStart w:id="2" w:name="gwnh"/>
      <w:r>
        <w:rPr>
          <w:rFonts w:hint="default" w:ascii="Times New Roman" w:hAnsi="Times New Roman" w:eastAsia="方正仿宋_GBK" w:cs="Times New Roman"/>
          <w:bCs/>
          <w:lang w:val="en"/>
        </w:rPr>
        <w:t>2024</w:t>
      </w:r>
      <w:bookmarkEnd w:id="2"/>
      <w:r>
        <w:rPr>
          <w:rFonts w:hint="default" w:ascii="Times New Roman" w:hAnsi="Times New Roman" w:eastAsia="方正仿宋_GBK" w:cs="Times New Roman"/>
          <w:bCs/>
        </w:rPr>
        <w:t>〕</w:t>
      </w:r>
      <w:bookmarkStart w:id="3" w:name="gwqh"/>
      <w:r>
        <w:rPr>
          <w:rFonts w:hint="eastAsia" w:ascii="Times New Roman" w:hAnsi="Times New Roman" w:eastAsia="方正仿宋_GBK" w:cs="Times New Roman"/>
          <w:bCs/>
          <w:lang w:val="en-US" w:eastAsia="zh-CN"/>
        </w:rPr>
        <w:t>40</w:t>
      </w:r>
      <w:bookmarkEnd w:id="3"/>
      <w:r>
        <w:rPr>
          <w:rFonts w:hint="default" w:ascii="Times New Roman" w:hAnsi="Times New Roman" w:eastAsia="方正仿宋_GBK" w:cs="Times New Roman"/>
          <w:bCs/>
        </w:rPr>
        <w:t>号</w:t>
      </w:r>
    </w:p>
    <w:bookmarkEnd w:id="5"/>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textAlignment w:val="auto"/>
        <w:outlineLvl w:val="0"/>
        <w:rPr>
          <w:rFonts w:hint="default" w:ascii="Times New Roman" w:hAnsi="Times New Roman" w:eastAsia="方正仿宋_GBK" w:cs="Times New Roman"/>
          <w:lang w:val="en"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textAlignment w:val="auto"/>
        <w:outlineLvl w:val="0"/>
        <w:rPr>
          <w:rFonts w:hint="default" w:ascii="Times New Roman" w:hAnsi="Times New Roman" w:eastAsia="方正仿宋_GBK" w:cs="Times New Roman"/>
        </w:rPr>
      </w:pPr>
      <w:r>
        <w:rPr>
          <w:rFonts w:hint="default" w:ascii="Times New Roman" w:hAnsi="Times New Roman" w:eastAsia="方正仿宋_GBK" w:cs="Times New Roman"/>
          <w:lang w:val="en" w:eastAsia="zh-CN"/>
        </w:rPr>
        <w:t>各区县（自治县）生态环境局，西部科学城重庆高新区、万盛经开区生态环境局，两江新区分局</w:t>
      </w:r>
      <w:bookmarkEnd w:id="1"/>
      <w:r>
        <w:rPr>
          <w:rFonts w:hint="default" w:ascii="Times New Roman" w:hAnsi="Times New Roman" w:eastAsia="方正仿宋_GBK" w:cs="Times New Roman"/>
        </w:rPr>
        <w:t>：</w:t>
      </w:r>
    </w:p>
    <w:p>
      <w:pPr>
        <w:spacing w:beforeLines="0" w:afterLines="0" w:line="640" w:lineRule="exact"/>
        <w:ind w:firstLine="640" w:firstLineChars="200"/>
        <w:rPr>
          <w:rFonts w:hint="default" w:ascii="Times New Roman" w:hAnsi="Times New Roman" w:eastAsia="方正仿宋_GBK" w:cs="Times New Roman"/>
          <w:szCs w:val="32"/>
          <w:lang w:val="en" w:eastAsia="zh-CN"/>
        </w:rPr>
      </w:pPr>
      <w:bookmarkStart w:id="4" w:name="wgnr"/>
      <w:r>
        <w:rPr>
          <w:rFonts w:hint="default" w:ascii="Times New Roman" w:hAnsi="Times New Roman" w:eastAsia="方正仿宋_GBK" w:cs="Times New Roman"/>
          <w:szCs w:val="32"/>
          <w:lang w:val="en" w:eastAsia="zh-CN"/>
        </w:rPr>
        <w:t>按照《重庆市行政规范性文件管理办法》关于行政规范性文件清理要求，我局对有关行政规范性文件组织进行了清理并经市生态环境局2024年第1次局务会审议通过，决定对2件行政规范性文件（见附件）予以废止。</w:t>
      </w:r>
    </w:p>
    <w:p>
      <w:pPr>
        <w:spacing w:beforeLines="0" w:afterLines="0" w:line="640" w:lineRule="exact"/>
        <w:ind w:firstLine="640" w:firstLineChars="200"/>
        <w:rPr>
          <w:rFonts w:hint="default" w:ascii="Times New Roman" w:hAnsi="Times New Roman" w:eastAsia="方正仿宋_GBK" w:cs="Times New Roman"/>
          <w:szCs w:val="32"/>
          <w:lang w:val="en" w:eastAsia="zh-CN"/>
        </w:rPr>
      </w:pPr>
      <w:r>
        <w:rPr>
          <w:rFonts w:hint="default" w:ascii="Times New Roman" w:hAnsi="Times New Roman" w:eastAsia="方正仿宋_GBK" w:cs="Times New Roman"/>
          <w:szCs w:val="32"/>
          <w:lang w:val="en" w:eastAsia="zh-CN"/>
        </w:rPr>
        <w:t>本通知自印发之日起施行。</w:t>
      </w:r>
    </w:p>
    <w:p>
      <w:pPr>
        <w:spacing w:line="640" w:lineRule="exact"/>
        <w:ind w:firstLine="640" w:firstLineChars="200"/>
        <w:rPr>
          <w:rFonts w:hint="default" w:ascii="Times New Roman" w:hAnsi="Times New Roman" w:eastAsia="方正仿宋_GBK" w:cs="Times New Roman"/>
          <w:szCs w:val="32"/>
          <w:lang w:val="en" w:eastAsia="zh-CN"/>
        </w:rPr>
      </w:pPr>
    </w:p>
    <w:p>
      <w:pPr>
        <w:spacing w:line="640" w:lineRule="exact"/>
        <w:ind w:firstLine="640" w:firstLineChars="200"/>
        <w:rPr>
          <w:rFonts w:hint="default" w:ascii="Times New Roman" w:hAnsi="Times New Roman" w:eastAsia="方正仿宋_GBK" w:cs="Times New Roman"/>
          <w:szCs w:val="32"/>
          <w:lang w:val="en" w:eastAsia="zh-CN"/>
        </w:rPr>
      </w:pPr>
      <w:r>
        <w:rPr>
          <w:rFonts w:hint="default" w:ascii="Times New Roman" w:hAnsi="Times New Roman" w:eastAsia="方正仿宋_GBK" w:cs="Times New Roman"/>
          <w:szCs w:val="32"/>
          <w:lang w:val="en" w:eastAsia="zh-CN"/>
        </w:rPr>
        <w:t>附件：废止的行政规范性文件目录（第十批）</w:t>
      </w:r>
    </w:p>
    <w:p>
      <w:pPr>
        <w:tabs>
          <w:tab w:val="left" w:pos="7560"/>
        </w:tabs>
        <w:spacing w:line="640" w:lineRule="exact"/>
        <w:ind w:firstLine="640" w:firstLineChars="200"/>
        <w:rPr>
          <w:rFonts w:hint="default" w:ascii="Times New Roman" w:hAnsi="Times New Roman" w:eastAsia="方正仿宋_GBK" w:cs="Times New Roman"/>
          <w:szCs w:val="32"/>
          <w:lang w:val="en" w:eastAsia="zh-CN"/>
        </w:rPr>
      </w:pPr>
    </w:p>
    <w:p>
      <w:pPr>
        <w:tabs>
          <w:tab w:val="left" w:pos="7560"/>
        </w:tabs>
        <w:spacing w:line="640" w:lineRule="exact"/>
        <w:ind w:firstLine="5212" w:firstLineChars="1629"/>
        <w:rPr>
          <w:rFonts w:hint="default" w:ascii="Times New Roman" w:hAnsi="Times New Roman" w:eastAsia="方正仿宋_GBK" w:cs="Times New Roman"/>
          <w:szCs w:val="32"/>
          <w:lang w:val="en" w:eastAsia="zh-CN"/>
        </w:rPr>
      </w:pPr>
      <w:r>
        <w:rPr>
          <w:rFonts w:hint="default" w:ascii="Times New Roman" w:hAnsi="Times New Roman" w:eastAsia="方正仿宋_GBK" w:cs="Times New Roman"/>
          <w:szCs w:val="32"/>
          <w:lang w:val="en" w:eastAsia="zh-CN"/>
        </w:rPr>
        <w:t>重庆市生态环境局</w:t>
      </w:r>
    </w:p>
    <w:p>
      <w:pPr>
        <w:spacing w:line="640" w:lineRule="exact"/>
        <w:ind w:firstLine="640" w:firstLineChars="200"/>
        <w:rPr>
          <w:rFonts w:hint="default" w:ascii="Times New Roman" w:hAnsi="Times New Roman" w:eastAsia="方正仿宋_GBK" w:cs="Times New Roman"/>
          <w:szCs w:val="32"/>
          <w:lang w:val="en" w:eastAsia="zh-CN"/>
        </w:rPr>
      </w:pPr>
      <w:r>
        <w:rPr>
          <w:rFonts w:hint="default" w:ascii="Times New Roman" w:hAnsi="Times New Roman" w:eastAsia="方正仿宋_GBK" w:cs="Times New Roman"/>
          <w:szCs w:val="32"/>
          <w:lang w:val="en" w:eastAsia="zh-CN"/>
        </w:rPr>
        <w:t xml:space="preserve">                             2024年3月</w:t>
      </w:r>
      <w:r>
        <w:rPr>
          <w:rFonts w:hint="eastAsia" w:ascii="Times New Roman" w:hAnsi="Times New Roman" w:eastAsia="方正仿宋_GBK" w:cs="Times New Roman"/>
          <w:szCs w:val="32"/>
          <w:lang w:val="en-US" w:eastAsia="zh-CN"/>
        </w:rPr>
        <w:t>19</w:t>
      </w:r>
      <w:r>
        <w:rPr>
          <w:rFonts w:hint="default" w:ascii="Times New Roman" w:hAnsi="Times New Roman" w:eastAsia="方正仿宋_GBK" w:cs="Times New Roman"/>
          <w:szCs w:val="32"/>
          <w:lang w:val="en" w:eastAsia="zh-CN"/>
        </w:rPr>
        <w:t>日</w:t>
      </w:r>
    </w:p>
    <w:p>
      <w:pPr>
        <w:spacing w:line="640" w:lineRule="exact"/>
        <w:ind w:firstLine="640" w:firstLineChars="200"/>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lang w:val="en" w:eastAsia="zh-CN"/>
        </w:rPr>
        <w:t>（此件公开发布）</w:t>
      </w:r>
    </w:p>
    <w:p>
      <w:pPr>
        <w:spacing w:line="550" w:lineRule="exact"/>
        <w:rPr>
          <w:rFonts w:ascii="Times New Roman" w:hAnsi="Times New Roman" w:eastAsia="方正黑体_GBK"/>
          <w:kern w:val="24"/>
          <w:szCs w:val="32"/>
        </w:rPr>
      </w:pPr>
      <w:r>
        <w:rPr>
          <w:rFonts w:ascii="Times New Roman" w:hAnsi="Times New Roman" w:eastAsia="方正黑体_GBK"/>
          <w:kern w:val="24"/>
          <w:szCs w:val="32"/>
        </w:rPr>
        <w:br w:type="page"/>
      </w:r>
    </w:p>
    <w:p>
      <w:pPr>
        <w:spacing w:line="550" w:lineRule="exact"/>
        <w:rPr>
          <w:rFonts w:ascii="Times New Roman" w:hAnsi="Times New Roman" w:eastAsia="方正黑体_GBK"/>
          <w:kern w:val="24"/>
          <w:sz w:val="44"/>
          <w:szCs w:val="44"/>
        </w:rPr>
      </w:pPr>
      <w:r>
        <w:rPr>
          <w:rFonts w:ascii="Times New Roman" w:hAnsi="Times New Roman" w:eastAsia="方正黑体_GBK"/>
          <w:kern w:val="24"/>
          <w:szCs w:val="32"/>
        </w:rPr>
        <w:t>附件</w:t>
      </w:r>
    </w:p>
    <w:p>
      <w:pPr>
        <w:keepNext w:val="0"/>
        <w:keepLines w:val="0"/>
        <w:pageBreakBefore w:val="0"/>
        <w:widowControl w:val="0"/>
        <w:kinsoku/>
        <w:wordWrap/>
        <w:overflowPunct/>
        <w:topLinePunct w:val="0"/>
        <w:autoSpaceDE/>
        <w:autoSpaceDN/>
        <w:bidi w:val="0"/>
        <w:adjustRightInd/>
        <w:snapToGrid/>
        <w:spacing w:before="292" w:beforeLines="50" w:after="254" w:afterLines="80" w:line="560" w:lineRule="exact"/>
        <w:jc w:val="center"/>
        <w:textAlignment w:val="auto"/>
        <w:outlineLvl w:val="9"/>
        <w:rPr>
          <w:rFonts w:hint="eastAsia" w:ascii="Times New Roman" w:hAnsi="Times New Roman" w:eastAsia="方正小标宋_GBK"/>
          <w:kern w:val="24"/>
          <w:sz w:val="40"/>
          <w:szCs w:val="40"/>
        </w:rPr>
      </w:pPr>
      <w:r>
        <w:rPr>
          <w:rFonts w:hint="eastAsia" w:ascii="Times New Roman" w:hAnsi="Times New Roman" w:eastAsia="方正小标宋_GBK"/>
          <w:kern w:val="24"/>
          <w:sz w:val="40"/>
          <w:szCs w:val="40"/>
        </w:rPr>
        <w:t>废止的行政规范性文件目录（第</w:t>
      </w:r>
      <w:r>
        <w:rPr>
          <w:rFonts w:hint="eastAsia" w:ascii="Times New Roman" w:hAnsi="Times New Roman" w:eastAsia="方正小标宋_GBK"/>
          <w:kern w:val="24"/>
          <w:sz w:val="40"/>
          <w:szCs w:val="40"/>
          <w:lang w:eastAsia="zh-CN"/>
        </w:rPr>
        <w:t>十</w:t>
      </w:r>
      <w:r>
        <w:rPr>
          <w:rFonts w:hint="eastAsia" w:ascii="Times New Roman" w:hAnsi="Times New Roman" w:eastAsia="方正小标宋_GBK"/>
          <w:kern w:val="24"/>
          <w:sz w:val="40"/>
          <w:szCs w:val="40"/>
        </w:rPr>
        <w:t>批）</w:t>
      </w:r>
    </w:p>
    <w:tbl>
      <w:tblPr>
        <w:tblStyle w:val="11"/>
        <w:tblW w:w="87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4"/>
        <w:gridCol w:w="2581"/>
        <w:gridCol w:w="5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25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黑体_GBK"/>
                <w:sz w:val="28"/>
                <w:szCs w:val="28"/>
              </w:rPr>
            </w:pPr>
            <w:r>
              <w:rPr>
                <w:rFonts w:ascii="Times New Roman" w:hAnsi="Times New Roman" w:eastAsia="方正黑体_GBK"/>
                <w:sz w:val="28"/>
                <w:szCs w:val="28"/>
              </w:rPr>
              <w:t>文</w:t>
            </w:r>
            <w:r>
              <w:rPr>
                <w:rFonts w:hint="eastAsia" w:ascii="Times New Roman" w:hAnsi="Times New Roman" w:eastAsia="方正黑体_GBK"/>
                <w:sz w:val="28"/>
                <w:szCs w:val="28"/>
              </w:rPr>
              <w:t xml:space="preserve">    </w:t>
            </w:r>
            <w:r>
              <w:rPr>
                <w:rFonts w:ascii="Times New Roman" w:hAnsi="Times New Roman" w:eastAsia="方正黑体_GBK"/>
                <w:sz w:val="28"/>
                <w:szCs w:val="28"/>
              </w:rPr>
              <w:t>号</w:t>
            </w:r>
          </w:p>
        </w:tc>
        <w:tc>
          <w:tcPr>
            <w:tcW w:w="53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黑体_GBK"/>
                <w:sz w:val="28"/>
                <w:szCs w:val="28"/>
              </w:rPr>
            </w:pPr>
            <w:r>
              <w:rPr>
                <w:rFonts w:hint="eastAsia" w:ascii="Times New Roman" w:hAnsi="Times New Roman" w:eastAsia="方正黑体_GBK"/>
                <w:sz w:val="28"/>
                <w:szCs w:val="28"/>
              </w:rPr>
              <w:t>行政规范性</w:t>
            </w:r>
            <w:r>
              <w:rPr>
                <w:rFonts w:ascii="Times New Roman" w:hAnsi="Times New Roman" w:eastAsia="方正黑体_GBK"/>
                <w:sz w:val="28"/>
                <w:szCs w:val="28"/>
              </w:rPr>
              <w:t>文件名称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方正仿宋_GBK"/>
                <w:sz w:val="28"/>
                <w:szCs w:val="28"/>
              </w:rPr>
            </w:pPr>
            <w:r>
              <w:rPr>
                <w:rFonts w:hint="eastAsia" w:ascii="Times New Roman" w:hAnsi="Times New Roman" w:eastAsia="方正仿宋_GBK" w:cs="Times New Roman"/>
                <w:color w:val="auto"/>
                <w:kern w:val="0"/>
                <w:sz w:val="28"/>
                <w:szCs w:val="28"/>
                <w:lang w:val="en-US" w:eastAsia="zh-CN" w:bidi="ar"/>
              </w:rPr>
              <w:t>渝环〔2017〕238号</w:t>
            </w:r>
          </w:p>
        </w:tc>
        <w:tc>
          <w:tcPr>
            <w:tcW w:w="531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both"/>
              <w:rPr>
                <w:rFonts w:hint="eastAsia" w:ascii="Times New Roman" w:hAnsi="Times New Roman" w:eastAsia="方正仿宋_GBK" w:cs="Times New Roman"/>
                <w:color w:val="auto"/>
                <w:kern w:val="0"/>
                <w:sz w:val="28"/>
                <w:szCs w:val="28"/>
                <w:lang w:val="en-US" w:eastAsia="zh-CN" w:bidi="ar"/>
              </w:rPr>
            </w:pPr>
            <w:r>
              <w:rPr>
                <w:rFonts w:hint="eastAsia" w:ascii="Times New Roman" w:hAnsi="Times New Roman" w:eastAsia="方正仿宋_GBK" w:cs="Times New Roman"/>
                <w:color w:val="auto"/>
                <w:kern w:val="0"/>
                <w:sz w:val="28"/>
                <w:szCs w:val="28"/>
                <w:lang w:val="en-US" w:eastAsia="zh-CN" w:bidi="ar"/>
              </w:rPr>
              <w:t>重庆市环境保护局关于印发重庆市环境行政处罚程序规定的通知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2</w:t>
            </w: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方正仿宋_GBK"/>
                <w:sz w:val="28"/>
                <w:szCs w:val="28"/>
              </w:rPr>
            </w:pPr>
            <w:r>
              <w:rPr>
                <w:rFonts w:hint="eastAsia" w:ascii="Times New Roman" w:hAnsi="Times New Roman" w:eastAsia="方正仿宋_GBK" w:cs="Times New Roman"/>
                <w:color w:val="auto"/>
                <w:kern w:val="0"/>
                <w:sz w:val="28"/>
                <w:szCs w:val="28"/>
                <w:lang w:val="en-US" w:eastAsia="zh-CN" w:bidi="ar"/>
              </w:rPr>
              <w:t>渝环〔2021〕59号</w:t>
            </w:r>
          </w:p>
        </w:tc>
        <w:tc>
          <w:tcPr>
            <w:tcW w:w="531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both"/>
              <w:rPr>
                <w:rFonts w:hint="eastAsia" w:ascii="Times New Roman" w:hAnsi="Times New Roman" w:eastAsia="方正仿宋_GBK" w:cs="Times New Roman"/>
                <w:color w:val="auto"/>
                <w:kern w:val="0"/>
                <w:sz w:val="28"/>
                <w:szCs w:val="28"/>
                <w:lang w:val="en-US" w:eastAsia="zh-CN" w:bidi="ar"/>
              </w:rPr>
            </w:pPr>
            <w:r>
              <w:rPr>
                <w:rFonts w:hint="eastAsia" w:ascii="Times New Roman" w:hAnsi="Times New Roman" w:eastAsia="方正仿宋_GBK" w:cs="Times New Roman"/>
                <w:color w:val="auto"/>
                <w:kern w:val="0"/>
                <w:sz w:val="28"/>
                <w:szCs w:val="28"/>
                <w:lang w:val="en-US" w:eastAsia="zh-CN" w:bidi="ar"/>
              </w:rPr>
              <w:t>重庆市生态环境局关于印发重庆市长江入河排污口整治工作方案的通知</w:t>
            </w:r>
          </w:p>
        </w:tc>
      </w:tr>
    </w:tbl>
    <w:p>
      <w:pPr>
        <w:rPr>
          <w:rFonts w:hint="default" w:ascii="Times New Roman" w:hAnsi="Times New Roman" w:eastAsia="方正仿宋_GBK" w:cs="Times New Roman"/>
          <w:color w:val="000000"/>
        </w:rPr>
      </w:pPr>
    </w:p>
    <w:p>
      <w:pPr>
        <w:rPr>
          <w:rFonts w:hint="default" w:ascii="Times New Roman" w:hAnsi="Times New Roman" w:eastAsia="方正仿宋_GBK" w:cs="Times New Roman"/>
          <w:color w:val="000000"/>
        </w:rPr>
      </w:pPr>
    </w:p>
    <w:bookmarkEnd w:id="4"/>
    <w:p>
      <w:pPr>
        <w:rPr>
          <w:rFonts w:hint="default" w:ascii="Times New Roman" w:hAnsi="Times New Roman" w:eastAsia="方正仿宋_GBK" w:cs="Times New Roman"/>
          <w:color w:val="000000"/>
        </w:rPr>
      </w:pPr>
    </w:p>
    <w:p>
      <w:pPr>
        <w:rPr>
          <w:rFonts w:hint="default" w:ascii="Times New Roman" w:hAnsi="Times New Roman" w:eastAsia="方正仿宋_GBK" w:cs="Times New Roman"/>
          <w:color w:val="000000"/>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lang w:val="en"/>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lang w:val="en"/>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lang w:val="en"/>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lang w:val="en"/>
        </w:rPr>
      </w:pPr>
    </w:p>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default" w:ascii="Times New Roman" w:hAnsi="Times New Roman"/>
          <w:lang w:val="en"/>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lang w:val="en"/>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lang w:val="en"/>
        </w:rPr>
      </w:pPr>
    </w:p>
    <w:p>
      <w:pPr>
        <w:rPr>
          <w:rFonts w:hint="default" w:ascii="Times New Roman" w:hAnsi="Times New Roman" w:eastAsia="方正仿宋_GBK" w:cs="Times New Roman"/>
          <w:color w:val="000000"/>
        </w:rPr>
      </w:pPr>
    </w:p>
    <w:p>
      <w:pPr>
        <w:pBdr>
          <w:top w:val="single" w:color="auto" w:sz="8" w:space="1"/>
          <w:left w:val="none" w:color="auto" w:sz="0" w:space="4"/>
          <w:bottom w:val="single" w:color="auto" w:sz="8" w:space="1"/>
          <w:right w:val="none" w:color="auto" w:sz="0" w:space="4"/>
          <w:between w:val="single" w:color="auto" w:sz="4" w:space="0"/>
        </w:pBdr>
        <w:spacing w:beforeLines="0" w:afterLines="0" w:line="240" w:lineRule="auto"/>
        <w:ind w:right="-3" w:rightChars="0"/>
        <w:jc w:val="left"/>
        <w:rPr>
          <w:rFonts w:hint="eastAsia"/>
          <w:lang w:eastAsia="zh-CN"/>
        </w:rPr>
      </w:pPr>
      <w:r>
        <w:rPr>
          <w:rFonts w:hint="default" w:ascii="Times New Roman" w:hAnsi="Times New Roman" w:eastAsia="方正仿宋_GBK" w:cs="Times New Roman"/>
          <w:spacing w:val="10"/>
          <w:kern w:val="24"/>
          <w:sz w:val="28"/>
          <w:szCs w:val="28"/>
        </w:rPr>
        <w:t xml:space="preserve">  重庆市生态环境局办公室    </w:t>
      </w:r>
      <w:r>
        <w:rPr>
          <w:rFonts w:hint="eastAsia" w:ascii="Times New Roman" w:hAnsi="Times New Roman" w:eastAsia="方正仿宋_GBK" w:cs="Times New Roman"/>
          <w:spacing w:val="10"/>
          <w:kern w:val="24"/>
          <w:sz w:val="28"/>
          <w:szCs w:val="28"/>
          <w:lang w:val="en-US" w:eastAsia="zh-CN"/>
        </w:rPr>
        <w:t xml:space="preserve"> </w:t>
      </w:r>
      <w:r>
        <w:rPr>
          <w:rFonts w:hint="default" w:ascii="Times New Roman" w:hAnsi="Times New Roman" w:eastAsia="方正仿宋_GBK" w:cs="Times New Roman"/>
          <w:spacing w:val="10"/>
          <w:kern w:val="24"/>
          <w:sz w:val="28"/>
          <w:szCs w:val="28"/>
        </w:rPr>
        <w:t xml:space="preserve">  </w:t>
      </w:r>
      <w:r>
        <w:rPr>
          <w:rFonts w:hint="eastAsia" w:eastAsia="方正仿宋_GBK" w:cs="Times New Roman"/>
          <w:spacing w:val="10"/>
          <w:kern w:val="24"/>
          <w:sz w:val="28"/>
          <w:szCs w:val="28"/>
          <w:lang w:val="en-US" w:eastAsia="zh-CN"/>
        </w:rPr>
        <w:t xml:space="preserve"> </w:t>
      </w:r>
      <w:r>
        <w:rPr>
          <w:rFonts w:hint="default" w:ascii="Times New Roman" w:hAnsi="Times New Roman" w:eastAsia="方正仿宋_GBK" w:cs="Times New Roman"/>
          <w:spacing w:val="10"/>
          <w:kern w:val="24"/>
          <w:sz w:val="28"/>
          <w:szCs w:val="28"/>
        </w:rPr>
        <w:t xml:space="preserve"> </w:t>
      </w:r>
      <w:r>
        <w:rPr>
          <w:rFonts w:hint="eastAsia" w:ascii="Times New Roman" w:hAnsi="Times New Roman" w:eastAsia="方正仿宋_GBK" w:cs="Times New Roman"/>
          <w:spacing w:val="10"/>
          <w:kern w:val="24"/>
          <w:sz w:val="28"/>
          <w:szCs w:val="28"/>
          <w:lang w:val="en-US" w:eastAsia="zh-CN"/>
        </w:rPr>
        <w:t xml:space="preserve">  </w:t>
      </w:r>
      <w:r>
        <w:rPr>
          <w:rFonts w:hint="default" w:ascii="Times New Roman" w:hAnsi="Times New Roman" w:eastAsia="方正仿宋_GBK" w:cs="Times New Roman"/>
          <w:spacing w:val="10"/>
          <w:kern w:val="24"/>
          <w:sz w:val="28"/>
          <w:szCs w:val="28"/>
        </w:rPr>
        <w:t xml:space="preserve"> </w:t>
      </w:r>
      <w:r>
        <w:rPr>
          <w:rFonts w:hint="eastAsia" w:ascii="Times New Roman" w:hAnsi="Times New Roman" w:eastAsia="方正仿宋_GBK" w:cs="Times New Roman"/>
          <w:spacing w:val="10"/>
          <w:kern w:val="24"/>
          <w:sz w:val="28"/>
          <w:szCs w:val="28"/>
          <w:lang w:val="en-US" w:eastAsia="zh-CN"/>
        </w:rPr>
        <w:t xml:space="preserve"> 2024</w:t>
      </w:r>
      <w:r>
        <w:rPr>
          <w:rFonts w:hint="default" w:ascii="Times New Roman" w:hAnsi="Times New Roman" w:eastAsia="方正仿宋_GBK" w:cs="Times New Roman"/>
          <w:spacing w:val="10"/>
          <w:kern w:val="24"/>
          <w:sz w:val="28"/>
          <w:szCs w:val="28"/>
        </w:rPr>
        <w:t>年</w:t>
      </w:r>
      <w:r>
        <w:rPr>
          <w:rFonts w:hint="eastAsia" w:ascii="Times New Roman" w:hAnsi="Times New Roman" w:eastAsia="方正仿宋_GBK" w:cs="Times New Roman"/>
          <w:spacing w:val="10"/>
          <w:kern w:val="24"/>
          <w:sz w:val="28"/>
          <w:szCs w:val="28"/>
          <w:lang w:val="en-US" w:eastAsia="zh-CN"/>
        </w:rPr>
        <w:t>3</w:t>
      </w:r>
      <w:r>
        <w:rPr>
          <w:rFonts w:hint="default" w:ascii="Times New Roman" w:hAnsi="Times New Roman" w:eastAsia="方正仿宋_GBK" w:cs="Times New Roman"/>
          <w:spacing w:val="10"/>
          <w:kern w:val="24"/>
          <w:sz w:val="28"/>
          <w:szCs w:val="28"/>
        </w:rPr>
        <w:t>月</w:t>
      </w:r>
      <w:r>
        <w:rPr>
          <w:rFonts w:hint="eastAsia" w:ascii="Times New Roman" w:hAnsi="Times New Roman" w:eastAsia="方正仿宋_GBK" w:cs="Times New Roman"/>
          <w:spacing w:val="10"/>
          <w:kern w:val="24"/>
          <w:sz w:val="28"/>
          <w:szCs w:val="28"/>
          <w:lang w:val="en-US" w:eastAsia="zh-CN"/>
        </w:rPr>
        <w:t>20</w:t>
      </w:r>
      <w:r>
        <w:rPr>
          <w:rFonts w:hint="default" w:ascii="Times New Roman" w:hAnsi="Times New Roman" w:eastAsia="方正仿宋_GBK" w:cs="Times New Roman"/>
          <w:spacing w:val="10"/>
          <w:kern w:val="24"/>
          <w:sz w:val="28"/>
          <w:szCs w:val="28"/>
        </w:rPr>
        <w:t>日印发</w:t>
      </w:r>
    </w:p>
    <w:sectPr>
      <w:headerReference r:id="rId3" w:type="default"/>
      <w:footerReference r:id="rId5" w:type="default"/>
      <w:headerReference r:id="rId4" w:type="even"/>
      <w:footerReference r:id="rId6" w:type="even"/>
      <w:pgSz w:w="11906" w:h="16838"/>
      <w:pgMar w:top="1962" w:right="1474" w:bottom="1848" w:left="1587" w:header="851" w:footer="992"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sz w:val="32"/>
      </w:rPr>
    </w:pPr>
    <w:r>
      <w:rPr>
        <w:sz w:val="32"/>
      </w:rPr>
      <mc:AlternateContent>
        <mc:Choice Requires="wps">
          <w:drawing>
            <wp:anchor distT="0" distB="0" distL="114300" distR="114300" simplePos="0" relativeHeight="251678720" behindDoc="0" locked="0" layoutInCell="1" allowOverlap="1">
              <wp:simplePos x="0" y="0"/>
              <wp:positionH relativeFrom="margin">
                <wp:posOffset>5165725</wp:posOffset>
              </wp:positionH>
              <wp:positionV relativeFrom="paragraph">
                <wp:posOffset>-14605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1.15pt;height:144pt;width:144pt;mso-position-horizontal-relative:margin;mso-wrap-style:none;z-index:251678720;mso-width-relative:page;mso-height-relative:page;" filled="f" stroked="f" coordsize="21600,21600" o:gfxdata="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MP1v2AAAAAsBAAAPAAAAAAAA&#10;AAEAIAAAACIAAABkcnMvZG93bnJldi54bWxQSwECFAAUAAAACACHTuJA5smByhICAAATBAAADgAA&#10;AAAAAAABACAAAAAnAQAAZHJzL2Uyb0RvYy54bWxQSwUGAAAAAAYABgBZAQAAq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7769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sz w:val="32"/>
      </w:rPr>
    </w:pPr>
    <w:r>
      <w:rPr>
        <w:sz w:val="32"/>
      </w:rPr>
      <mc:AlternateContent>
        <mc:Choice Requires="wps">
          <w:drawing>
            <wp:anchor distT="0" distB="0" distL="114300" distR="114300" simplePos="0" relativeHeight="251716608"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pt;margin-top:-3.1pt;height:144pt;width:144pt;mso-position-horizontal-relative:margin;mso-wrap-style:none;z-index:251716608;mso-width-relative:page;mso-height-relative:page;" filled="f" stroked="f" coordsize="21600,21600" o:gfxdata="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4Cd4fSAAAABwEAAA8AAAAAAAAAAQAg&#10;AAAAIgAAAGRycy9kb3ducmV2LnhtbFBLAQIUABQAAAAIAIdO4kAKOyp+FAIAABUEAAAOAAAAAAAA&#10;AAEAIAAAACEBAABkcnMvZTJvRG9jLnhtbFBLBQYAAAAABgAGAFkBAACn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715584;mso-width-relative:page;mso-height-relative:page;" filled="f" stroked="t" coordsize="21600,21600" o:gfxdata="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7/UQtQAAAAGAQAADwAAAAAAAAABACAAAAAiAAAAZHJz&#10;L2Rvd25yZXYueG1sUEsBAhQAFAAAAAgAh07iQPg+le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4"/>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360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5"/>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9510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p01n0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222"/>
    <w:multiLevelType w:val="multilevel"/>
    <w:tmpl w:val="70985222"/>
    <w:lvl w:ilvl="0" w:tentative="0">
      <w:start w:val="2"/>
      <w:numFmt w:val="japaneseCounting"/>
      <w:pStyle w:val="8"/>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AC2506"/>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link w:val="8"/>
    <w:semiHidden/>
    <w:qFormat/>
    <w:uiPriority w:val="0"/>
    <w:rPr>
      <w:rFonts w:eastAsia="宋体"/>
      <w:sz w:val="24"/>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 Char"/>
    <w:basedOn w:val="1"/>
    <w:link w:val="7"/>
    <w:uiPriority w:val="0"/>
    <w:pPr>
      <w:numPr>
        <w:ilvl w:val="0"/>
        <w:numId w:val="1"/>
      </w:numPr>
    </w:pPr>
    <w:rPr>
      <w:rFonts w:eastAsia="宋体"/>
      <w:sz w:val="24"/>
    </w:rPr>
  </w:style>
  <w:style w:type="character" w:styleId="9">
    <w:name w:val="Strong"/>
    <w:basedOn w:val="7"/>
    <w:qFormat/>
    <w:uiPriority w:val="0"/>
    <w:rPr>
      <w:b/>
      <w:bCs/>
    </w:rPr>
  </w:style>
  <w:style w:type="character" w:styleId="10">
    <w:name w:val="page number"/>
    <w:basedOn w:val="7"/>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2024-03-22T07:47:31Z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