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pacing w:line="594" w:lineRule="exact"/>
        <w:jc w:val="center"/>
        <w:textAlignment w:val="auto"/>
        <w:rPr>
          <w:rFonts w:hint="eastAsia" w:ascii="Times New Roman" w:hAnsi="Times New Roman"/>
          <w:bCs/>
        </w:rPr>
      </w:pP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sz w:val="44"/>
          <w:szCs w:val="44"/>
          <w:lang w:eastAsia="zh-CN"/>
        </w:rPr>
      </w:pPr>
      <w:bookmarkStart w:id="6" w:name="_GoBack"/>
      <w:bookmarkEnd w:id="6"/>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lang w:eastAsia="zh-CN"/>
        </w:rPr>
        <w:t>重庆市生态环境局</w:t>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lang w:eastAsia="zh-CN"/>
        </w:rPr>
        <w:t>关于印发《重庆市“三线一单”生态环境分区管控调整方案（2023年）》的通知</w:t>
      </w:r>
    </w:p>
    <w:p>
      <w:pPr>
        <w:keepNext w:val="0"/>
        <w:keepLines w:val="0"/>
        <w:pageBreakBefore w:val="0"/>
        <w:widowControl w:val="0"/>
        <w:kinsoku/>
        <w:overflowPunct/>
        <w:topLinePunct w:val="0"/>
        <w:autoSpaceDE/>
        <w:autoSpaceDN/>
        <w:bidi w:val="0"/>
        <w:adjustRightInd/>
        <w:spacing w:line="594" w:lineRule="exact"/>
        <w:ind w:right="0"/>
        <w:jc w:val="center"/>
        <w:textAlignment w:val="auto"/>
        <w:rPr>
          <w:rFonts w:hint="eastAsia" w:ascii="Times New Roman" w:hAnsi="Times New Roman" w:eastAsia="方正仿宋_GBK"/>
          <w:bCs/>
        </w:rPr>
      </w:pPr>
      <w:bookmarkStart w:id="0" w:name="gwz"/>
      <w:r>
        <w:rPr>
          <w:rFonts w:hint="eastAsia" w:ascii="Times New Roman" w:hAnsi="Times New Roman" w:eastAsia="方正仿宋_GBK" w:cs="Times New Roman"/>
          <w:lang w:val="en-US" w:eastAsia="zh-CN"/>
        </w:rPr>
        <w:t>渝环规</w:t>
      </w:r>
      <w:bookmarkEnd w:id="0"/>
      <w:r>
        <w:rPr>
          <w:rFonts w:hint="eastAsia" w:ascii="Times New Roman" w:hAnsi="Times New Roman" w:eastAsia="方正仿宋_GBK" w:cs="Times New Roman"/>
        </w:rPr>
        <w:t>〔</w:t>
      </w:r>
      <w:bookmarkStart w:id="1" w:name="gwnh"/>
      <w:r>
        <w:rPr>
          <w:rFonts w:hint="eastAsia" w:ascii="Times New Roman" w:hAnsi="Times New Roman" w:eastAsia="方正仿宋_GBK" w:cs="Times New Roman"/>
          <w:lang w:val="en-US" w:eastAsia="zh-CN"/>
        </w:rPr>
        <w:t>2024</w:t>
      </w:r>
      <w:bookmarkEnd w:id="1"/>
      <w:r>
        <w:rPr>
          <w:rFonts w:hint="eastAsia" w:ascii="Times New Roman" w:hAnsi="Times New Roman" w:eastAsia="方正仿宋_GBK" w:cs="Times New Roman"/>
        </w:rPr>
        <w:t>〕</w:t>
      </w:r>
      <w:bookmarkStart w:id="2" w:name="gwqh"/>
      <w:r>
        <w:rPr>
          <w:rFonts w:hint="eastAsia" w:ascii="Times New Roman" w:hAnsi="Times New Roman" w:eastAsia="方正仿宋_GBK" w:cs="Times New Roman"/>
          <w:lang w:val="en-US" w:eastAsia="zh-CN"/>
        </w:rPr>
        <w:t>2</w:t>
      </w:r>
      <w:bookmarkEnd w:id="2"/>
      <w:r>
        <w:rPr>
          <w:rFonts w:hint="eastAsia" w:ascii="Times New Roman" w:hAnsi="Times New Roman" w:eastAsia="方正仿宋_GBK" w:cs="Times New Roman"/>
          <w:bCs/>
        </w:rPr>
        <w:t>号</w:t>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sz w:val="44"/>
          <w:szCs w:val="44"/>
          <w:lang w:eastAsia="zh-CN"/>
        </w:rPr>
      </w:pPr>
    </w:p>
    <w:p>
      <w:pPr>
        <w:keepNext w:val="0"/>
        <w:keepLines w:val="0"/>
        <w:pageBreakBefore w:val="0"/>
        <w:widowControl w:val="0"/>
        <w:kinsoku/>
        <w:overflowPunct/>
        <w:topLinePunct w:val="0"/>
        <w:autoSpaceDE/>
        <w:autoSpaceDN/>
        <w:bidi w:val="0"/>
        <w:adjustRightInd/>
        <w:spacing w:line="594" w:lineRule="exact"/>
        <w:textAlignment w:val="auto"/>
        <w:outlineLvl w:val="0"/>
        <w:rPr>
          <w:rFonts w:hint="eastAsia" w:ascii="Times New Roman" w:hAnsi="Times New Roman" w:eastAsia="方正仿宋_GBK"/>
          <w:bCs/>
          <w:lang w:val="en-US" w:eastAsia="zh-CN"/>
        </w:rPr>
      </w:pPr>
      <w:bookmarkStart w:id="3" w:name="zsdw"/>
      <w:r>
        <w:rPr>
          <w:rFonts w:hint="eastAsia" w:ascii="Times New Roman" w:hAnsi="Times New Roman" w:eastAsia="方正仿宋_GBK" w:cs="Times New Roman"/>
          <w:bCs/>
          <w:lang w:eastAsia="zh-CN"/>
        </w:rPr>
        <w:t>各区县（自治县）人民政府，两江新区管委会、西部科学城重庆高新区管委会、万盛经开区管委会，市级有关部门，有关单位</w:t>
      </w:r>
      <w:bookmarkEnd w:id="3"/>
      <w:r>
        <w:rPr>
          <w:rFonts w:hint="eastAsia" w:ascii="Times New Roman" w:hAnsi="Times New Roman" w:eastAsia="方正仿宋_GBK" w:cs="Times New Roman"/>
          <w:bCs/>
        </w:rPr>
        <w:t>：</w:t>
      </w:r>
      <w:bookmarkStart w:id="4" w:name="wgn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outlineLvl w:val="0"/>
        <w:rPr>
          <w:rFonts w:ascii="Times New Roman" w:hAnsi="Times New Roman" w:eastAsia="方正仿宋_GBK"/>
          <w:szCs w:val="32"/>
        </w:rPr>
      </w:pPr>
      <w:r>
        <w:rPr>
          <w:rFonts w:hint="eastAsia" w:ascii="Times New Roman" w:hAnsi="Times New Roman" w:eastAsia="方正仿宋_GBK" w:cs="Times New Roman"/>
          <w:szCs w:val="32"/>
        </w:rPr>
        <w:t>《重庆市</w:t>
      </w:r>
      <w:r>
        <w:rPr>
          <w:rFonts w:hint="eastAsia" w:ascii="Times New Roman" w:hAnsi="Times New Roman" w:eastAsia="方正仿宋_GBK" w:cs="Times New Roman"/>
          <w:szCs w:val="32"/>
          <w:lang w:eastAsia="zh-CN"/>
        </w:rPr>
        <w:t>“</w:t>
      </w:r>
      <w:r>
        <w:rPr>
          <w:rFonts w:hint="eastAsia" w:ascii="Times New Roman" w:hAnsi="Times New Roman" w:eastAsia="方正仿宋_GBK" w:cs="Times New Roman"/>
          <w:szCs w:val="32"/>
        </w:rPr>
        <w:t>三线一单</w:t>
      </w:r>
      <w:r>
        <w:rPr>
          <w:rFonts w:hint="eastAsia" w:ascii="Times New Roman" w:hAnsi="Times New Roman" w:eastAsia="方正仿宋_GBK" w:cs="Times New Roman"/>
          <w:szCs w:val="32"/>
          <w:lang w:eastAsia="zh-CN"/>
        </w:rPr>
        <w:t>”</w:t>
      </w:r>
      <w:r>
        <w:rPr>
          <w:rFonts w:hint="eastAsia" w:ascii="Times New Roman" w:hAnsi="Times New Roman" w:eastAsia="方正仿宋_GBK" w:cs="Times New Roman"/>
          <w:szCs w:val="32"/>
        </w:rPr>
        <w:t>生态环境分区管控调整方案（2023年）》</w:t>
      </w:r>
      <w:r>
        <w:rPr>
          <w:rFonts w:hint="eastAsia" w:ascii="Times New Roman" w:hAnsi="Times New Roman" w:eastAsia="方正仿宋_GBK" w:cs="Times New Roman"/>
          <w:szCs w:val="32"/>
          <w:lang w:eastAsia="zh-CN"/>
        </w:rPr>
        <w:t>已</w:t>
      </w:r>
      <w:r>
        <w:rPr>
          <w:rFonts w:hint="eastAsia" w:ascii="Times New Roman" w:hAnsi="Times New Roman" w:eastAsia="方正仿宋_GBK" w:cs="Times New Roman"/>
          <w:szCs w:val="32"/>
        </w:rPr>
        <w:t>经</w:t>
      </w:r>
      <w:r>
        <w:rPr>
          <w:rFonts w:hint="eastAsia" w:ascii="Times New Roman" w:hAnsi="Times New Roman" w:eastAsia="方正仿宋_GBK" w:cs="Times New Roman"/>
          <w:szCs w:val="32"/>
          <w:lang w:eastAsia="zh-CN"/>
        </w:rPr>
        <w:t>市政府同意</w:t>
      </w:r>
      <w:r>
        <w:rPr>
          <w:rFonts w:hint="eastAsia" w:ascii="Times New Roman" w:hAnsi="Times New Roman" w:eastAsia="方正仿宋_GBK" w:cs="Times New Roman"/>
          <w:szCs w:val="32"/>
        </w:rPr>
        <w:t>，</w:t>
      </w:r>
      <w:r>
        <w:rPr>
          <w:rFonts w:hint="eastAsia" w:ascii="Times New Roman" w:hAnsi="Times New Roman" w:eastAsia="方正仿宋_GBK" w:cs="Times New Roman"/>
          <w:szCs w:val="32"/>
          <w:lang w:eastAsia="zh-CN"/>
        </w:rPr>
        <w:t>现印发给你们，请遵照执行</w:t>
      </w:r>
      <w:r>
        <w:rPr>
          <w:rFonts w:hint="eastAsia" w:ascii="Times New Roman" w:hAnsi="Times New Roman" w:eastAsia="方正仿宋_GBK" w:cs="Times New Roman"/>
          <w:szCs w:val="32"/>
        </w:rPr>
        <w:t>。</w:t>
      </w:r>
    </w:p>
    <w:p>
      <w:pPr>
        <w:keepNext w:val="0"/>
        <w:keepLines w:val="0"/>
        <w:pageBreakBefore w:val="0"/>
        <w:widowControl w:val="0"/>
        <w:tabs>
          <w:tab w:val="left" w:pos="7326"/>
          <w:tab w:val="left" w:pos="7524"/>
        </w:tabs>
        <w:kinsoku/>
        <w:wordWrap/>
        <w:overflowPunct/>
        <w:topLinePunct w:val="0"/>
        <w:autoSpaceDE/>
        <w:autoSpaceDN/>
        <w:bidi w:val="0"/>
        <w:adjustRightInd/>
        <w:snapToGrid/>
        <w:spacing w:line="594" w:lineRule="exact"/>
        <w:ind w:left="0" w:leftChars="0" w:firstLine="640" w:firstLineChars="200"/>
        <w:jc w:val="both"/>
        <w:textAlignment w:val="auto"/>
        <w:outlineLvl w:val="9"/>
        <w:rPr>
          <w:rFonts w:ascii="Times New Roman" w:hAnsi="Times New Roman" w:eastAsia="方正仿宋_GBK"/>
          <w:kern w:val="0"/>
          <w:szCs w:val="32"/>
        </w:rPr>
      </w:pPr>
      <w:r>
        <w:rPr>
          <w:rFonts w:ascii="Times New Roman" w:hAnsi="Times New Roman" w:eastAsia="方正仿宋_GBK" w:cs="Times New Roman"/>
          <w:kern w:val="0"/>
          <w:szCs w:val="32"/>
        </w:rPr>
        <w:t>联系人：</w:t>
      </w:r>
      <w:r>
        <w:rPr>
          <w:rFonts w:hint="eastAsia" w:ascii="Times New Roman" w:hAnsi="Times New Roman" w:eastAsia="方正仿宋_GBK" w:cs="Times New Roman"/>
          <w:kern w:val="0"/>
          <w:szCs w:val="32"/>
          <w:lang w:eastAsia="zh-CN"/>
        </w:rPr>
        <w:t>何清清</w:t>
      </w:r>
      <w:r>
        <w:rPr>
          <w:rFonts w:hint="eastAsia" w:ascii="Times New Roman" w:hAnsi="Times New Roman" w:eastAsia="方正仿宋_GBK" w:cs="Times New Roman"/>
          <w:kern w:val="0"/>
          <w:szCs w:val="32"/>
        </w:rPr>
        <w:t>；</w:t>
      </w:r>
      <w:r>
        <w:rPr>
          <w:rFonts w:ascii="Times New Roman" w:hAnsi="Times New Roman" w:eastAsia="方正仿宋_GBK" w:cs="Times New Roman"/>
          <w:kern w:val="0"/>
          <w:szCs w:val="32"/>
        </w:rPr>
        <w:t>联系电话：8852184</w:t>
      </w:r>
      <w:r>
        <w:rPr>
          <w:rFonts w:hint="eastAsia" w:ascii="Times New Roman" w:hAnsi="Times New Roman" w:eastAsia="方正仿宋_GBK" w:cs="Times New Roman"/>
          <w:kern w:val="0"/>
          <w:szCs w:val="32"/>
          <w:lang w:val="en-US" w:eastAsia="zh-CN"/>
        </w:rPr>
        <w:t>0</w:t>
      </w:r>
      <w:r>
        <w:rPr>
          <w:rFonts w:ascii="Times New Roman" w:hAnsi="Times New Roman" w:eastAsia="方正仿宋_GBK" w:cs="Times New Roman"/>
          <w:kern w:val="0"/>
          <w:szCs w:val="32"/>
        </w:rPr>
        <w:t>。</w:t>
      </w:r>
    </w:p>
    <w:p>
      <w:pPr>
        <w:keepNext w:val="0"/>
        <w:keepLines w:val="0"/>
        <w:pageBreakBefore w:val="0"/>
        <w:widowControl w:val="0"/>
        <w:tabs>
          <w:tab w:val="left" w:pos="7326"/>
          <w:tab w:val="left" w:pos="7524"/>
        </w:tabs>
        <w:kinsoku/>
        <w:wordWrap/>
        <w:overflowPunct/>
        <w:topLinePunct w:val="0"/>
        <w:autoSpaceDE/>
        <w:autoSpaceDN/>
        <w:bidi w:val="0"/>
        <w:adjustRightInd/>
        <w:snapToGrid/>
        <w:spacing w:line="594" w:lineRule="exact"/>
        <w:ind w:left="0" w:leftChars="0" w:firstLine="640" w:firstLineChars="200"/>
        <w:jc w:val="both"/>
        <w:textAlignment w:val="auto"/>
        <w:outlineLvl w:val="9"/>
        <w:rPr>
          <w:rFonts w:ascii="Times New Roman" w:hAnsi="Times New Roman" w:eastAsia="方正仿宋_GBK"/>
          <w:kern w:val="0"/>
          <w:szCs w:val="32"/>
        </w:rPr>
      </w:pPr>
    </w:p>
    <w:p>
      <w:pPr>
        <w:keepNext w:val="0"/>
        <w:keepLines w:val="0"/>
        <w:pageBreakBefore w:val="0"/>
        <w:widowControl w:val="0"/>
        <w:kinsoku/>
        <w:wordWrap/>
        <w:overflowPunct/>
        <w:topLinePunct w:val="0"/>
        <w:autoSpaceDE/>
        <w:autoSpaceDN/>
        <w:bidi w:val="0"/>
        <w:adjustRightInd/>
        <w:snapToGrid/>
        <w:spacing w:line="594" w:lineRule="exact"/>
        <w:ind w:left="1470" w:leftChars="200" w:hanging="830" w:hangingChars="250"/>
        <w:jc w:val="both"/>
        <w:textAlignment w:val="auto"/>
        <w:outlineLvl w:val="9"/>
        <w:rPr>
          <w:rFonts w:hint="eastAsia" w:ascii="Times New Roman" w:hAnsi="Times New Roman" w:eastAsia="方正仿宋_GBK"/>
          <w:spacing w:val="6"/>
          <w:szCs w:val="32"/>
          <w:lang w:val="en-US" w:eastAsia="zh-CN"/>
        </w:rPr>
      </w:pPr>
    </w:p>
    <w:p>
      <w:pPr>
        <w:keepNext w:val="0"/>
        <w:keepLines w:val="0"/>
        <w:pageBreakBefore w:val="0"/>
        <w:widowControl w:val="0"/>
        <w:tabs>
          <w:tab w:val="left" w:pos="7560"/>
        </w:tabs>
        <w:kinsoku/>
        <w:wordWrap w:val="0"/>
        <w:overflowPunct/>
        <w:topLinePunct w:val="0"/>
        <w:autoSpaceDE/>
        <w:autoSpaceDN/>
        <w:bidi w:val="0"/>
        <w:adjustRightInd/>
        <w:snapToGrid/>
        <w:spacing w:line="594" w:lineRule="exact"/>
        <w:ind w:firstLine="640" w:firstLineChars="200"/>
        <w:jc w:val="right"/>
        <w:textAlignment w:val="auto"/>
        <w:rPr>
          <w:rFonts w:hint="default" w:ascii="Times New Roman" w:hAnsi="Times New Roman" w:eastAsia="方正仿宋_GBK"/>
          <w:szCs w:val="32"/>
          <w:lang w:val="en-US" w:eastAsia="zh-CN"/>
        </w:rPr>
      </w:pPr>
      <w:r>
        <w:rPr>
          <w:rFonts w:hint="eastAsia" w:ascii="Times New Roman" w:hAnsi="Times New Roman" w:eastAsia="方正仿宋_GBK" w:cs="Times New Roman"/>
          <w:szCs w:val="32"/>
          <w:lang w:val="en-US" w:eastAsia="zh-CN"/>
        </w:rPr>
        <w:t xml:space="preserve"> </w:t>
      </w:r>
      <w:r>
        <w:rPr>
          <w:rFonts w:ascii="Times New Roman" w:hAnsi="Times New Roman" w:eastAsia="方正仿宋_GBK" w:cs="Times New Roman"/>
          <w:szCs w:val="32"/>
        </w:rPr>
        <w:t xml:space="preserve">   重庆市生态环境局</w:t>
      </w:r>
      <w:r>
        <w:rPr>
          <w:rFonts w:hint="eastAsia" w:ascii="Times New Roman" w:hAnsi="Times New Roman" w:eastAsia="方正仿宋_GBK" w:cs="Times New Roman"/>
          <w:szCs w:val="32"/>
          <w:lang w:val="en-US" w:eastAsia="zh-CN"/>
        </w:rPr>
        <w:t xml:space="preserve">       </w:t>
      </w:r>
    </w:p>
    <w:p>
      <w:pPr>
        <w:keepNext w:val="0"/>
        <w:keepLines w:val="0"/>
        <w:pageBreakBefore w:val="0"/>
        <w:widowControl w:val="0"/>
        <w:tabs>
          <w:tab w:val="left" w:pos="7560"/>
        </w:tabs>
        <w:kinsoku/>
        <w:wordWrap/>
        <w:overflowPunct/>
        <w:topLinePunct w:val="0"/>
        <w:autoSpaceDE/>
        <w:autoSpaceDN/>
        <w:bidi w:val="0"/>
        <w:adjustRightInd/>
        <w:snapToGrid/>
        <w:spacing w:after="0" w:afterLines="0" w:afterAutospacing="0" w:line="594" w:lineRule="exact"/>
        <w:jc w:val="both"/>
        <w:textAlignment w:val="auto"/>
        <w:rPr>
          <w:rFonts w:hint="default"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kern w:val="2"/>
          <w:sz w:val="32"/>
          <w:szCs w:val="32"/>
          <w:lang w:val="en-US" w:eastAsia="zh-CN" w:bidi="ar-SA"/>
        </w:rPr>
        <w:t xml:space="preserve">     </w:t>
      </w:r>
      <w:r>
        <w:rPr>
          <w:rFonts w:hint="eastAsia" w:ascii="Times New Roman" w:hAnsi="Times New Roman" w:eastAsia="方正仿宋_GBK" w:cs="Times New Roman"/>
          <w:kern w:val="2"/>
          <w:sz w:val="32"/>
          <w:szCs w:val="32"/>
          <w:lang w:val="en-US" w:eastAsia="zh-CN" w:bidi="ar-SA"/>
        </w:rPr>
        <w:t xml:space="preserve">                           </w:t>
      </w:r>
      <w:r>
        <w:rPr>
          <w:rFonts w:ascii="Times New Roman" w:hAnsi="Times New Roman" w:eastAsia="方正仿宋_GBK" w:cs="Times New Roman"/>
          <w:kern w:val="2"/>
          <w:sz w:val="32"/>
          <w:szCs w:val="32"/>
          <w:lang w:val="en-US" w:eastAsia="zh-CN" w:bidi="ar-SA"/>
        </w:rPr>
        <w:t xml:space="preserve"> 202</w:t>
      </w:r>
      <w:r>
        <w:rPr>
          <w:rFonts w:hint="eastAsia" w:ascii="Times New Roman" w:hAnsi="Times New Roman" w:eastAsia="方正仿宋_GBK" w:cs="Times New Roman"/>
          <w:kern w:val="2"/>
          <w:sz w:val="32"/>
          <w:szCs w:val="32"/>
          <w:lang w:val="en-US" w:eastAsia="zh-CN" w:bidi="ar-SA"/>
        </w:rPr>
        <w:t>4</w:t>
      </w:r>
      <w:r>
        <w:rPr>
          <w:rFonts w:ascii="Times New Roman" w:hAnsi="Times New Roman" w:eastAsia="方正仿宋_GBK" w:cs="Times New Roman"/>
          <w:kern w:val="2"/>
          <w:sz w:val="32"/>
          <w:szCs w:val="32"/>
          <w:lang w:val="en-US" w:eastAsia="zh-CN" w:bidi="ar-SA"/>
        </w:rPr>
        <w:t>年</w:t>
      </w:r>
      <w:r>
        <w:rPr>
          <w:rFonts w:hint="eastAsia" w:ascii="Times New Roman" w:hAnsi="Times New Roman" w:eastAsia="方正仿宋_GBK" w:cs="Times New Roman"/>
          <w:kern w:val="2"/>
          <w:sz w:val="32"/>
          <w:szCs w:val="32"/>
          <w:lang w:val="en-US" w:eastAsia="zh-CN" w:bidi="ar-SA"/>
        </w:rPr>
        <w:t>3</w:t>
      </w:r>
      <w:r>
        <w:rPr>
          <w:rFonts w:ascii="Times New Roman" w:hAnsi="Times New Roman" w:eastAsia="方正仿宋_GBK" w:cs="Times New Roman"/>
          <w:kern w:val="2"/>
          <w:sz w:val="32"/>
          <w:szCs w:val="32"/>
          <w:lang w:val="en-US" w:eastAsia="zh-CN" w:bidi="ar-SA"/>
        </w:rPr>
        <w:t>月</w:t>
      </w:r>
      <w:r>
        <w:rPr>
          <w:rFonts w:hint="eastAsia" w:ascii="Times New Roman" w:hAnsi="Times New Roman" w:eastAsia="方正仿宋_GBK" w:cs="Times New Roman"/>
          <w:kern w:val="2"/>
          <w:sz w:val="32"/>
          <w:szCs w:val="32"/>
          <w:lang w:val="en-US" w:eastAsia="zh-CN" w:bidi="ar-SA"/>
        </w:rPr>
        <w:t>19</w:t>
      </w:r>
      <w:r>
        <w:rPr>
          <w:rFonts w:ascii="Times New Roman" w:hAnsi="Times New Roman" w:eastAsia="方正仿宋_GBK" w:cs="Times New Roman"/>
          <w:kern w:val="2"/>
          <w:sz w:val="32"/>
          <w:szCs w:val="32"/>
          <w:lang w:val="en-US" w:eastAsia="zh-CN" w:bidi="ar-SA"/>
        </w:rPr>
        <w:t>日</w:t>
      </w:r>
      <w:r>
        <w:rPr>
          <w:rFonts w:hint="eastAsia" w:ascii="Times New Roman" w:hAnsi="Times New Roman" w:eastAsia="方正仿宋_GBK" w:cs="Times New Roman"/>
          <w:kern w:val="2"/>
          <w:sz w:val="32"/>
          <w:szCs w:val="32"/>
          <w:lang w:val="en-US" w:eastAsia="zh-CN" w:bidi="ar-SA"/>
        </w:rPr>
        <w:t xml:space="preserve">       </w:t>
      </w:r>
    </w:p>
    <w:p>
      <w:pPr>
        <w:pageBreakBefore w:val="0"/>
        <w:widowControl w:val="0"/>
        <w:tabs>
          <w:tab w:val="left" w:pos="1890"/>
        </w:tabs>
        <w:kinsoku/>
        <w:wordWrap/>
        <w:overflowPunct/>
        <w:topLinePunct w:val="0"/>
        <w:autoSpaceDE/>
        <w:autoSpaceDN/>
        <w:bidi w:val="0"/>
        <w:snapToGrid w:val="0"/>
        <w:spacing w:line="590" w:lineRule="exact"/>
        <w:textAlignment w:val="auto"/>
        <w:rPr>
          <w:rFonts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 xml:space="preserve">    （此件公开发布）</w:t>
      </w:r>
      <w:r>
        <w:rPr>
          <w:rFonts w:ascii="Times New Roman" w:hAnsi="Times New Roman" w:eastAsia="方正仿宋_GBK" w:cs="Times New Roman"/>
          <w:kern w:val="2"/>
          <w:sz w:val="32"/>
          <w:szCs w:val="32"/>
          <w:lang w:val="en-US" w:eastAsia="zh-CN" w:bidi="ar-SA"/>
        </w:rPr>
        <w:t xml:space="preserve">    </w:t>
      </w:r>
    </w:p>
    <w:p>
      <w:pPr>
        <w:pageBreakBefore w:val="0"/>
        <w:widowControl w:val="0"/>
        <w:tabs>
          <w:tab w:val="left" w:pos="1890"/>
        </w:tabs>
        <w:kinsoku/>
        <w:wordWrap/>
        <w:overflowPunct/>
        <w:topLinePunct w:val="0"/>
        <w:autoSpaceDE/>
        <w:autoSpaceDN/>
        <w:bidi w:val="0"/>
        <w:snapToGrid w:val="0"/>
        <w:spacing w:line="590" w:lineRule="exact"/>
        <w:textAlignment w:val="auto"/>
        <w:rPr>
          <w:rFonts w:ascii="Times New Roman" w:hAnsi="Times New Roman" w:eastAsia="方正仿宋_GBK" w:cs="Times New Roman"/>
          <w:kern w:val="2"/>
          <w:sz w:val="32"/>
          <w:szCs w:val="32"/>
          <w:lang w:val="en-US" w:eastAsia="zh-CN" w:bidi="ar-SA"/>
        </w:rPr>
      </w:pPr>
      <w:r>
        <w:rPr>
          <w:rFonts w:ascii="Times New Roman" w:hAnsi="Times New Roman" w:eastAsia="方正仿宋_GBK" w:cs="Times New Roman"/>
          <w:kern w:val="2"/>
          <w:sz w:val="32"/>
          <w:szCs w:val="32"/>
          <w:lang w:val="en-US" w:eastAsia="zh-CN" w:bidi="ar-SA"/>
        </w:rPr>
        <w:br w:type="page"/>
      </w:r>
    </w:p>
    <w:p>
      <w:pPr>
        <w:pageBreakBefore w:val="0"/>
        <w:widowControl w:val="0"/>
        <w:tabs>
          <w:tab w:val="left" w:pos="1890"/>
        </w:tabs>
        <w:kinsoku/>
        <w:wordWrap/>
        <w:overflowPunct/>
        <w:topLinePunct w:val="0"/>
        <w:autoSpaceDE/>
        <w:autoSpaceDN/>
        <w:bidi w:val="0"/>
        <w:snapToGrid w:val="0"/>
        <w:spacing w:line="590" w:lineRule="exact"/>
        <w:textAlignment w:val="auto"/>
        <w:rPr>
          <w:rFonts w:hint="eastAsia" w:ascii="Times New Roman" w:hAnsi="Times New Roman" w:eastAsia="方正仿宋_GBK" w:cs="Times New Roman"/>
          <w:kern w:val="2"/>
          <w:sz w:val="32"/>
          <w:szCs w:val="32"/>
          <w:lang w:val="en-US" w:eastAsia="zh-CN" w:bidi="ar-SA"/>
        </w:rPr>
      </w:pPr>
    </w:p>
    <w:p>
      <w:pPr>
        <w:pStyle w:val="2"/>
        <w:pageBreakBefore w:val="0"/>
        <w:widowControl w:val="0"/>
        <w:kinsoku/>
        <w:wordWrap/>
        <w:overflowPunct/>
        <w:topLinePunct w:val="0"/>
        <w:autoSpaceDE/>
        <w:autoSpaceDN/>
        <w:bidi w:val="0"/>
        <w:snapToGrid/>
        <w:spacing w:before="0" w:after="0" w:line="590" w:lineRule="exact"/>
        <w:jc w:val="center"/>
        <w:textAlignment w:val="auto"/>
        <w:rPr>
          <w:rFonts w:hint="eastAsia" w:ascii="Times New Roman" w:hAnsi="Times New Roman" w:eastAsia="方正小标宋_GBK" w:cs="方正小标宋_GBK"/>
          <w:b w:val="0"/>
          <w:bCs w:val="0"/>
          <w:lang w:eastAsia="zh-CN"/>
        </w:rPr>
      </w:pPr>
      <w:r>
        <w:rPr>
          <w:rFonts w:hint="eastAsia" w:ascii="Times New Roman" w:hAnsi="Times New Roman" w:eastAsia="方正小标宋_GBK" w:cs="方正小标宋_GBK"/>
          <w:b w:val="0"/>
          <w:bCs w:val="0"/>
        </w:rPr>
        <w:t>重庆市</w:t>
      </w:r>
      <w:r>
        <w:rPr>
          <w:rFonts w:hint="eastAsia" w:ascii="Times New Roman" w:hAnsi="Times New Roman" w:eastAsia="方正小标宋_GBK" w:cs="方正小标宋_GBK"/>
          <w:b w:val="0"/>
          <w:bCs w:val="0"/>
          <w:lang w:eastAsia="zh-CN"/>
        </w:rPr>
        <w:t>“</w:t>
      </w:r>
      <w:r>
        <w:rPr>
          <w:rFonts w:hint="eastAsia" w:ascii="Times New Roman" w:hAnsi="Times New Roman" w:eastAsia="方正小标宋_GBK" w:cs="方正小标宋_GBK"/>
          <w:b w:val="0"/>
          <w:bCs w:val="0"/>
        </w:rPr>
        <w:t>三线一单</w:t>
      </w:r>
      <w:r>
        <w:rPr>
          <w:rFonts w:hint="eastAsia" w:ascii="Times New Roman" w:hAnsi="Times New Roman" w:eastAsia="方正小标宋_GBK" w:cs="方正小标宋_GBK"/>
          <w:b w:val="0"/>
          <w:bCs w:val="0"/>
          <w:lang w:eastAsia="zh-CN"/>
        </w:rPr>
        <w:t>”</w:t>
      </w:r>
    </w:p>
    <w:p>
      <w:pPr>
        <w:pStyle w:val="2"/>
        <w:pageBreakBefore w:val="0"/>
        <w:widowControl w:val="0"/>
        <w:kinsoku/>
        <w:wordWrap/>
        <w:overflowPunct/>
        <w:topLinePunct w:val="0"/>
        <w:autoSpaceDE/>
        <w:autoSpaceDN/>
        <w:bidi w:val="0"/>
        <w:snapToGrid/>
        <w:spacing w:before="0" w:after="0" w:line="590" w:lineRule="exact"/>
        <w:jc w:val="center"/>
        <w:textAlignment w:val="auto"/>
        <w:rPr>
          <w:rFonts w:hint="eastAsia" w:ascii="Times New Roman" w:hAnsi="Times New Roman" w:eastAsia="方正小标宋_GBK" w:cs="方正小标宋_GBK"/>
          <w:b w:val="0"/>
          <w:bCs w:val="0"/>
        </w:rPr>
      </w:pPr>
      <w:r>
        <w:rPr>
          <w:rFonts w:hint="eastAsia" w:ascii="Times New Roman" w:hAnsi="Times New Roman" w:eastAsia="方正小标宋_GBK" w:cs="方正小标宋_GBK"/>
          <w:b w:val="0"/>
          <w:bCs w:val="0"/>
        </w:rPr>
        <w:t>生态环境分区管控调整方案（2023年）</w:t>
      </w:r>
    </w:p>
    <w:p>
      <w:pPr>
        <w:keepNext w:val="0"/>
        <w:keepLines w:val="0"/>
        <w:pageBreakBefore w:val="0"/>
        <w:widowControl w:val="0"/>
        <w:kinsoku/>
        <w:wordWrap/>
        <w:overflowPunct/>
        <w:topLinePunct w:val="0"/>
        <w:autoSpaceDE/>
        <w:autoSpaceDN/>
        <w:bidi w:val="0"/>
        <w:adjustRightInd w:val="0"/>
        <w:snapToGrid/>
        <w:spacing w:line="590" w:lineRule="exact"/>
        <w:ind w:left="0" w:leftChars="0" w:right="0" w:rightChars="0" w:firstLine="640" w:firstLineChars="200"/>
        <w:jc w:val="both"/>
        <w:textAlignment w:val="auto"/>
        <w:outlineLvl w:val="9"/>
        <w:rPr>
          <w:rFonts w:hint="eastAsia" w:ascii="Times New Roman" w:hAnsi="Times New Roman"/>
        </w:rPr>
      </w:pPr>
    </w:p>
    <w:p>
      <w:pPr>
        <w:keepNext w:val="0"/>
        <w:keepLines w:val="0"/>
        <w:pageBreakBefore w:val="0"/>
        <w:widowControl w:val="0"/>
        <w:kinsoku/>
        <w:wordWrap/>
        <w:overflowPunct/>
        <w:topLinePunct w:val="0"/>
        <w:autoSpaceDE/>
        <w:autoSpaceDN/>
        <w:bidi w:val="0"/>
        <w:adjustRightInd w:val="0"/>
        <w:snapToGrid/>
        <w:spacing w:line="590" w:lineRule="exact"/>
        <w:ind w:left="0" w:leftChars="0" w:right="0" w:rightChars="0" w:firstLine="640" w:firstLineChars="200"/>
        <w:jc w:val="both"/>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实施</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三线一单</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生态保护红线、环境质量底线、资源利用上线和生态环境准入清单）生态环境分区管控制度，是新时代贯彻落实习近平生态文明思想、深入打好污染防治攻坚战、加强生态环境源头防控的重要举措。为推动实现生态环境分区域差异化精准管控，结合</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十四五</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相关规划要求，实施我市</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三线一单</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生态环境分区管控成果调整，落实主体功能区战略，衔接国土空间规划和用途管制，建立与高水平保护和高质量发展相适应的</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三线一单</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生态环境分区管控体系。</w:t>
      </w:r>
    </w:p>
    <w:p>
      <w:pPr>
        <w:pStyle w:val="3"/>
        <w:pageBreakBefore w:val="0"/>
        <w:widowControl w:val="0"/>
        <w:kinsoku/>
        <w:wordWrap/>
        <w:overflowPunct/>
        <w:topLinePunct w:val="0"/>
        <w:autoSpaceDE/>
        <w:autoSpaceDN/>
        <w:bidi w:val="0"/>
        <w:snapToGrid/>
        <w:spacing w:beforeLines="0" w:afterLines="0" w:line="590" w:lineRule="exact"/>
        <w:textAlignment w:val="auto"/>
        <w:rPr>
          <w:rFonts w:hint="eastAsia" w:ascii="Times New Roman" w:hAnsi="Times New Roman" w:cs="Times New Roman"/>
        </w:rPr>
      </w:pPr>
      <w:r>
        <w:rPr>
          <w:rFonts w:hint="eastAsia" w:ascii="Times New Roman" w:hAnsi="Times New Roman" w:cs="Times New Roman"/>
        </w:rPr>
        <w:t>一、调整原则</w:t>
      </w:r>
    </w:p>
    <w:p>
      <w:pPr>
        <w:keepNext w:val="0"/>
        <w:keepLines w:val="0"/>
        <w:pageBreakBefore w:val="0"/>
        <w:widowControl w:val="0"/>
        <w:kinsoku/>
        <w:wordWrap/>
        <w:overflowPunct/>
        <w:topLinePunct w:val="0"/>
        <w:autoSpaceDE/>
        <w:autoSpaceDN/>
        <w:bidi w:val="0"/>
        <w:adjustRightInd w:val="0"/>
        <w:snapToGrid/>
        <w:spacing w:line="590" w:lineRule="exact"/>
        <w:ind w:left="0" w:leftChars="0" w:right="0" w:rightChars="0" w:firstLine="640" w:firstLineChars="200"/>
        <w:jc w:val="both"/>
        <w:textAlignment w:val="auto"/>
        <w:outlineLvl w:val="9"/>
        <w:rPr>
          <w:rFonts w:hint="eastAsia" w:ascii="Times New Roman" w:hAnsi="Times New Roman" w:eastAsia="方正仿宋_GBK" w:cs="方正仿宋_GBK"/>
          <w:spacing w:val="-6"/>
        </w:rPr>
      </w:pPr>
      <w:r>
        <w:rPr>
          <w:rStyle w:val="18"/>
          <w:rFonts w:hint="eastAsia" w:ascii="Times New Roman" w:hAnsi="Times New Roman" w:cs="Times New Roman"/>
        </w:rPr>
        <w:t>（一）</w:t>
      </w:r>
      <w:r>
        <w:rPr>
          <w:rStyle w:val="18"/>
          <w:rFonts w:hint="eastAsia" w:ascii="Times New Roman" w:hAnsi="Times New Roman" w:cs="Times New Roman"/>
          <w:spacing w:val="-6"/>
        </w:rPr>
        <w:t>坚持底线约束。</w:t>
      </w:r>
      <w:r>
        <w:rPr>
          <w:rFonts w:hint="eastAsia" w:ascii="Times New Roman" w:hAnsi="Times New Roman" w:eastAsia="方正仿宋_GBK" w:cs="方正仿宋_GBK"/>
          <w:spacing w:val="-6"/>
        </w:rPr>
        <w:t>坚持生态功能不降低、环境质量不下降、资源环境承载能力不突破的底线，落实生态环境分区管控硬约束。</w:t>
      </w:r>
    </w:p>
    <w:p>
      <w:pPr>
        <w:keepNext w:val="0"/>
        <w:keepLines w:val="0"/>
        <w:pageBreakBefore w:val="0"/>
        <w:widowControl w:val="0"/>
        <w:kinsoku/>
        <w:wordWrap/>
        <w:overflowPunct/>
        <w:topLinePunct w:val="0"/>
        <w:autoSpaceDE/>
        <w:autoSpaceDN/>
        <w:bidi w:val="0"/>
        <w:adjustRightInd w:val="0"/>
        <w:snapToGrid/>
        <w:spacing w:line="590" w:lineRule="exact"/>
        <w:ind w:left="0" w:leftChars="0" w:right="0" w:rightChars="0" w:firstLine="640" w:firstLineChars="200"/>
        <w:jc w:val="both"/>
        <w:textAlignment w:val="auto"/>
        <w:outlineLvl w:val="9"/>
        <w:rPr>
          <w:rFonts w:hint="eastAsia" w:ascii="Times New Roman" w:hAnsi="Times New Roman" w:eastAsia="方正仿宋_GBK" w:cs="方正仿宋_GBK"/>
        </w:rPr>
      </w:pPr>
      <w:r>
        <w:rPr>
          <w:rStyle w:val="18"/>
          <w:rFonts w:hint="eastAsia" w:ascii="Times New Roman" w:hAnsi="Times New Roman" w:cs="Times New Roman"/>
        </w:rPr>
        <w:t>（二）强化空间管控。</w:t>
      </w:r>
      <w:r>
        <w:rPr>
          <w:rFonts w:hint="eastAsia" w:ascii="Times New Roman" w:hAnsi="Times New Roman" w:eastAsia="方正仿宋_GBK" w:cs="方正仿宋_GBK"/>
        </w:rPr>
        <w:t>落实</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十四五</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生态环境管理目标，衔接国土空间规划和用途管制，强化生态保护红线、环境质量底线、资源利用上线的生态环境分区管控。</w:t>
      </w:r>
    </w:p>
    <w:p>
      <w:pPr>
        <w:keepNext w:val="0"/>
        <w:keepLines w:val="0"/>
        <w:pageBreakBefore w:val="0"/>
        <w:widowControl w:val="0"/>
        <w:kinsoku/>
        <w:wordWrap/>
        <w:overflowPunct/>
        <w:topLinePunct w:val="0"/>
        <w:autoSpaceDE/>
        <w:autoSpaceDN/>
        <w:bidi w:val="0"/>
        <w:adjustRightInd w:val="0"/>
        <w:snapToGrid/>
        <w:spacing w:line="590" w:lineRule="exact"/>
        <w:ind w:left="0" w:leftChars="0" w:right="0" w:rightChars="0" w:firstLine="640" w:firstLineChars="200"/>
        <w:jc w:val="both"/>
        <w:textAlignment w:val="auto"/>
        <w:outlineLvl w:val="9"/>
        <w:rPr>
          <w:rFonts w:hint="eastAsia" w:ascii="Times New Roman" w:hAnsi="Times New Roman" w:eastAsia="方正仿宋_GBK" w:cs="方正仿宋_GBK"/>
        </w:rPr>
      </w:pPr>
      <w:r>
        <w:rPr>
          <w:rStyle w:val="18"/>
          <w:rFonts w:hint="eastAsia" w:ascii="Times New Roman" w:hAnsi="Times New Roman" w:cs="Times New Roman"/>
        </w:rPr>
        <w:t>（三）突出分类准入。</w:t>
      </w:r>
      <w:r>
        <w:rPr>
          <w:rFonts w:hint="eastAsia" w:ascii="Times New Roman" w:hAnsi="Times New Roman" w:eastAsia="方正仿宋_GBK" w:cs="方正仿宋_GBK"/>
        </w:rPr>
        <w:t>聚焦生态环境特征、目标和问题，从空间布局约束、污染物排放管控、环境风险防控、资源利用效率等维度，差异化调整生态环境准入清单。</w:t>
      </w:r>
    </w:p>
    <w:p>
      <w:pPr>
        <w:pStyle w:val="3"/>
        <w:pageBreakBefore w:val="0"/>
        <w:widowControl w:val="0"/>
        <w:kinsoku/>
        <w:wordWrap/>
        <w:overflowPunct/>
        <w:topLinePunct w:val="0"/>
        <w:autoSpaceDE/>
        <w:autoSpaceDN/>
        <w:bidi w:val="0"/>
        <w:snapToGrid/>
        <w:spacing w:beforeLines="0" w:afterLines="0" w:line="570" w:lineRule="exact"/>
        <w:textAlignment w:val="auto"/>
        <w:rPr>
          <w:rFonts w:hint="eastAsia" w:ascii="Times New Roman" w:hAnsi="Times New Roman" w:cs="Times New Roman"/>
        </w:rPr>
      </w:pPr>
      <w:r>
        <w:rPr>
          <w:rFonts w:hint="eastAsia" w:ascii="Times New Roman" w:hAnsi="Times New Roman" w:cs="Times New Roman"/>
        </w:rPr>
        <w:t>二、调整结果</w:t>
      </w:r>
    </w:p>
    <w:p>
      <w:pPr>
        <w:pStyle w:val="4"/>
        <w:pageBreakBefore w:val="0"/>
        <w:widowControl w:val="0"/>
        <w:kinsoku/>
        <w:wordWrap/>
        <w:overflowPunct/>
        <w:topLinePunct w:val="0"/>
        <w:autoSpaceDE/>
        <w:autoSpaceDN/>
        <w:bidi w:val="0"/>
        <w:snapToGrid/>
        <w:spacing w:beforeLines="0" w:afterLines="0" w:line="570" w:lineRule="exact"/>
        <w:textAlignment w:val="auto"/>
        <w:rPr>
          <w:rFonts w:hint="eastAsia" w:ascii="Times New Roman" w:hAnsi="Times New Roman" w:cs="Times New Roman"/>
        </w:rPr>
      </w:pPr>
      <w:r>
        <w:rPr>
          <w:rFonts w:hint="eastAsia" w:ascii="Times New Roman" w:hAnsi="Times New Roman" w:cs="Times New Roman"/>
        </w:rPr>
        <w:t>（一）环境管控单元调整结果。</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依据生态保护红线、环境质量底线、资源利用上线等调整情况，结合全市经济社会发展和生态环境保护实际，调整优先保护、重点管控、一般管控三类环境管控单元，分区分类实施精细化管控。优先保护单元突出系统性保护，保持空间格局基本稳定，部分单元对生态保护红线予以整合；重点管控单元突出精细化管理，空间格局与环境治理格局相匹配，部分单元根据产业园区和城镇开发边界进行细分；一般管控单元保持基本稳定，为经济社会发展和生态环境保护预留空间。</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调整后，全市国土空间按优先保护、重点管控、一般管控三大类划分为818个环境管控单元。其中，优先保护单元392个，面积占比37.4%；重点管控单元305个，面积占比17.3%；一般管控单元121个，面积占比45.3%。</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主城都市区、渝东北三峡库区城镇群、渝东南武陵山区城镇群优先保护单元面积占比分别为21.3%、44.7%、48.3%，重点管控单元面积占比分别为39.4%、6.8%、3.1%，一般管控单元面积占比分别为39.3%、48.5%、48.6%。</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eastAsia" w:ascii="Times New Roman" w:hAnsi="Times New Roman" w:eastAsia="方正楷体_GBK" w:cs="Times New Roman"/>
        </w:rPr>
        <w:t>（二）生态环境准入清单调整结果。</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生态环境准入清单保持一定的延续性，维持</w:t>
      </w:r>
      <w:r>
        <w:rPr>
          <w:rFonts w:hint="eastAsia" w:ascii="Times New Roman" w:hAnsi="Times New Roman" w:eastAsia="方正仿宋_GBK" w:cs="方正仿宋_GBK"/>
          <w:lang w:eastAsia="zh-CN"/>
        </w:rPr>
        <w:t>“</w:t>
      </w:r>
      <w:r>
        <w:rPr>
          <w:rFonts w:hint="eastAsia" w:ascii="Times New Roman" w:hAnsi="Times New Roman" w:eastAsia="方正仿宋_GBK" w:cs="方正仿宋_GBK"/>
        </w:rPr>
        <w:t>市级总体管控要求—区县总体管控要求—单元管控要求</w:t>
      </w:r>
      <w:r>
        <w:rPr>
          <w:rFonts w:hint="eastAsia" w:ascii="Times New Roman" w:hAnsi="Times New Roman" w:eastAsia="方正仿宋_GBK" w:cs="方正仿宋_GBK"/>
          <w:lang w:eastAsia="zh-CN"/>
        </w:rPr>
        <w:t>”</w:t>
      </w:r>
      <w:r>
        <w:rPr>
          <w:rFonts w:hint="default" w:ascii="Times New Roman" w:hAnsi="Times New Roman" w:eastAsia="方正仿宋_GBK" w:cs="Times New Roman"/>
        </w:rPr>
        <w:t>三个层级框架，坚持目标和问题导向，以区域生态环境质量改善目标为核心，实施差异化管理。主城都市区梯次推动中心城区和主城新区功能互补及同城化发展，强化污染物排放控制和环境风险防控；渝东北三峡库区城镇群突出秦巴山区、三峡库区生态涵养和生物多样性保护，强化水土流失和农业农村污染治理；渝东南武陵山区城镇群突出武陵山区生物多样性维护和生态修复，加强石漠化治理和重金属污染防控。</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eastAsia" w:ascii="Times New Roman" w:hAnsi="Times New Roman" w:eastAsia="方正仿宋_GBK" w:cs="Times New Roman"/>
          <w:bCs/>
          <w:lang w:eastAsia="zh-CN"/>
        </w:rPr>
        <w:t>各区县（自治县）人民政府、两江新区管委会、西部科学城重庆高新区管委会、万盛经开区管委会、</w:t>
      </w:r>
      <w:r>
        <w:rPr>
          <w:rFonts w:hint="default" w:ascii="Times New Roman" w:hAnsi="Times New Roman" w:eastAsia="方正仿宋_GBK" w:cs="Times New Roman"/>
        </w:rPr>
        <w:t>市级有关部门</w:t>
      </w:r>
      <w:r>
        <w:rPr>
          <w:rFonts w:hint="default" w:ascii="Times New Roman" w:hAnsi="Times New Roman" w:eastAsia="方正仿宋_GBK" w:cs="Times New Roman"/>
          <w:lang w:eastAsia="zh-CN"/>
        </w:rPr>
        <w:t>要严</w:t>
      </w:r>
      <w:r>
        <w:rPr>
          <w:rFonts w:hint="default" w:ascii="Times New Roman" w:hAnsi="Times New Roman" w:eastAsia="方正仿宋_GBK" w:cs="Times New Roman"/>
        </w:rPr>
        <w:t>格按照《重庆市人民政府关于落实生态保护红线、环境质量底线、资源利用上线制定生态环境准入清单实施生态环境分区管控的实施意见》（渝府发〔2020〕11号）和本次生态环境分区管控调整结果，深入实施</w:t>
      </w:r>
      <w:r>
        <w:rPr>
          <w:rFonts w:hint="eastAsia" w:ascii="Times New Roman" w:hAnsi="Times New Roman" w:eastAsia="方正仿宋_GBK" w:cs="Times New Roman"/>
          <w:lang w:eastAsia="zh-CN"/>
        </w:rPr>
        <w:t>“</w:t>
      </w:r>
      <w:r>
        <w:rPr>
          <w:rFonts w:hint="default" w:ascii="Times New Roman" w:hAnsi="Times New Roman" w:eastAsia="方正仿宋_GBK" w:cs="Times New Roman"/>
        </w:rPr>
        <w:t>三线一单</w:t>
      </w:r>
      <w:r>
        <w:rPr>
          <w:rFonts w:hint="eastAsia" w:ascii="Times New Roman" w:hAnsi="Times New Roman" w:eastAsia="方正仿宋_GBK" w:cs="Times New Roman"/>
          <w:lang w:eastAsia="zh-CN"/>
        </w:rPr>
        <w:t>”</w:t>
      </w:r>
      <w:r>
        <w:rPr>
          <w:rFonts w:hint="default" w:ascii="Times New Roman" w:hAnsi="Times New Roman" w:eastAsia="方正仿宋_GBK" w:cs="Times New Roman"/>
        </w:rPr>
        <w:t>生态环境分区管控制度，将生态环境分区管控成果充分应用在服务国家和我市重大发展战略实施的全过程，应用在治水、治气、治土、治废、治塑、治山、治岸、治城、治乡等生态环境治理的各方面，应用在政策制定、规划编制、产业布局、工业园区管理、用地审批、项目建设等重要领域，发挥生态环境分区管控的底线约束和决策支持作用，保障我市经济社会绿色低碳高质量发展。</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640" w:firstLineChars="2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附件：1</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重庆市环境管控单元调整结果分布图（2023年）</w:t>
      </w:r>
    </w:p>
    <w:p>
      <w:pPr>
        <w:keepNext w:val="0"/>
        <w:keepLines w:val="0"/>
        <w:pageBreakBefore w:val="0"/>
        <w:widowControl w:val="0"/>
        <w:kinsoku/>
        <w:wordWrap/>
        <w:overflowPunct/>
        <w:topLinePunct w:val="0"/>
        <w:autoSpaceDE/>
        <w:autoSpaceDN/>
        <w:bidi w:val="0"/>
        <w:adjustRightInd w:val="0"/>
        <w:snapToGrid/>
        <w:spacing w:line="570" w:lineRule="exact"/>
        <w:ind w:left="0" w:leftChars="0" w:right="0" w:rightChars="0" w:firstLine="1600" w:firstLineChars="500"/>
        <w:jc w:val="both"/>
        <w:textAlignment w:val="auto"/>
        <w:outlineLvl w:val="9"/>
        <w:rPr>
          <w:rFonts w:hint="default" w:ascii="Times New Roman" w:hAnsi="Times New Roman" w:eastAsia="方正仿宋_GBK" w:cs="Times New Roman"/>
        </w:rPr>
      </w:pPr>
      <w:r>
        <w:rPr>
          <w:rFonts w:hint="default" w:ascii="Times New Roman" w:hAnsi="Times New Roman" w:eastAsia="方正仿宋_GBK" w:cs="Times New Roman"/>
        </w:rPr>
        <w:t>2</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重庆市环境管控单元调整结果统计表（2023年）</w:t>
      </w:r>
    </w:p>
    <w:p>
      <w:pPr>
        <w:keepNext w:val="0"/>
        <w:keepLines w:val="0"/>
        <w:pageBreakBefore w:val="0"/>
        <w:widowControl w:val="0"/>
        <w:tabs>
          <w:tab w:val="left" w:pos="2080"/>
        </w:tabs>
        <w:kinsoku/>
        <w:wordWrap/>
        <w:overflowPunct/>
        <w:topLinePunct w:val="0"/>
        <w:autoSpaceDE/>
        <w:autoSpaceDN/>
        <w:bidi w:val="0"/>
        <w:adjustRightInd w:val="0"/>
        <w:snapToGrid/>
        <w:spacing w:line="570" w:lineRule="exact"/>
        <w:ind w:left="0" w:leftChars="0" w:right="0" w:rightChars="0" w:firstLine="1577" w:firstLineChars="493"/>
        <w:jc w:val="both"/>
        <w:textAlignment w:val="auto"/>
        <w:outlineLvl w:val="9"/>
        <w:rPr>
          <w:rFonts w:hint="default" w:ascii="Times New Roman" w:hAnsi="Times New Roman" w:eastAsia="方正仿宋_GBK" w:cs="Times New Roman"/>
          <w:spacing w:val="-17"/>
        </w:rPr>
      </w:pPr>
      <w:r>
        <w:rPr>
          <w:rFonts w:hint="default" w:ascii="Times New Roman" w:hAnsi="Times New Roman" w:eastAsia="方正仿宋_GBK" w:cs="Times New Roman"/>
        </w:rPr>
        <w:t>3</w:t>
      </w:r>
      <w:r>
        <w:rPr>
          <w:rFonts w:hint="default" w:ascii="Times New Roman" w:hAnsi="Times New Roman" w:eastAsia="方正仿宋_GBK" w:cs="Times New Roman"/>
          <w:lang w:eastAsia="zh-CN"/>
        </w:rPr>
        <w:t>．</w:t>
      </w:r>
      <w:r>
        <w:rPr>
          <w:rFonts w:hint="default" w:ascii="Times New Roman" w:hAnsi="Times New Roman" w:eastAsia="方正仿宋_GBK" w:cs="Times New Roman"/>
          <w:spacing w:val="-11"/>
        </w:rPr>
        <w:t>重庆</w:t>
      </w:r>
      <w:r>
        <w:rPr>
          <w:rFonts w:hint="default" w:ascii="Times New Roman" w:hAnsi="Times New Roman" w:eastAsia="方正仿宋_GBK" w:cs="Times New Roman"/>
          <w:spacing w:val="-17"/>
        </w:rPr>
        <w:t>市生态环境准入清单市级总体管控要求（2023年）</w:t>
      </w:r>
    </w:p>
    <w:p>
      <w:pPr>
        <w:keepNext w:val="0"/>
        <w:keepLines w:val="0"/>
        <w:pageBreakBefore w:val="0"/>
        <w:widowControl w:val="0"/>
        <w:kinsoku/>
        <w:wordWrap/>
        <w:overflowPunct/>
        <w:topLinePunct w:val="0"/>
        <w:autoSpaceDE/>
        <w:autoSpaceDN/>
        <w:bidi w:val="0"/>
        <w:adjustRightInd w:val="0"/>
        <w:snapToGrid/>
        <w:spacing w:line="240" w:lineRule="auto"/>
        <w:ind w:right="0" w:rightChars="0"/>
        <w:jc w:val="both"/>
        <w:textAlignment w:val="auto"/>
        <w:outlineLvl w:val="9"/>
        <w:rPr>
          <w:rFonts w:hint="default" w:ascii="Times New Roman" w:hAnsi="Times New Roman" w:eastAsia="方正黑体_GBK" w:cs="Times New Roman"/>
          <w:lang w:eastAsia="zh-CN"/>
        </w:rPr>
      </w:pPr>
      <w:r>
        <w:rPr>
          <w:rFonts w:hint="default" w:ascii="Times New Roman" w:hAnsi="Times New Roman" w:eastAsia="方正黑体_GBK" w:cs="Times New Roman"/>
          <w:lang w:eastAsia="zh-CN"/>
        </w:rPr>
        <w:br w:type="page"/>
      </w:r>
    </w:p>
    <w:p>
      <w:pPr>
        <w:keepNext w:val="0"/>
        <w:keepLines w:val="0"/>
        <w:pageBreakBefore w:val="0"/>
        <w:widowControl w:val="0"/>
        <w:kinsoku/>
        <w:wordWrap/>
        <w:overflowPunct/>
        <w:topLinePunct w:val="0"/>
        <w:autoSpaceDE/>
        <w:autoSpaceDN/>
        <w:bidi w:val="0"/>
        <w:adjustRightInd w:val="0"/>
        <w:snapToGrid/>
        <w:spacing w:line="240" w:lineRule="auto"/>
        <w:ind w:right="0" w:rightChars="0"/>
        <w:jc w:val="both"/>
        <w:textAlignment w:val="auto"/>
        <w:outlineLvl w:val="9"/>
        <w:rPr>
          <w:rFonts w:hint="eastAsia" w:ascii="Times New Roman" w:hAnsi="Times New Roman" w:eastAsia="方正黑体_GBK" w:cs="方正黑体_GBK"/>
        </w:rPr>
      </w:pPr>
      <w:r>
        <w:rPr>
          <w:rFonts w:hint="default" w:ascii="Times New Roman" w:hAnsi="Times New Roman" w:eastAsia="方正黑体_GBK" w:cs="Times New Roman"/>
        </w:rPr>
        <w:t>附件1</w:t>
      </w:r>
    </w:p>
    <w:p>
      <w:pPr>
        <w:pStyle w:val="2"/>
        <w:rPr>
          <w:rFonts w:hint="eastAsia" w:ascii="Times New Roman" w:hAnsi="Times New Roman" w:cs="Times New Roman"/>
        </w:rPr>
      </w:pPr>
      <w:r>
        <w:rPr>
          <w:rFonts w:ascii="Times New Roman" w:hAnsi="Times New Roman" w:cs="Times New Roman"/>
          <w:color w:val="auto"/>
        </w:rPr>
        <w:drawing>
          <wp:anchor distT="0" distB="0" distL="114300" distR="114300" simplePos="0" relativeHeight="251658240" behindDoc="1" locked="0" layoutInCell="1" allowOverlap="1">
            <wp:simplePos x="0" y="0"/>
            <wp:positionH relativeFrom="page">
              <wp:posOffset>1005840</wp:posOffset>
            </wp:positionH>
            <wp:positionV relativeFrom="page">
              <wp:posOffset>2030095</wp:posOffset>
            </wp:positionV>
            <wp:extent cx="5573395" cy="3940810"/>
            <wp:effectExtent l="0" t="0" r="8255" b="2540"/>
            <wp:wrapNone/>
            <wp:docPr id="1" name="图片 2" descr="39 重庆市环境管控单元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39 重庆市环境管控单元图11"/>
                    <pic:cNvPicPr>
                      <a:picLocks noChangeAspect="1"/>
                    </pic:cNvPicPr>
                  </pic:nvPicPr>
                  <pic:blipFill>
                    <a:blip r:embed="rId8"/>
                    <a:stretch>
                      <a:fillRect/>
                    </a:stretch>
                  </pic:blipFill>
                  <pic:spPr>
                    <a:xfrm>
                      <a:off x="0" y="0"/>
                      <a:ext cx="5486400" cy="3879215"/>
                    </a:xfrm>
                    <a:prstGeom prst="rect">
                      <a:avLst/>
                    </a:prstGeom>
                    <a:noFill/>
                    <a:ln w="9525">
                      <a:noFill/>
                      <a:miter/>
                    </a:ln>
                    <a:effectLst/>
                  </pic:spPr>
                </pic:pic>
              </a:graphicData>
            </a:graphic>
          </wp:anchor>
        </w:drawing>
      </w:r>
    </w:p>
    <w:p>
      <w:pPr>
        <w:rPr>
          <w:rFonts w:hint="eastAsia" w:ascii="Times New Roman" w:hAnsi="Times New Roman"/>
        </w:rPr>
      </w:pPr>
    </w:p>
    <w:p>
      <w:pPr>
        <w:pStyle w:val="2"/>
        <w:rPr>
          <w:rFonts w:hint="eastAsia" w:ascii="Times New Roman" w:hAnsi="Times New Roman" w:cs="Times New Roman"/>
        </w:rPr>
      </w:pPr>
    </w:p>
    <w:p>
      <w:pPr>
        <w:rPr>
          <w:rFonts w:hint="eastAsia" w:ascii="Times New Roman" w:hAnsi="Times New Roman"/>
        </w:rPr>
      </w:pPr>
    </w:p>
    <w:p>
      <w:pPr>
        <w:pStyle w:val="2"/>
        <w:rPr>
          <w:rFonts w:hint="eastAsia" w:ascii="Times New Roman" w:hAnsi="Times New Roman" w:cs="Times New Roman"/>
        </w:rPr>
      </w:pPr>
    </w:p>
    <w:p>
      <w:pPr>
        <w:rPr>
          <w:rFonts w:hint="eastAsia" w:ascii="Times New Roman" w:hAnsi="Times New Roman"/>
        </w:rPr>
      </w:pPr>
    </w:p>
    <w:p>
      <w:pPr>
        <w:pStyle w:val="2"/>
        <w:rPr>
          <w:rFonts w:hint="eastAsia" w:ascii="Times New Roman" w:hAnsi="Times New Roman" w:cs="Times New Roman"/>
        </w:rPr>
      </w:pPr>
    </w:p>
    <w:p>
      <w:pPr>
        <w:rPr>
          <w:rFonts w:hint="eastAsia" w:ascii="Times New Roman" w:hAnsi="Times New Roman"/>
        </w:rPr>
      </w:pPr>
    </w:p>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640" w:firstLineChars="200"/>
        <w:jc w:val="both"/>
        <w:textAlignment w:val="auto"/>
        <w:outlineLvl w:val="9"/>
        <w:rPr>
          <w:rFonts w:hint="eastAsia" w:ascii="Times New Roman" w:hAnsi="Times New Roma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Times New Roman" w:hAnsi="Times New Roman" w:eastAsia="方正黑体_GBK" w:cs="方正黑体_GBK"/>
        </w:rPr>
      </w:pPr>
      <w:r>
        <w:rPr>
          <w:rFonts w:hint="eastAsia" w:ascii="Times New Roman" w:hAnsi="Times New Roman" w:cs="Times New Roman"/>
        </w:rPr>
        <w:br w:type="page"/>
      </w:r>
      <w:r>
        <w:rPr>
          <w:rFonts w:hint="eastAsia" w:ascii="Times New Roman" w:hAnsi="Times New Roman" w:eastAsia="方正黑体_GBK" w:cs="方正黑体_GBK"/>
        </w:rPr>
        <w:t>附件2</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Times New Roman" w:hAnsi="Times New Roman"/>
          <w:sz w:val="18"/>
          <w:szCs w:val="15"/>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重庆市环境管控单元调整结果统计表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楷体_GBK" w:cs="方正楷体_GBK"/>
        </w:rPr>
      </w:pPr>
      <w:r>
        <w:rPr>
          <w:rFonts w:hint="eastAsia" w:ascii="Times New Roman" w:hAnsi="Times New Roman" w:eastAsia="方正楷体_GBK" w:cs="方正楷体_GBK"/>
        </w:rPr>
        <w:t>（2023年）</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Times New Roman" w:hAnsi="Times New Roman"/>
          <w:sz w:val="6"/>
          <w:szCs w:val="2"/>
        </w:rPr>
      </w:pPr>
    </w:p>
    <w:tbl>
      <w:tblPr>
        <w:tblStyle w:val="16"/>
        <w:tblW w:w="9014"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694"/>
        <w:gridCol w:w="2719"/>
        <w:gridCol w:w="700"/>
        <w:gridCol w:w="1281"/>
        <w:gridCol w:w="663"/>
        <w:gridCol w:w="1137"/>
        <w:gridCol w:w="688"/>
        <w:gridCol w:w="11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694" w:type="dxa"/>
            <w:vMerge w:val="restart"/>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序号</w:t>
            </w:r>
          </w:p>
        </w:tc>
        <w:tc>
          <w:tcPr>
            <w:tcW w:w="2719" w:type="dxa"/>
            <w:vMerge w:val="restart"/>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区</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县</w:t>
            </w:r>
          </w:p>
        </w:tc>
        <w:tc>
          <w:tcPr>
            <w:tcW w:w="1981" w:type="dxa"/>
            <w:gridSpan w:val="2"/>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优先保护单元</w:t>
            </w:r>
          </w:p>
        </w:tc>
        <w:tc>
          <w:tcPr>
            <w:tcW w:w="1800" w:type="dxa"/>
            <w:gridSpan w:val="2"/>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重点管控单元</w:t>
            </w:r>
          </w:p>
        </w:tc>
        <w:tc>
          <w:tcPr>
            <w:tcW w:w="1820" w:type="dxa"/>
            <w:gridSpan w:val="2"/>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一般管控单元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694"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p>
        </w:tc>
        <w:tc>
          <w:tcPr>
            <w:tcW w:w="2719"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黑体_GBK" w:cs="方正黑体_GBK"/>
                <w:sz w:val="24"/>
                <w:szCs w:val="24"/>
              </w:rPr>
            </w:pP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个数</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面积占比</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个数</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面积占比</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个数</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面积占比</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万州区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42.3</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19.2</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38.5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涪陵区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29.0</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52.8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渝中区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97.3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大渡口区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18.1</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81.9</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江北区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16.1</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83.9</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沙坪坝区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29.2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70.8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九龙坡区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19.6</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80.4</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南岸区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24.1</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75.9</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北碚区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31.0</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36.0</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33.0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綦江区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21.1</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25.3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大足区（含双桥经开区）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17.4</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46.0</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36.6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12</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渝北区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35.0</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50.8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巴南区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20.7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38.2</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41.1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黔江区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12</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53.7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长寿区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30.2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32.4</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37.4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江津区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29.4</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23.0</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合川区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75.5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永川区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18.4</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64.2</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19</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南川区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27.2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48.7</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24.1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20</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璧山区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24.9</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59.1</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21</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铜梁区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48.5</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35.8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22</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潼南区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5.1</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48.1</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46.8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23</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荣昌区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33.5</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53.3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24</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开州区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46.6</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13.7</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25</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梁平区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19.9</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6.5</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26</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武隆区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42.0</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27</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万盛经开区</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26.3</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50.4</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23.3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28</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城口县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68.2</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0.4</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31.4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29</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丰都县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35.7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30</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垫江县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17.9</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16.0</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66.1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31</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忠</w:t>
            </w:r>
            <w:r>
              <w:rPr>
                <w:rFonts w:hint="eastAsia" w:ascii="Times New Roman" w:hAnsi="Times New Roman" w:eastAsia="方正仿宋_GBK" w:cs="方正仿宋_GBK"/>
                <w:sz w:val="24"/>
                <w:szCs w:val="24"/>
                <w:lang w:val="en-US" w:eastAsia="zh-CN"/>
              </w:rPr>
              <w:t xml:space="preserve">  </w:t>
            </w:r>
            <w:r>
              <w:rPr>
                <w:rFonts w:hint="eastAsia" w:ascii="Times New Roman" w:hAnsi="Times New Roman" w:eastAsia="方正仿宋_GBK" w:cs="方正仿宋_GBK"/>
                <w:sz w:val="24"/>
                <w:szCs w:val="24"/>
              </w:rPr>
              <w:t>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17.9</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2.1</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80.0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32</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云阳县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43.3</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55.4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33</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奉节县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51.5</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1.5</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47.0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34</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巫山县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13</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50.7</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0.9</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35</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巫溪县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58.4</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0.5</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41.1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36</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石柱县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11</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44.3</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7.2</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37</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秀山县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9</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40.3</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6</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57.9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38</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酉阳县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14</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50.9</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7</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48.3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694"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39</w:t>
            </w:r>
          </w:p>
        </w:tc>
        <w:tc>
          <w:tcPr>
            <w:tcW w:w="2719"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彭水县</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10</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54.6</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0.8</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5</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44.6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3413" w:type="dxa"/>
            <w:gridSpan w:val="2"/>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全市合计</w:t>
            </w:r>
          </w:p>
        </w:tc>
        <w:tc>
          <w:tcPr>
            <w:tcW w:w="700"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392</w:t>
            </w:r>
          </w:p>
        </w:tc>
        <w:tc>
          <w:tcPr>
            <w:tcW w:w="128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37.4</w:t>
            </w:r>
          </w:p>
        </w:tc>
        <w:tc>
          <w:tcPr>
            <w:tcW w:w="663"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305</w:t>
            </w:r>
          </w:p>
        </w:tc>
        <w:tc>
          <w:tcPr>
            <w:tcW w:w="113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17.3</w:t>
            </w:r>
          </w:p>
        </w:tc>
        <w:tc>
          <w:tcPr>
            <w:tcW w:w="688"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121</w:t>
            </w:r>
          </w:p>
        </w:tc>
        <w:tc>
          <w:tcPr>
            <w:tcW w:w="113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45.3</w:t>
            </w:r>
          </w:p>
        </w:tc>
      </w:tr>
    </w:tbl>
    <w:p>
      <w:pPr>
        <w:keepNext w:val="0"/>
        <w:keepLines w:val="0"/>
        <w:pageBreakBefore w:val="0"/>
        <w:widowControl w:val="0"/>
        <w:kinsoku/>
        <w:wordWrap/>
        <w:overflowPunct/>
        <w:topLinePunct w:val="0"/>
        <w:autoSpaceDE/>
        <w:autoSpaceDN/>
        <w:bidi w:val="0"/>
        <w:adjustRightInd/>
        <w:snapToGrid w:val="0"/>
        <w:spacing w:before="60" w:beforeLines="10"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黑体_GBK" w:cs="方正黑体_GBK"/>
          <w:sz w:val="24"/>
          <w:szCs w:val="24"/>
        </w:rPr>
        <w:t>注：</w:t>
      </w:r>
      <w:r>
        <w:rPr>
          <w:rFonts w:hint="eastAsia" w:ascii="Times New Roman" w:hAnsi="Times New Roman" w:eastAsia="方正仿宋_GBK" w:cs="方正仿宋_GBK"/>
          <w:sz w:val="24"/>
          <w:szCs w:val="24"/>
        </w:rPr>
        <w:t>1</w:t>
      </w:r>
      <w:r>
        <w:rPr>
          <w:rFonts w:hint="eastAsia" w:ascii="Times New Roman" w:hAnsi="Times New Roman" w:eastAsia="方正仿宋_GBK" w:cs="方正仿宋_GBK"/>
          <w:sz w:val="24"/>
          <w:szCs w:val="24"/>
          <w:lang w:eastAsia="zh-CN"/>
        </w:rPr>
        <w:t>．</w:t>
      </w:r>
      <w:r>
        <w:rPr>
          <w:rFonts w:hint="eastAsia" w:ascii="Times New Roman" w:hAnsi="Times New Roman" w:eastAsia="方正仿宋_GBK" w:cs="方正仿宋_GBK"/>
          <w:sz w:val="24"/>
          <w:szCs w:val="24"/>
        </w:rPr>
        <w:t>全市环境管控单元总数为818个。</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2</w:t>
      </w:r>
      <w:r>
        <w:rPr>
          <w:rFonts w:hint="eastAsia" w:ascii="Times New Roman" w:hAnsi="Times New Roman" w:eastAsia="方正仿宋_GBK" w:cs="方正仿宋_GBK"/>
          <w:sz w:val="24"/>
          <w:szCs w:val="24"/>
          <w:lang w:eastAsia="zh-CN"/>
        </w:rPr>
        <w:t>．</w:t>
      </w:r>
      <w:r>
        <w:rPr>
          <w:rFonts w:hint="eastAsia" w:ascii="Times New Roman" w:hAnsi="Times New Roman" w:eastAsia="方正仿宋_GBK" w:cs="方正仿宋_GBK"/>
          <w:sz w:val="24"/>
          <w:szCs w:val="24"/>
        </w:rPr>
        <w:t>区县顺序按照行政区代码排序。</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textAlignment w:val="auto"/>
        <w:rPr>
          <w:rFonts w:hint="eastAsia" w:ascii="Times New Roman" w:hAnsi="Times New Roman"/>
          <w:sz w:val="24"/>
          <w:szCs w:val="24"/>
        </w:rPr>
      </w:pPr>
      <w:r>
        <w:rPr>
          <w:rFonts w:hint="eastAsia" w:ascii="Times New Roman" w:hAnsi="Times New Roman" w:cs="Times New Roman"/>
        </w:rPr>
        <w:br w:type="page"/>
      </w:r>
      <w:r>
        <w:rPr>
          <w:rFonts w:hint="eastAsia" w:ascii="Times New Roman" w:hAnsi="Times New Roman" w:eastAsia="方正黑体_GBK" w:cs="方正黑体_GBK"/>
        </w:rPr>
        <w:t>附件3</w:t>
      </w:r>
    </w:p>
    <w:p>
      <w:pPr>
        <w:keepNext w:val="0"/>
        <w:keepLines w:val="0"/>
        <w:pageBreakBefore w:val="0"/>
        <w:widowControl w:val="0"/>
        <w:kinsoku/>
        <w:wordWrap/>
        <w:overflowPunct/>
        <w:topLinePunct w:val="0"/>
        <w:autoSpaceDE/>
        <w:autoSpaceDN/>
        <w:bidi w:val="0"/>
        <w:adjustRightInd/>
        <w:snapToGrid w:val="0"/>
        <w:spacing w:before="176" w:beforeLines="30" w:line="240" w:lineRule="auto"/>
        <w:ind w:left="0" w:leftChars="0" w:right="0" w:rightChars="0" w:firstLine="0" w:firstLineChars="0"/>
        <w:jc w:val="center"/>
        <w:textAlignment w:val="auto"/>
        <w:outlineLvl w:val="9"/>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重庆市生态环境准入清单市级总体管控要求</w:t>
      </w:r>
    </w:p>
    <w:p>
      <w:pPr>
        <w:keepNext w:val="0"/>
        <w:keepLines w:val="0"/>
        <w:pageBreakBefore w:val="0"/>
        <w:widowControl w:val="0"/>
        <w:kinsoku/>
        <w:wordWrap/>
        <w:overflowPunct/>
        <w:topLinePunct w:val="0"/>
        <w:autoSpaceDE/>
        <w:autoSpaceDN/>
        <w:bidi w:val="0"/>
        <w:adjustRightInd/>
        <w:snapToGrid w:val="0"/>
        <w:spacing w:after="176" w:afterLines="30" w:line="240" w:lineRule="auto"/>
        <w:ind w:left="0" w:leftChars="0" w:right="0" w:rightChars="0" w:firstLine="0" w:firstLineChars="0"/>
        <w:jc w:val="center"/>
        <w:textAlignment w:val="auto"/>
        <w:outlineLvl w:val="9"/>
        <w:rPr>
          <w:rFonts w:ascii="Times New Roman" w:hAnsi="Times New Roman"/>
          <w:sz w:val="24"/>
          <w:szCs w:val="24"/>
        </w:rPr>
      </w:pPr>
      <w:r>
        <w:rPr>
          <w:rFonts w:hint="eastAsia" w:ascii="Times New Roman" w:hAnsi="Times New Roman" w:eastAsia="方正仿宋_GBK" w:cs="方正仿宋_GBK"/>
          <w:sz w:val="32"/>
          <w:szCs w:val="32"/>
        </w:rPr>
        <w:t>（2023年）</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方正黑体_GBK" w:cs="方正黑体_GBK"/>
          <w:b w:val="0"/>
          <w:bCs w:val="0"/>
          <w:sz w:val="32"/>
          <w:szCs w:val="32"/>
        </w:rPr>
      </w:pPr>
      <w:r>
        <w:rPr>
          <w:rFonts w:hint="eastAsia" w:ascii="Times New Roman" w:hAnsi="Times New Roman" w:eastAsia="方正黑体_GBK" w:cs="方正黑体_GBK"/>
          <w:b w:val="0"/>
          <w:bCs w:val="0"/>
          <w:sz w:val="32"/>
          <w:szCs w:val="32"/>
        </w:rPr>
        <w:t xml:space="preserve">表1 </w:t>
      </w:r>
      <w:r>
        <w:rPr>
          <w:rFonts w:hint="eastAsia" w:ascii="Times New Roman" w:hAnsi="Times New Roman" w:eastAsia="方正黑体_GBK" w:cs="方正黑体_GBK"/>
          <w:b w:val="0"/>
          <w:bCs w:val="0"/>
          <w:sz w:val="32"/>
          <w:szCs w:val="32"/>
          <w:lang w:val="en-US" w:eastAsia="zh-CN"/>
        </w:rPr>
        <w:t xml:space="preserve"> </w:t>
      </w:r>
      <w:r>
        <w:rPr>
          <w:rFonts w:hint="eastAsia" w:ascii="Times New Roman" w:hAnsi="Times New Roman" w:eastAsia="方正黑体_GBK" w:cs="方正黑体_GBK"/>
          <w:b w:val="0"/>
          <w:bCs w:val="0"/>
          <w:sz w:val="32"/>
          <w:szCs w:val="32"/>
        </w:rPr>
        <w:t>优先保护单元市级总体管控要求表</w:t>
      </w:r>
    </w:p>
    <w:tbl>
      <w:tblPr>
        <w:tblStyle w:val="16"/>
        <w:tblW w:w="9014"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2487"/>
        <w:gridCol w:w="1166"/>
        <w:gridCol w:w="536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blHeader/>
        </w:trPr>
        <w:tc>
          <w:tcPr>
            <w:tcW w:w="248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方正黑体_GBK" w:cs="方正黑体_GBK"/>
                <w:b w:val="0"/>
                <w:bCs w:val="0"/>
                <w:sz w:val="24"/>
                <w:szCs w:val="24"/>
              </w:rPr>
            </w:pPr>
            <w:r>
              <w:rPr>
                <w:rFonts w:hint="eastAsia" w:ascii="Times New Roman" w:hAnsi="Times New Roman" w:eastAsia="方正黑体_GBK" w:cs="方正黑体_GBK"/>
                <w:b w:val="0"/>
                <w:bCs w:val="0"/>
                <w:sz w:val="24"/>
                <w:szCs w:val="24"/>
              </w:rPr>
              <w:t>类</w:t>
            </w:r>
            <w:r>
              <w:rPr>
                <w:rFonts w:hint="eastAsia" w:ascii="Times New Roman" w:hAnsi="Times New Roman" w:eastAsia="方正黑体_GBK" w:cs="方正黑体_GBK"/>
                <w:b w:val="0"/>
                <w:bCs w:val="0"/>
                <w:sz w:val="24"/>
                <w:szCs w:val="24"/>
                <w:lang w:val="en-US" w:eastAsia="zh-CN"/>
              </w:rPr>
              <w:t xml:space="preserve">    </w:t>
            </w:r>
            <w:r>
              <w:rPr>
                <w:rFonts w:hint="eastAsia" w:ascii="Times New Roman" w:hAnsi="Times New Roman" w:eastAsia="方正黑体_GBK" w:cs="方正黑体_GBK"/>
                <w:b w:val="0"/>
                <w:bCs w:val="0"/>
                <w:sz w:val="24"/>
                <w:szCs w:val="24"/>
              </w:rPr>
              <w:t>别</w:t>
            </w:r>
          </w:p>
        </w:tc>
        <w:tc>
          <w:tcPr>
            <w:tcW w:w="1166"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方正黑体_GBK" w:cs="方正黑体_GBK"/>
                <w:b w:val="0"/>
                <w:bCs w:val="0"/>
                <w:sz w:val="24"/>
                <w:szCs w:val="24"/>
              </w:rPr>
            </w:pPr>
            <w:r>
              <w:rPr>
                <w:rFonts w:hint="eastAsia" w:ascii="Times New Roman" w:hAnsi="Times New Roman" w:eastAsia="方正黑体_GBK" w:cs="方正黑体_GBK"/>
                <w:b w:val="0"/>
                <w:bCs w:val="0"/>
                <w:sz w:val="24"/>
                <w:szCs w:val="24"/>
              </w:rPr>
              <w:t>管控类型</w:t>
            </w:r>
          </w:p>
        </w:tc>
        <w:tc>
          <w:tcPr>
            <w:tcW w:w="5361"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方正黑体_GBK" w:cs="方正黑体_GBK"/>
                <w:b w:val="0"/>
                <w:bCs w:val="0"/>
                <w:sz w:val="24"/>
                <w:szCs w:val="24"/>
              </w:rPr>
            </w:pPr>
            <w:r>
              <w:rPr>
                <w:rFonts w:hint="eastAsia" w:ascii="Times New Roman" w:hAnsi="Times New Roman" w:eastAsia="方正黑体_GBK" w:cs="方正黑体_GBK"/>
                <w:b w:val="0"/>
                <w:bCs w:val="0"/>
                <w:sz w:val="24"/>
                <w:szCs w:val="24"/>
              </w:rPr>
              <w:t>管</w:t>
            </w:r>
            <w:r>
              <w:rPr>
                <w:rFonts w:hint="eastAsia" w:ascii="Times New Roman" w:hAnsi="Times New Roman" w:eastAsia="方正黑体_GBK" w:cs="方正黑体_GBK"/>
                <w:b w:val="0"/>
                <w:bCs w:val="0"/>
                <w:sz w:val="24"/>
                <w:szCs w:val="24"/>
                <w:lang w:val="en-US" w:eastAsia="zh-CN"/>
              </w:rPr>
              <w:t xml:space="preserve">  </w:t>
            </w:r>
            <w:r>
              <w:rPr>
                <w:rFonts w:hint="eastAsia" w:ascii="Times New Roman" w:hAnsi="Times New Roman" w:eastAsia="方正黑体_GBK" w:cs="方正黑体_GBK"/>
                <w:b w:val="0"/>
                <w:bCs w:val="0"/>
                <w:sz w:val="24"/>
                <w:szCs w:val="24"/>
              </w:rPr>
              <w:t>控</w:t>
            </w:r>
            <w:r>
              <w:rPr>
                <w:rFonts w:hint="eastAsia" w:ascii="Times New Roman" w:hAnsi="Times New Roman" w:eastAsia="方正黑体_GBK" w:cs="方正黑体_GBK"/>
                <w:b w:val="0"/>
                <w:bCs w:val="0"/>
                <w:sz w:val="24"/>
                <w:szCs w:val="24"/>
                <w:lang w:val="en-US" w:eastAsia="zh-CN"/>
              </w:rPr>
              <w:t xml:space="preserve">  </w:t>
            </w:r>
            <w:r>
              <w:rPr>
                <w:rFonts w:hint="eastAsia" w:ascii="Times New Roman" w:hAnsi="Times New Roman" w:eastAsia="方正黑体_GBK" w:cs="方正黑体_GBK"/>
                <w:b w:val="0"/>
                <w:bCs w:val="0"/>
                <w:sz w:val="24"/>
                <w:szCs w:val="24"/>
              </w:rPr>
              <w:t>要</w:t>
            </w:r>
            <w:r>
              <w:rPr>
                <w:rFonts w:hint="eastAsia" w:ascii="Times New Roman" w:hAnsi="Times New Roman" w:eastAsia="方正黑体_GBK" w:cs="方正黑体_GBK"/>
                <w:b w:val="0"/>
                <w:bCs w:val="0"/>
                <w:sz w:val="24"/>
                <w:szCs w:val="24"/>
                <w:lang w:val="en-US" w:eastAsia="zh-CN"/>
              </w:rPr>
              <w:t xml:space="preserve">  </w:t>
            </w:r>
            <w:r>
              <w:rPr>
                <w:rFonts w:hint="eastAsia" w:ascii="Times New Roman" w:hAnsi="Times New Roman" w:eastAsia="方正黑体_GBK" w:cs="方正黑体_GBK"/>
                <w:b w:val="0"/>
                <w:bCs w:val="0"/>
                <w:sz w:val="24"/>
                <w:szCs w:val="24"/>
              </w:rPr>
              <w:t>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饮用水水源地保护区</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严格执行《中华人民共和国水污染防治法》《重庆</w:t>
            </w:r>
            <w:r>
              <w:rPr>
                <w:rFonts w:hint="eastAsia" w:ascii="Times New Roman" w:hAnsi="Times New Roman" w:eastAsia="方正仿宋_GBK" w:cs="方正仿宋_GBK"/>
                <w:spacing w:val="-6"/>
                <w:sz w:val="24"/>
                <w:szCs w:val="24"/>
              </w:rPr>
              <w:t>市水污染防治条例》等法律法规及规范性文件要求</w:t>
            </w:r>
            <w:r>
              <w:rPr>
                <w:rFonts w:hint="eastAsia" w:ascii="Times New Roman" w:hAnsi="Times New Roman" w:eastAsia="方正仿宋_GBK" w:cs="方正仿宋_GBK"/>
                <w:sz w:val="24"/>
                <w:szCs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自然保护区</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严格执行《中华人民共和国自然保护区条例》等法律法规及规范性文件要求。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森林公园</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pacing w:val="-5"/>
                <w:sz w:val="24"/>
                <w:szCs w:val="24"/>
              </w:rPr>
            </w:pPr>
            <w:r>
              <w:rPr>
                <w:rFonts w:hint="eastAsia" w:ascii="Times New Roman" w:hAnsi="Times New Roman" w:eastAsia="方正仿宋_GBK" w:cs="方正仿宋_GBK"/>
                <w:spacing w:val="-5"/>
                <w:sz w:val="24"/>
                <w:szCs w:val="24"/>
              </w:rPr>
              <w:t>严格执行《中华人民共和国森林法》《国家级自然公园管理办法（试行）》等法律法规及规范性文件要求。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湿地公园</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pacing w:val="-5"/>
                <w:sz w:val="24"/>
                <w:szCs w:val="24"/>
              </w:rPr>
            </w:pPr>
            <w:r>
              <w:rPr>
                <w:rFonts w:hint="eastAsia" w:ascii="Times New Roman" w:hAnsi="Times New Roman" w:eastAsia="方正仿宋_GBK" w:cs="方正仿宋_GBK"/>
                <w:spacing w:val="-7"/>
                <w:sz w:val="24"/>
                <w:szCs w:val="24"/>
              </w:rPr>
              <w:t>严格执行《中华人民共和国湿地保护法》《国家级自然公园管理办法（试行）》《国家湿地公园管理办法》《重庆市湿地保护条例》等法律法规及规范性文件要求。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地质公园</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严格执行《国家级自然公园管理办法（试行）》等地质公园相关规范性文件要求。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生态保护红线</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严格执行《关于在国土空间规划中统筹划定落实三</w:t>
            </w:r>
            <w:r>
              <w:rPr>
                <w:rFonts w:hint="eastAsia" w:ascii="Times New Roman" w:hAnsi="Times New Roman" w:eastAsia="方正仿宋_GBK" w:cs="方正仿宋_GBK"/>
                <w:spacing w:val="-3"/>
                <w:sz w:val="24"/>
                <w:szCs w:val="24"/>
              </w:rPr>
              <w:t>条控制线的指导意见》《关于加强生态保护红线管理</w:t>
            </w:r>
            <w:r>
              <w:rPr>
                <w:rFonts w:hint="eastAsia" w:ascii="Times New Roman" w:hAnsi="Times New Roman" w:eastAsia="方正仿宋_GBK" w:cs="方正仿宋_GBK"/>
                <w:sz w:val="24"/>
                <w:szCs w:val="24"/>
              </w:rPr>
              <w:t>的通知（试行）》《关于加强生态保护红线实施管理的通知》等法律法规及规范性文件要求。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风景名胜区</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pacing w:val="-2"/>
                <w:sz w:val="24"/>
                <w:szCs w:val="24"/>
              </w:rPr>
              <w:t>严格执行《风景名胜区条例》《重庆市风景名胜区条</w:t>
            </w:r>
            <w:r>
              <w:rPr>
                <w:rFonts w:hint="eastAsia" w:ascii="Times New Roman" w:hAnsi="Times New Roman" w:eastAsia="方正仿宋_GBK" w:cs="方正仿宋_GBK"/>
                <w:sz w:val="24"/>
                <w:szCs w:val="24"/>
              </w:rPr>
              <w:t>例》等法律法规及规范性文件要求。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0" w:hRule="atLeast"/>
        </w:trPr>
        <w:tc>
          <w:tcPr>
            <w:tcW w:w="2487"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一般生态空间（水源涵养功能区、水土保持功能区、生物多样性维护功能区、水土流失敏感区、石漠化敏感区）</w:t>
            </w:r>
          </w:p>
        </w:tc>
        <w:tc>
          <w:tcPr>
            <w:tcW w:w="1166"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空间布局约束</w:t>
            </w:r>
          </w:p>
        </w:tc>
        <w:tc>
          <w:tcPr>
            <w:tcW w:w="5361" w:type="dxa"/>
            <w:tcMar>
              <w:top w:w="57" w:type="dxa"/>
              <w:left w:w="85" w:type="dxa"/>
              <w:bottom w:w="85"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严格控制开发建设活动范围和强度，落实生态修复相关要求，确保生态系统结构稳定和生态功能不退化。</w:t>
            </w:r>
          </w:p>
        </w:tc>
      </w:tr>
    </w:tbl>
    <w:p>
      <w:pPr>
        <w:keepNext w:val="0"/>
        <w:keepLines w:val="0"/>
        <w:pageBreakBefore w:val="0"/>
        <w:widowControl w:val="0"/>
        <w:kinsoku/>
        <w:wordWrap/>
        <w:overflowPunct/>
        <w:topLinePunct w:val="0"/>
        <w:autoSpaceDE/>
        <w:autoSpaceDN/>
        <w:bidi w:val="0"/>
        <w:adjustRightInd/>
        <w:snapToGrid w:val="0"/>
        <w:spacing w:before="60" w:beforeLines="10" w:line="240" w:lineRule="auto"/>
        <w:ind w:left="0" w:leftChars="0" w:right="0" w:rightChars="0" w:firstLine="0" w:firstLineChars="0"/>
        <w:jc w:val="both"/>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lang w:val="en-US" w:eastAsia="zh-CN"/>
        </w:rPr>
        <w:t>*</w:t>
      </w:r>
      <w:r>
        <w:rPr>
          <w:rFonts w:hint="default" w:ascii="Times New Roman" w:hAnsi="Times New Roman" w:eastAsia="方正仿宋_GBK" w:cs="Times New Roman"/>
          <w:sz w:val="24"/>
          <w:szCs w:val="24"/>
        </w:rPr>
        <w:t>法律法规和规范性文件有新要求的，具体管控要求依照新规定执行。</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 xml:space="preserve">表2 </w:t>
      </w:r>
      <w:r>
        <w:rPr>
          <w:rFonts w:hint="eastAsia" w:ascii="Times New Roman" w:hAnsi="Times New Roman" w:eastAsia="方正黑体_GBK" w:cs="方正黑体_GBK"/>
          <w:sz w:val="32"/>
          <w:szCs w:val="32"/>
          <w:lang w:val="en-US" w:eastAsia="zh-CN"/>
        </w:rPr>
        <w:t xml:space="preserve"> </w:t>
      </w:r>
      <w:r>
        <w:rPr>
          <w:rFonts w:hint="eastAsia" w:ascii="Times New Roman" w:hAnsi="Times New Roman" w:eastAsia="方正黑体_GBK" w:cs="方正黑体_GBK"/>
          <w:sz w:val="32"/>
          <w:szCs w:val="32"/>
        </w:rPr>
        <w:t>重点管控单元市级总体管控要求表</w:t>
      </w:r>
    </w:p>
    <w:tbl>
      <w:tblPr>
        <w:tblStyle w:val="16"/>
        <w:tblW w:w="9014"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1172"/>
        <w:gridCol w:w="784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trPr>
        <w:tc>
          <w:tcPr>
            <w:tcW w:w="1172" w:type="dxa"/>
            <w:tcMar>
              <w:top w:w="57" w:type="dxa"/>
              <w:left w:w="85" w:type="dxa"/>
              <w:bottom w:w="57" w:type="dxa"/>
              <w:right w:w="85" w:type="dxa"/>
            </w:tcMar>
            <w:vAlign w:val="center"/>
          </w:tcPr>
          <w:p>
            <w:pPr>
              <w:jc w:val="center"/>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管控类型</w:t>
            </w:r>
          </w:p>
        </w:tc>
        <w:tc>
          <w:tcPr>
            <w:tcW w:w="7842" w:type="dxa"/>
            <w:tcMar>
              <w:top w:w="57" w:type="dxa"/>
              <w:left w:w="85" w:type="dxa"/>
              <w:bottom w:w="57" w:type="dxa"/>
              <w:right w:w="85" w:type="dxa"/>
            </w:tcMar>
            <w:vAlign w:val="center"/>
          </w:tcPr>
          <w:p>
            <w:pPr>
              <w:jc w:val="center"/>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管</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控</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要</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restart"/>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空间布局约束</w:t>
            </w: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第一条  深入贯彻习近平生态文明思想，筑牢长江上游重要生态屏障，推动优势区域重点发展、生态功能区重点保护、</w:t>
            </w:r>
            <w:r>
              <w:rPr>
                <w:rFonts w:hint="default" w:ascii="Times New Roman" w:hAnsi="Times New Roman" w:eastAsia="方正仿宋_GBK" w:cs="Times New Roman"/>
                <w:sz w:val="24"/>
                <w:szCs w:val="24"/>
              </w:rPr>
              <w:fldChar w:fldCharType="begin"/>
            </w:r>
            <w:r>
              <w:rPr>
                <w:rFonts w:hint="default" w:ascii="Times New Roman" w:hAnsi="Times New Roman" w:eastAsia="方正仿宋_GBK" w:cs="Times New Roman"/>
                <w:sz w:val="24"/>
                <w:szCs w:val="24"/>
              </w:rPr>
              <w:instrText xml:space="preserve"> HYPERLINK "http://guihuayun.com/baike/%E5%9F%8E%E4%B9%A1%E8%9E%8D%E5%90%88%E5%8F%91%E5%B1%95" \t "http://www.gui-hua.com/post/_blank" </w:instrText>
            </w:r>
            <w:r>
              <w:rPr>
                <w:rFonts w:hint="default" w:ascii="Times New Roman" w:hAnsi="Times New Roman" w:eastAsia="方正仿宋_GBK" w:cs="Times New Roman"/>
                <w:sz w:val="24"/>
                <w:szCs w:val="24"/>
              </w:rPr>
              <w:fldChar w:fldCharType="separate"/>
            </w:r>
            <w:r>
              <w:rPr>
                <w:rFonts w:hint="default" w:ascii="Times New Roman" w:hAnsi="Times New Roman" w:eastAsia="方正仿宋_GBK" w:cs="Times New Roman"/>
                <w:sz w:val="24"/>
                <w:szCs w:val="24"/>
              </w:rPr>
              <w:t>城乡融合发展</w:t>
            </w:r>
            <w:r>
              <w:rPr>
                <w:rFonts w:hint="default" w:ascii="Times New Roman" w:hAnsi="Times New Roman" w:eastAsia="方正仿宋_GBK" w:cs="Times New Roman"/>
                <w:sz w:val="24"/>
                <w:szCs w:val="24"/>
              </w:rPr>
              <w:fldChar w:fldCharType="end"/>
            </w:r>
            <w:r>
              <w:rPr>
                <w:rFonts w:hint="default" w:ascii="Times New Roman" w:hAnsi="Times New Roman" w:eastAsia="方正仿宋_GBK" w:cs="Times New Roman"/>
                <w:sz w:val="24"/>
                <w:szCs w:val="24"/>
              </w:rPr>
              <w:t>，优化重点区域、流域、产业的空间布局。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1875"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第二条  禁止在长江干支流、重要湖泊岸线一公里范围内新建、扩建化工园</w:t>
            </w:r>
            <w:r>
              <w:rPr>
                <w:rFonts w:hint="default" w:ascii="Times New Roman" w:hAnsi="Times New Roman" w:eastAsia="方正仿宋_GBK" w:cs="Times New Roman"/>
                <w:spacing w:val="-2"/>
                <w:sz w:val="24"/>
                <w:szCs w:val="24"/>
              </w:rPr>
              <w:t>区和化工项目。禁止在长江干流岸线三公里范围内和重要支流岸线一公里范</w:t>
            </w:r>
            <w:r>
              <w:rPr>
                <w:rFonts w:hint="default" w:ascii="Times New Roman" w:hAnsi="Times New Roman" w:eastAsia="方正仿宋_GBK" w:cs="Times New Roman"/>
                <w:sz w:val="24"/>
                <w:szCs w:val="24"/>
              </w:rPr>
              <w:t>围内新建、改建、扩建尾矿库、冶炼渣库、磷石膏库，以提升安全、生态环境保护水平为目的的改建除外。</w:t>
            </w:r>
            <w:r>
              <w:rPr>
                <w:rFonts w:hint="default" w:ascii="Times New Roman" w:hAnsi="Times New Roman" w:eastAsia="方正仿宋_GBK" w:cs="Times New Roman"/>
                <w:sz w:val="24"/>
                <w:szCs w:val="24"/>
                <w:lang w:eastAsia="zh-CN"/>
              </w:rPr>
              <w:t>禁止在长江、嘉陵江、乌江岸线一公里范围内布局新建重化工、纸浆制造、印染等存在环境风险的项目。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第三条  禁止在合规园区外新建、扩建钢铁、石化、化工、焦化、建材、有色、制浆造纸等高污染项目（高污染项目严格按照《环境保护综合名录》</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高污染</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产品名录执行）。禁止新建、扩建不符合国家石化、现代煤化工等产业布局规划的项目。新建、改建、扩建</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两高</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项目须符合生态环境保护法律法规和相关法定规划，满足重点污染物排放总量控制、碳排放达峰目标、</w:t>
            </w:r>
            <w:r>
              <w:rPr>
                <w:rFonts w:hint="default" w:ascii="Times New Roman" w:hAnsi="Times New Roman" w:eastAsia="方正仿宋_GBK" w:cs="Times New Roman"/>
                <w:spacing w:val="-2"/>
                <w:sz w:val="24"/>
                <w:szCs w:val="24"/>
              </w:rPr>
              <w:t>生态环境准入清单、相关规划环评和相应行业建设项目环境准入条件、环评</w:t>
            </w:r>
            <w:r>
              <w:rPr>
                <w:rFonts w:hint="default" w:ascii="Times New Roman" w:hAnsi="Times New Roman" w:eastAsia="方正仿宋_GBK" w:cs="Times New Roman"/>
                <w:sz w:val="24"/>
                <w:szCs w:val="24"/>
              </w:rPr>
              <w:t>文件审批原则要求。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1876"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w:t>
            </w:r>
            <w:r>
              <w:rPr>
                <w:rFonts w:hint="default" w:ascii="Times New Roman" w:hAnsi="Times New Roman" w:eastAsia="方正仿宋_GBK" w:cs="Times New Roman"/>
                <w:sz w:val="24"/>
                <w:szCs w:val="24"/>
                <w:lang w:eastAsia="zh-CN"/>
              </w:rPr>
              <w:t>四</w:t>
            </w:r>
            <w:r>
              <w:rPr>
                <w:rFonts w:hint="default" w:ascii="Times New Roman" w:hAnsi="Times New Roman" w:eastAsia="方正仿宋_GBK" w:cs="Times New Roman"/>
                <w:sz w:val="24"/>
                <w:szCs w:val="24"/>
              </w:rPr>
              <w:t xml:space="preserve">条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严把项目准入关口，对不符合要求的高耗能、高排放、低水平项目坚</w:t>
            </w:r>
            <w:r>
              <w:rPr>
                <w:rFonts w:hint="default" w:ascii="Times New Roman" w:hAnsi="Times New Roman" w:eastAsia="方正仿宋_GBK" w:cs="Times New Roman"/>
                <w:spacing w:val="-2"/>
                <w:sz w:val="24"/>
                <w:szCs w:val="24"/>
              </w:rPr>
              <w:t>决不予准入。除在安全或者产业布局等方面有特殊要求的项目外，新建有污染物排放的工业项目应当进入工业集聚区。新建化工项目应当进入全市统一布局的化工产业集聚区。鼓励现有工业项目、化工项目分别搬入工业集聚</w:t>
            </w:r>
            <w:r>
              <w:rPr>
                <w:rFonts w:hint="default" w:ascii="Times New Roman" w:hAnsi="Times New Roman" w:eastAsia="方正仿宋_GBK" w:cs="Times New Roman"/>
                <w:sz w:val="24"/>
                <w:szCs w:val="24"/>
              </w:rPr>
              <w:t>区、化工产业集聚区。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899"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第五条  新建、扩建有色金属冶炼、电镀、铅蓄电池等企业应布设在依法合规设立并经过规划环评的产业园区。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1196"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第六条  涉及环境防护距离的工业企业或项目应通过选址或调整布局原则</w:t>
            </w:r>
            <w:r>
              <w:rPr>
                <w:rFonts w:hint="default" w:ascii="Times New Roman" w:hAnsi="Times New Roman" w:eastAsia="方正仿宋_GBK" w:cs="Times New Roman"/>
                <w:spacing w:val="-2"/>
                <w:sz w:val="24"/>
                <w:szCs w:val="24"/>
              </w:rPr>
              <w:t>上将环境防护距离控制在园区边界或用地红线内，提前合理规划项目地块布</w:t>
            </w:r>
            <w:r>
              <w:rPr>
                <w:rFonts w:hint="default" w:ascii="Times New Roman" w:hAnsi="Times New Roman" w:eastAsia="方正仿宋_GBK" w:cs="Times New Roman"/>
                <w:sz w:val="24"/>
                <w:szCs w:val="24"/>
              </w:rPr>
              <w:t>置、预防环境风险。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第七条  有效规范空间开发秩序，合理控制空间开发强度，切实将各类开发活动限制在资源环境承载能力之内，为构建高效协调可持续的国土空间开发</w:t>
            </w:r>
            <w:r>
              <w:rPr>
                <w:rFonts w:hint="default" w:ascii="Times New Roman" w:hAnsi="Times New Roman" w:eastAsia="方正仿宋_GBK" w:cs="Times New Roman"/>
                <w:sz w:val="24"/>
                <w:szCs w:val="24"/>
              </w:rPr>
              <w:t>格局奠定坚实基础。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restart"/>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污染物排放管控</w:t>
            </w: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两高</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行业建设项目应满足超低排放要求。加强水泥和平板玻璃行业差别化管理，新改扩建项目严格落实相关产业政策要求，满足能效标杆水平、环保绩效A级指标要求。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2"/>
                <w:sz w:val="24"/>
                <w:szCs w:val="24"/>
              </w:rPr>
              <w:t>第十二条  推进乡镇生活污水处理设施达标改造。新建城市生活污水处理厂</w:t>
            </w:r>
            <w:r>
              <w:rPr>
                <w:rFonts w:hint="default" w:ascii="Times New Roman" w:hAnsi="Times New Roman" w:eastAsia="方正仿宋_GBK" w:cs="Times New Roman"/>
                <w:spacing w:val="-4"/>
                <w:sz w:val="24"/>
                <w:szCs w:val="24"/>
              </w:rPr>
              <w:t>全部按照一级A标及以上排放标准设计、施工、验收，建制乡镇生活污水处</w:t>
            </w:r>
            <w:r>
              <w:rPr>
                <w:rFonts w:hint="default" w:ascii="Times New Roman" w:hAnsi="Times New Roman" w:eastAsia="方正仿宋_GBK" w:cs="Times New Roman"/>
                <w:spacing w:val="-3"/>
                <w:sz w:val="24"/>
                <w:szCs w:val="24"/>
              </w:rPr>
              <w:t>理设施出水水质不得低于一级B标排放标准；对现有截留制排水管网实施雨污</w:t>
            </w:r>
            <w:r>
              <w:rPr>
                <w:rFonts w:hint="default" w:ascii="Times New Roman" w:hAnsi="Times New Roman" w:eastAsia="方正仿宋_GBK" w:cs="Times New Roman"/>
                <w:spacing w:val="-5"/>
                <w:sz w:val="24"/>
                <w:szCs w:val="24"/>
              </w:rPr>
              <w:t>分流改造，针对无法彻底雨污分流的老城区，尊重现实合理保留截留制区</w:t>
            </w:r>
            <w:r>
              <w:rPr>
                <w:rFonts w:hint="default" w:ascii="Times New Roman" w:hAnsi="Times New Roman" w:eastAsia="方正仿宋_GBK" w:cs="Times New Roman"/>
                <w:spacing w:val="-6"/>
                <w:sz w:val="24"/>
                <w:szCs w:val="24"/>
              </w:rPr>
              <w:t>域，</w:t>
            </w:r>
            <w:r>
              <w:rPr>
                <w:rFonts w:hint="default" w:ascii="Times New Roman" w:hAnsi="Times New Roman" w:eastAsia="方正仿宋_GBK" w:cs="Times New Roman"/>
                <w:spacing w:val="-6"/>
                <w:sz w:val="24"/>
                <w:szCs w:val="24"/>
                <w:lang w:eastAsia="zh-CN"/>
              </w:rPr>
              <w:t>合理</w:t>
            </w:r>
            <w:r>
              <w:rPr>
                <w:rFonts w:hint="default" w:ascii="Times New Roman" w:hAnsi="Times New Roman" w:eastAsia="方正仿宋_GBK" w:cs="Times New Roman"/>
                <w:spacing w:val="-6"/>
                <w:sz w:val="24"/>
                <w:szCs w:val="24"/>
              </w:rPr>
              <w:t>提高截留倍数；对新建的排水管网，全部按照雨污分流模式实施建设</w:t>
            </w:r>
            <w:r>
              <w:rPr>
                <w:rFonts w:hint="default" w:ascii="Times New Roman" w:hAnsi="Times New Roman" w:eastAsia="方正仿宋_GBK" w:cs="Times New Roman"/>
                <w:spacing w:val="-4"/>
                <w:sz w:val="24"/>
                <w:szCs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1172" w:type="dxa"/>
            <w:vMerge w:val="continue"/>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第十三条  新、改、扩建重点行业</w:t>
            </w:r>
            <w:r>
              <w:rPr>
                <w:rFonts w:hint="default"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w:t>
            </w:r>
            <w:r>
              <w:rPr>
                <w:rFonts w:hint="default"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重点重金属污染物排放执行</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等量替代</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原则。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restart"/>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污染物排放管控</w:t>
            </w: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第十五条  建设分类投放、分类收集、分类运输、分类处理的生活垃圾处理系统。合理布局生活垃圾分类收集站点，完善分类运输系统，加快补齐分类收集转运设施能力短板。强化</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无废城市</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制度、技术、市场、监管、全民行动</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五大体系</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建设，推进城市固体废物精细化管理。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restart"/>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环境风险防控</w:t>
            </w: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第十七条  强化化工园区涉水突发环境事件四级环境风险防范体系建设。持续推进重点化工园区（化工集中区）建设有毒有害气体监测预警体系和水质生物毒性预警体系。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restart"/>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资源利用效率</w:t>
            </w: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第十八条  实施能源领域碳达峰碳中和行动，科学有序推动能源生产消费方式绿色低碳变革。实施可再生能源替代，减少化石能源消费。加强产业布</w:t>
            </w:r>
            <w:r>
              <w:rPr>
                <w:rFonts w:hint="default" w:ascii="Times New Roman" w:hAnsi="Times New Roman" w:eastAsia="方正仿宋_GBK" w:cs="Times New Roman"/>
                <w:spacing w:val="-6"/>
                <w:sz w:val="24"/>
                <w:szCs w:val="24"/>
              </w:rPr>
              <w:t>局和能耗</w:t>
            </w:r>
            <w:r>
              <w:rPr>
                <w:rFonts w:hint="eastAsia" w:ascii="Times New Roman" w:hAnsi="Times New Roman" w:eastAsia="方正仿宋_GBK" w:cs="Times New Roman"/>
                <w:spacing w:val="-6"/>
                <w:sz w:val="24"/>
                <w:szCs w:val="24"/>
                <w:lang w:eastAsia="zh-CN"/>
              </w:rPr>
              <w:t>“</w:t>
            </w:r>
            <w:r>
              <w:rPr>
                <w:rFonts w:hint="default" w:ascii="Times New Roman" w:hAnsi="Times New Roman" w:eastAsia="方正仿宋_GBK" w:cs="Times New Roman"/>
                <w:spacing w:val="-6"/>
                <w:sz w:val="24"/>
                <w:szCs w:val="24"/>
              </w:rPr>
              <w:t>双控</w:t>
            </w:r>
            <w:r>
              <w:rPr>
                <w:rFonts w:hint="eastAsia" w:ascii="Times New Roman" w:hAnsi="Times New Roman" w:eastAsia="方正仿宋_GBK" w:cs="Times New Roman"/>
                <w:spacing w:val="-6"/>
                <w:sz w:val="24"/>
                <w:szCs w:val="24"/>
                <w:lang w:eastAsia="zh-CN"/>
              </w:rPr>
              <w:t>”</w:t>
            </w:r>
            <w:r>
              <w:rPr>
                <w:rFonts w:hint="default" w:ascii="Times New Roman" w:hAnsi="Times New Roman" w:eastAsia="方正仿宋_GBK" w:cs="Times New Roman"/>
                <w:spacing w:val="-6"/>
                <w:sz w:val="24"/>
                <w:szCs w:val="24"/>
              </w:rPr>
              <w:t>政策衔接，促进重点用能领域用能结构优化和能效提升</w:t>
            </w:r>
            <w:r>
              <w:rPr>
                <w:rFonts w:hint="default" w:ascii="Times New Roman" w:hAnsi="Times New Roman" w:eastAsia="方正仿宋_GBK" w:cs="Times New Roman"/>
                <w:sz w:val="24"/>
                <w:szCs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第二十条  新建、扩建</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两高</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项目应采用先进适用的工艺技术和装备，单位产品物耗、能耗、水耗等达到清洁生产先进水平。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72" w:type="dxa"/>
            <w:vMerge w:val="continue"/>
            <w:tcMar>
              <w:top w:w="51" w:type="dxa"/>
              <w:left w:w="85" w:type="dxa"/>
              <w:bottom w:w="51"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p>
        </w:tc>
        <w:tc>
          <w:tcPr>
            <w:tcW w:w="7842" w:type="dxa"/>
            <w:tcMar>
              <w:top w:w="51" w:type="dxa"/>
              <w:left w:w="85" w:type="dxa"/>
              <w:bottom w:w="51"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第二十二条  加快推进节水配套设施建设，加强再生水、雨水等非常规水多元、梯级和安全利用，逐年提高非常规水利用比例。结合现有污水处理设施提标升级扩能改造，系统规划城镇污水再生利用设施。</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方正黑体_GBK" w:cs="方正黑体_GBK"/>
          <w:sz w:val="32"/>
          <w:szCs w:val="32"/>
        </w:rPr>
      </w:pP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方正黑体_GBK" w:cs="方正黑体_GBK"/>
          <w:sz w:val="32"/>
          <w:szCs w:val="32"/>
        </w:rPr>
      </w:pPr>
      <w:r>
        <w:rPr>
          <w:rFonts w:hint="default" w:ascii="Times New Roman" w:hAnsi="Times New Roman" w:eastAsia="方正黑体_GBK" w:cs="方正黑体_GBK"/>
          <w:sz w:val="32"/>
          <w:szCs w:val="32"/>
        </w:rPr>
        <w:t>表3</w:t>
      </w:r>
      <w:r>
        <w:rPr>
          <w:rFonts w:hint="eastAsia" w:ascii="Times New Roman" w:hAnsi="Times New Roman" w:eastAsia="方正黑体_GBK" w:cs="方正黑体_GBK"/>
          <w:sz w:val="32"/>
          <w:szCs w:val="32"/>
          <w:lang w:val="en-US" w:eastAsia="zh-CN"/>
        </w:rPr>
        <w:t xml:space="preserve"> </w:t>
      </w:r>
      <w:r>
        <w:rPr>
          <w:rFonts w:hint="default" w:ascii="Times New Roman" w:hAnsi="Times New Roman" w:eastAsia="方正黑体_GBK" w:cs="方正黑体_GBK"/>
          <w:sz w:val="32"/>
          <w:szCs w:val="32"/>
        </w:rPr>
        <w:t xml:space="preserve"> 一</w:t>
      </w:r>
      <w:r>
        <w:rPr>
          <w:rFonts w:hint="eastAsia" w:ascii="Times New Roman" w:hAnsi="Times New Roman" w:eastAsia="方正黑体_GBK" w:cs="方正黑体_GBK"/>
          <w:sz w:val="32"/>
          <w:szCs w:val="32"/>
        </w:rPr>
        <w:t>般管控单元市级总体管控要求表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lang w:val="en-US" w:eastAsia="zh-CN"/>
        </w:rPr>
      </w:pPr>
    </w:p>
    <w:tbl>
      <w:tblPr>
        <w:tblStyle w:val="16"/>
        <w:tblW w:w="9060"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1197"/>
        <w:gridCol w:w="78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97" w:type="dxa"/>
            <w:tcMar>
              <w:top w:w="57" w:type="dxa"/>
              <w:left w:w="85" w:type="dxa"/>
              <w:bottom w:w="57" w:type="dxa"/>
              <w:right w:w="85" w:type="dxa"/>
            </w:tcMar>
            <w:vAlign w:val="center"/>
          </w:tcPr>
          <w:p>
            <w:pPr>
              <w:jc w:val="center"/>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管控类型</w:t>
            </w:r>
          </w:p>
        </w:tc>
        <w:tc>
          <w:tcPr>
            <w:tcW w:w="7863" w:type="dxa"/>
            <w:tcMar>
              <w:top w:w="57" w:type="dxa"/>
              <w:left w:w="85" w:type="dxa"/>
              <w:bottom w:w="57" w:type="dxa"/>
              <w:right w:w="85" w:type="dxa"/>
            </w:tcMar>
            <w:vAlign w:val="center"/>
          </w:tcPr>
          <w:p>
            <w:pPr>
              <w:jc w:val="center"/>
              <w:rPr>
                <w:rFonts w:hint="eastAsia" w:ascii="Times New Roman" w:hAnsi="Times New Roman" w:eastAsia="方正黑体_GBK" w:cs="方正黑体_GBK"/>
                <w:sz w:val="24"/>
                <w:szCs w:val="24"/>
              </w:rPr>
            </w:pPr>
            <w:r>
              <w:rPr>
                <w:rFonts w:hint="eastAsia" w:ascii="Times New Roman" w:hAnsi="Times New Roman" w:eastAsia="方正黑体_GBK" w:cs="方正黑体_GBK"/>
                <w:sz w:val="24"/>
                <w:szCs w:val="24"/>
              </w:rPr>
              <w:t>管</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控</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要</w:t>
            </w:r>
            <w:r>
              <w:rPr>
                <w:rFonts w:hint="eastAsia" w:ascii="Times New Roman" w:hAnsi="Times New Roman" w:eastAsia="方正黑体_GBK" w:cs="方正黑体_GBK"/>
                <w:sz w:val="24"/>
                <w:szCs w:val="24"/>
                <w:lang w:val="en-US" w:eastAsia="zh-CN"/>
              </w:rPr>
              <w:t xml:space="preserve">  </w:t>
            </w:r>
            <w:r>
              <w:rPr>
                <w:rFonts w:hint="eastAsia" w:ascii="Times New Roman" w:hAnsi="Times New Roman" w:eastAsia="方正黑体_GBK" w:cs="方正黑体_GBK"/>
                <w:sz w:val="24"/>
                <w:szCs w:val="24"/>
              </w:rPr>
              <w:t>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9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空间布局约束</w:t>
            </w:r>
          </w:p>
        </w:tc>
        <w:tc>
          <w:tcPr>
            <w:tcW w:w="7863"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第一条  深入实施农村</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厕所革命</w:t>
            </w:r>
            <w:r>
              <w:rPr>
                <w:rFonts w:hint="eastAsia" w:ascii="Times New Roman" w:hAnsi="Times New Roman" w:eastAsia="方正仿宋_GBK" w:cs="Times New Roman"/>
                <w:sz w:val="24"/>
                <w:szCs w:val="24"/>
                <w:lang w:eastAsia="zh-CN"/>
              </w:rPr>
              <w:t>”</w:t>
            </w:r>
            <w:r>
              <w:rPr>
                <w:rFonts w:hint="default" w:ascii="Times New Roman" w:hAnsi="Times New Roman" w:eastAsia="方正仿宋_GBK" w:cs="Times New Roman"/>
                <w:sz w:val="24"/>
                <w:szCs w:val="24"/>
              </w:rPr>
              <w:t>，推进农村生活垃圾治理和农村生活污水治理，基本消除较大面积农村黑臭水体，整治提升农村人居环境。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97" w:type="dxa"/>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污染物排放管控</w:t>
            </w:r>
          </w:p>
        </w:tc>
        <w:tc>
          <w:tcPr>
            <w:tcW w:w="7863" w:type="dxa"/>
            <w:tcMar>
              <w:top w:w="57" w:type="dxa"/>
              <w:left w:w="85" w:type="dxa"/>
              <w:bottom w:w="57" w:type="dxa"/>
              <w:right w:w="85" w:type="dxa"/>
            </w:tcMar>
            <w:vAlign w:val="top"/>
          </w:tcPr>
          <w:p>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第二条  加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p>
        </w:tc>
      </w:tr>
    </w:tbl>
    <w:p>
      <w:pPr>
        <w:rPr>
          <w:rFonts w:hint="eastAsia" w:ascii="Times New Roman" w:hAnsi="Times New Roman"/>
        </w:rPr>
      </w:pPr>
      <w:r>
        <w:rPr>
          <w:rFonts w:hint="eastAsia" w:ascii="Times New Roman" w:hAnsi="Times New Roman" w:cs="Times New Roman"/>
        </w:rPr>
        <w:t xml:space="preserve">                                                    </w:t>
      </w:r>
    </w:p>
    <w:p>
      <w:pPr>
        <w:rPr>
          <w:rFonts w:hint="eastAsia" w:ascii="Times New Roman" w:hAnsi="Times New Roman"/>
        </w:rPr>
      </w:pPr>
      <w:r>
        <w:rPr>
          <w:rFonts w:hint="eastAsia" w:ascii="Times New Roman" w:hAnsi="Times New Roman" w:cs="Times New Roman"/>
        </w:rPr>
        <w:t xml:space="preserve">                                                               </w:t>
      </w:r>
    </w:p>
    <w:p>
      <w:pPr>
        <w:rPr>
          <w:rFonts w:hint="eastAsia" w:ascii="Times New Roman" w:hAnsi="Times New Roman"/>
        </w:rPr>
      </w:pPr>
      <w:r>
        <w:rPr>
          <w:rFonts w:hint="eastAsia" w:ascii="Times New Roman" w:hAnsi="Times New Roman" w:cs="Times New Roman"/>
        </w:rPr>
        <w:t xml:space="preserve">                                                               </w:t>
      </w:r>
    </w:p>
    <w:p>
      <w:pPr>
        <w:rPr>
          <w:rFonts w:hint="eastAsia" w:ascii="Times New Roman" w:hAnsi="Times New Roman"/>
        </w:rPr>
      </w:pPr>
      <w:r>
        <w:rPr>
          <w:rFonts w:hint="eastAsia" w:ascii="Times New Roman" w:hAnsi="Times New Roman" w:cs="Times New Roman"/>
        </w:rPr>
        <w:t xml:space="preserve">                                                               </w:t>
      </w:r>
    </w:p>
    <w:bookmarkEnd w:id="4"/>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keepNext w:val="0"/>
        <w:keepLines w:val="0"/>
        <w:pageBreakBefore w:val="0"/>
        <w:widowControl w:val="0"/>
        <w:pBdr>
          <w:top w:val="single" w:color="auto" w:sz="8" w:space="1"/>
          <w:left w:val="none" w:color="auto" w:sz="0" w:space="4"/>
          <w:bottom w:val="single" w:color="auto" w:sz="8" w:space="1"/>
          <w:right w:val="none" w:color="auto" w:sz="0" w:space="4"/>
          <w:between w:val="single" w:color="auto" w:sz="4" w:space="0"/>
        </w:pBdr>
        <w:kinsoku/>
        <w:wordWrap/>
        <w:overflowPunct/>
        <w:topLinePunct w:val="0"/>
        <w:autoSpaceDE/>
        <w:autoSpaceDN/>
        <w:bidi w:val="0"/>
        <w:adjustRightInd/>
        <w:snapToGrid/>
        <w:spacing w:line="240" w:lineRule="auto"/>
        <w:ind w:right="-3" w:rightChars="-1"/>
        <w:jc w:val="both"/>
        <w:textAlignment w:val="auto"/>
        <w:outlineLvl w:val="9"/>
        <w:rPr>
          <w:rFonts w:hint="eastAsia" w:ascii="Times New Roman" w:hAnsi="Times New Roman" w:eastAsia="方正仿宋_GBK"/>
          <w:spacing w:val="10"/>
          <w:kern w:val="24"/>
          <w:sz w:val="28"/>
          <w:szCs w:val="28"/>
          <w:lang w:val="en-US" w:eastAsia="zh-CN"/>
        </w:rPr>
      </w:pPr>
      <w:r>
        <w:rPr>
          <w:rFonts w:hint="eastAsia" w:ascii="Times New Roman" w:hAnsi="Times New Roman" w:cs="Times New Roman"/>
          <w:sz w:val="28"/>
          <w:szCs w:val="28"/>
        </w:rPr>
        <w:t xml:space="preserve"> </w:t>
      </w:r>
      <w:r>
        <w:rPr>
          <w:rFonts w:hint="eastAsia" w:ascii="Times New Roman" w:hAnsi="Times New Roman" w:eastAsia="方正仿宋_GBK" w:cs="Times New Roman"/>
          <w:sz w:val="28"/>
          <w:szCs w:val="28"/>
        </w:rPr>
        <w:t xml:space="preserve"> 抄送：</w:t>
      </w:r>
      <w:bookmarkStart w:id="5" w:name="csdw"/>
      <w:r>
        <w:rPr>
          <w:rFonts w:hint="eastAsia" w:ascii="Times New Roman" w:hAnsi="Times New Roman" w:eastAsia="方正仿宋_GBK" w:cs="Times New Roman"/>
          <w:sz w:val="28"/>
          <w:szCs w:val="28"/>
          <w:lang w:eastAsia="zh-CN"/>
        </w:rPr>
        <w:t>生态环境部环境影响评价与排放管理司</w:t>
      </w:r>
      <w:bookmarkEnd w:id="5"/>
      <w:r>
        <w:rPr>
          <w:rFonts w:hint="eastAsia" w:ascii="Times New Roman" w:hAnsi="Times New Roman" w:eastAsia="方正仿宋_GBK" w:cs="Times New Roman"/>
          <w:sz w:val="28"/>
          <w:szCs w:val="28"/>
          <w:lang w:eastAsia="zh-CN"/>
        </w:rPr>
        <w:t>。</w:t>
      </w:r>
    </w:p>
    <w:p>
      <w:pPr>
        <w:keepNext w:val="0"/>
        <w:keepLines w:val="0"/>
        <w:pageBreakBefore w:val="0"/>
        <w:widowControl w:val="0"/>
        <w:pBdr>
          <w:top w:val="single" w:color="auto" w:sz="8" w:space="1"/>
          <w:left w:val="none" w:color="auto" w:sz="0" w:space="4"/>
          <w:bottom w:val="single" w:color="auto" w:sz="8" w:space="1"/>
          <w:right w:val="none" w:color="auto" w:sz="0" w:space="4"/>
          <w:between w:val="single" w:color="auto" w:sz="4" w:space="0"/>
        </w:pBdr>
        <w:kinsoku/>
        <w:wordWrap/>
        <w:overflowPunct/>
        <w:topLinePunct w:val="0"/>
        <w:autoSpaceDE/>
        <w:autoSpaceDN/>
        <w:bidi w:val="0"/>
        <w:adjustRightInd/>
        <w:snapToGrid/>
        <w:spacing w:line="240" w:lineRule="auto"/>
        <w:ind w:right="-3" w:rightChars="-1"/>
        <w:jc w:val="both"/>
        <w:textAlignment w:val="auto"/>
        <w:outlineLvl w:val="9"/>
        <w:rPr>
          <w:rFonts w:hint="eastAsia" w:ascii="Times New Roman" w:hAnsi="Times New Roman" w:eastAsia="方正小标宋_GBK" w:cs="Times New Roman"/>
          <w:bCs/>
          <w:sz w:val="32"/>
          <w:szCs w:val="32"/>
          <w:lang w:val="en" w:eastAsia="zh-CN"/>
        </w:rPr>
      </w:pPr>
      <w:r>
        <w:rPr>
          <w:rFonts w:hint="eastAsia" w:ascii="Times New Roman" w:hAnsi="Times New Roman" w:eastAsia="方正仿宋_GBK" w:cs="Times New Roman"/>
          <w:spacing w:val="10"/>
          <w:kern w:val="24"/>
          <w:sz w:val="28"/>
          <w:szCs w:val="28"/>
        </w:rPr>
        <w:t xml:space="preserve">  重庆市</w:t>
      </w:r>
      <w:r>
        <w:rPr>
          <w:rFonts w:hint="eastAsia" w:ascii="Times New Roman" w:hAnsi="Times New Roman" w:eastAsia="方正仿宋_GBK" w:cs="Times New Roman"/>
          <w:spacing w:val="10"/>
          <w:kern w:val="24"/>
          <w:sz w:val="28"/>
          <w:szCs w:val="28"/>
          <w:lang w:eastAsia="zh-CN"/>
        </w:rPr>
        <w:t>生态环境</w:t>
      </w:r>
      <w:r>
        <w:rPr>
          <w:rFonts w:hint="eastAsia" w:ascii="Times New Roman" w:hAnsi="Times New Roman" w:eastAsia="方正仿宋_GBK" w:cs="Times New Roman"/>
          <w:spacing w:val="10"/>
          <w:kern w:val="24"/>
          <w:sz w:val="28"/>
          <w:szCs w:val="28"/>
        </w:rPr>
        <w:t xml:space="preserve">局办公室    </w:t>
      </w:r>
      <w:r>
        <w:rPr>
          <w:rFonts w:hint="eastAsia" w:ascii="Times New Roman" w:hAnsi="Times New Roman" w:eastAsia="方正仿宋_GBK" w:cs="Times New Roman"/>
          <w:spacing w:val="10"/>
          <w:kern w:val="24"/>
          <w:sz w:val="28"/>
          <w:szCs w:val="28"/>
          <w:lang w:val="en-US" w:eastAsia="zh-CN"/>
        </w:rPr>
        <w:t xml:space="preserve">    </w:t>
      </w:r>
      <w:r>
        <w:rPr>
          <w:rFonts w:hint="eastAsia" w:ascii="Times New Roman" w:hAnsi="Times New Roman" w:eastAsia="方正仿宋_GBK" w:cs="Times New Roman"/>
          <w:spacing w:val="10"/>
          <w:kern w:val="24"/>
          <w:sz w:val="28"/>
          <w:szCs w:val="28"/>
        </w:rPr>
        <w:t xml:space="preserve">     </w:t>
      </w:r>
      <w:r>
        <w:rPr>
          <w:rFonts w:hint="eastAsia" w:ascii="Times New Roman" w:hAnsi="Times New Roman" w:eastAsia="方正仿宋_GBK" w:cs="Times New Roman"/>
          <w:spacing w:val="10"/>
          <w:kern w:val="24"/>
          <w:sz w:val="28"/>
          <w:szCs w:val="28"/>
          <w:lang w:val="en-US" w:eastAsia="zh-CN"/>
        </w:rPr>
        <w:t>2024</w:t>
      </w:r>
      <w:r>
        <w:rPr>
          <w:rFonts w:hint="eastAsia" w:ascii="Times New Roman" w:hAnsi="Times New Roman" w:eastAsia="方正仿宋_GBK" w:cs="Times New Roman"/>
          <w:spacing w:val="10"/>
          <w:kern w:val="24"/>
          <w:sz w:val="28"/>
          <w:szCs w:val="28"/>
        </w:rPr>
        <w:t>年</w:t>
      </w:r>
      <w:r>
        <w:rPr>
          <w:rFonts w:hint="eastAsia" w:ascii="Times New Roman" w:hAnsi="Times New Roman" w:eastAsia="方正仿宋_GBK" w:cs="Times New Roman"/>
          <w:spacing w:val="10"/>
          <w:kern w:val="24"/>
          <w:sz w:val="28"/>
          <w:szCs w:val="28"/>
          <w:lang w:val="en-US" w:eastAsia="zh-CN"/>
        </w:rPr>
        <w:t>3</w:t>
      </w:r>
      <w:r>
        <w:rPr>
          <w:rFonts w:hint="eastAsia" w:ascii="Times New Roman" w:hAnsi="Times New Roman" w:eastAsia="方正仿宋_GBK" w:cs="Times New Roman"/>
          <w:spacing w:val="10"/>
          <w:kern w:val="24"/>
          <w:sz w:val="28"/>
          <w:szCs w:val="28"/>
        </w:rPr>
        <w:t>月</w:t>
      </w:r>
      <w:r>
        <w:rPr>
          <w:rFonts w:hint="eastAsia" w:ascii="Times New Roman" w:hAnsi="Times New Roman" w:eastAsia="方正仿宋_GBK" w:cs="Times New Roman"/>
          <w:spacing w:val="10"/>
          <w:kern w:val="24"/>
          <w:sz w:val="28"/>
          <w:szCs w:val="28"/>
          <w:lang w:val="en-US" w:eastAsia="zh-CN"/>
        </w:rPr>
        <w:t>19</w:t>
      </w:r>
      <w:r>
        <w:rPr>
          <w:rFonts w:hint="eastAsia" w:ascii="Times New Roman" w:hAnsi="Times New Roman" w:eastAsia="方正仿宋_GBK" w:cs="Times New Roman"/>
          <w:spacing w:val="10"/>
          <w:kern w:val="24"/>
          <w:sz w:val="28"/>
          <w:szCs w:val="28"/>
        </w:rPr>
        <w:t>日印发</w:t>
      </w:r>
    </w:p>
    <w:sectPr>
      <w:headerReference r:id="rId3" w:type="default"/>
      <w:footerReference r:id="rId5" w:type="default"/>
      <w:headerReference r:id="rId4" w:type="even"/>
      <w:footerReference r:id="rId6" w:type="even"/>
      <w:pgSz w:w="11906" w:h="16838"/>
      <w:pgMar w:top="1962" w:right="1474" w:bottom="1848"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宋体-18030">
    <w:panose1 w:val="02010609060101010101"/>
    <w:charset w:val="86"/>
    <w:family w:val="auto"/>
    <w:pitch w:val="default"/>
    <w:sig w:usb0="00002003" w:usb1="AF0E0800" w:usb2="0000000E" w:usb3="00000000" w:csb0="003C0041" w:csb1="A0080000"/>
  </w:font>
  <w:font w:name="宋体-方正超大字符集">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新宋体-18030">
    <w:panose1 w:val="02010600060101010101"/>
    <w:charset w:val="86"/>
    <w:family w:val="auto"/>
    <w:pitch w:val="default"/>
    <w:sig w:usb0="00002003" w:usb1="AF0E0800" w:usb2="0000000E" w:usb3="00000000" w:csb0="003C0041" w:csb1="A0080000"/>
  </w:font>
  <w:font w:name="方正书宋_GBK">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7296" w:leftChars="2280" w:firstLine="6400" w:firstLineChars="2000"/>
      <w:rPr>
        <w:sz w:val="32"/>
      </w:rPr>
    </w:pPr>
    <w:r>
      <w:rPr>
        <w:sz w:val="32"/>
      </w:rPr>
      <mc:AlternateContent>
        <mc:Choice Requires="wps">
          <w:drawing>
            <wp:anchor distT="0" distB="0" distL="114300" distR="114300" simplePos="0" relativeHeight="251678720" behindDoc="0" locked="0" layoutInCell="1" allowOverlap="1">
              <wp:simplePos x="0" y="0"/>
              <wp:positionH relativeFrom="margin">
                <wp:posOffset>5166360</wp:posOffset>
              </wp:positionH>
              <wp:positionV relativeFrom="paragraph">
                <wp:posOffset>-1905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6.8pt;margin-top:-0.15pt;height:144pt;width:144pt;mso-position-horizontal-relative:margin;mso-wrap-style:none;z-index:251678720;mso-width-relative:page;mso-height-relative:page;" filled="f" stroked="f" coordsize="21600,21600" o:gfxdata="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dxCA2AAAAAsBAAAPAAAAAAAA&#10;AAEAIAAAACIAAABkcnMvZG93bnJldi54bWxQSwECFAAUAAAACACHTuJA5smByhICAAATBAAADgAA&#10;AAAAAAABACAAAAAnAQAAZHJzL2Uyb0RvYy54bWxQSwUGAAAAAAYABgBZAQAAqw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7296" w:leftChars="2280" w:firstLine="6400" w:firstLineChars="2000"/>
      <w:rPr>
        <w:rFonts w:hint="eastAsia" w:eastAsia="仿宋"/>
        <w:sz w:val="32"/>
        <w:szCs w:val="48"/>
        <w:lang w:val="en-US" w:eastAsia="zh-CN"/>
      </w:rPr>
    </w:pPr>
    <w:r>
      <w:rPr>
        <w:color w:val="FAFAFA"/>
        <w:sz w:val="3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111125</wp:posOffset>
              </wp:positionV>
              <wp:extent cx="5616575" cy="190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8.75pt;height:0.15pt;width:442.25pt;z-index:251677696;mso-width-relative:page;mso-height-relative:page;" filled="f" stroked="t" coordsize="21600,21600" o:gfxdata="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rvcttMAAAAGAQAADwAAAAAAAAABACAAAAAiAAAAZHJzL2Rv&#10;d25yZXYueG1sUEsBAhQAFAAAAAgAh07iQK6jOuDNAQAAZwMAAA4AAAAAAAAAAQAgAAAAIgEAAGRy&#10;cy9lMm9Eb2MueG1sUEsFBgAAAAAGAAYAWQEAAGEFAAAAAA==&#10;">
              <v:fill on="f" focussize="0,0"/>
              <v:stroke weight="1.75pt" color="#005192 [3204]" miterlimit="8" joinstyle="miter"/>
              <v:imagedata o:title=""/>
              <o:lock v:ext="edit" aspectratio="f"/>
            </v:line>
          </w:pict>
        </mc:Fallback>
      </mc:AlternateContent>
    </w:r>
    <w:r>
      <w:rPr>
        <w:rFonts w:hint="eastAsia" w:eastAsia="仿宋"/>
        <w:sz w:val="32"/>
        <w:szCs w:val="48"/>
        <w:lang w:val="en-US" w:eastAsia="zh-CN"/>
      </w:rPr>
      <w:t xml:space="preserve">  </w:t>
    </w:r>
  </w:p>
  <w:p>
    <w:pPr>
      <w:pStyle w:val="10"/>
      <w:wordWrap w:val="0"/>
      <w:jc w:val="right"/>
      <w:rPr>
        <w:rFonts w:hint="eastAsia" w:ascii="宋体" w:hAnsi="宋体" w:eastAsia="宋体" w:cs="宋体"/>
        <w:b/>
        <w:bCs/>
        <w:color w:val="005192"/>
        <w:sz w:val="28"/>
        <w:szCs w:val="44"/>
        <w:lang w:val="en-US" w:eastAsia="zh-CN"/>
      </w:rPr>
    </w:pPr>
    <w:r>
      <w:rPr>
        <w:rFonts w:hint="eastAsia"/>
        <w:color w:val="FAFAFA"/>
        <w:sz w:val="32"/>
        <w:lang w:val="en-US" w:eastAsia="zh-CN"/>
      </w:rPr>
      <w:t xml:space="preserve"> </w:t>
    </w:r>
    <w:r>
      <w:rPr>
        <w:rFonts w:hint="eastAsia" w:ascii="宋体" w:hAnsi="宋体" w:eastAsia="宋体" w:cs="宋体"/>
        <w:b/>
        <w:bCs/>
        <w:color w:val="005192"/>
        <w:sz w:val="28"/>
        <w:szCs w:val="44"/>
        <w:lang w:eastAsia="zh-CN"/>
      </w:rPr>
      <w:t>重庆市生态环境局办公室</w:t>
    </w:r>
    <w:r>
      <w:rPr>
        <w:rFonts w:hint="eastAsia" w:ascii="宋体" w:hAnsi="宋体" w:eastAsia="宋体" w:cs="宋体"/>
        <w:b/>
        <w:bCs/>
        <w:color w:val="005192"/>
        <w:sz w:val="28"/>
        <w:szCs w:val="44"/>
        <w:lang w:val="en-US" w:eastAsia="zh-CN"/>
      </w:rPr>
      <w:t xml:space="preserve">发布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7296" w:leftChars="2280" w:firstLine="6400" w:firstLineChars="2000"/>
      <w:rPr>
        <w:sz w:val="32"/>
      </w:rPr>
    </w:pPr>
    <w:r>
      <w:rPr>
        <w:sz w:val="32"/>
      </w:rPr>
      <mc:AlternateContent>
        <mc:Choice Requires="wps">
          <w:drawing>
            <wp:anchor distT="0" distB="0" distL="114300" distR="114300" simplePos="0" relativeHeight="251716608" behindDoc="0" locked="0" layoutInCell="1" allowOverlap="1">
              <wp:simplePos x="0" y="0"/>
              <wp:positionH relativeFrom="margin">
                <wp:align>left</wp:align>
              </wp:positionH>
              <wp:positionV relativeFrom="paragraph">
                <wp:posOffset>-39370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1pt;height:144pt;width:144pt;mso-position-horizontal:left;mso-position-horizontal-relative:margin;mso-wrap-style:none;z-index:251716608;mso-width-relative:page;mso-height-relative:page;" filled="f" stroked="f" coordsize="21600,21600" o:gfxdata="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4sIo1gAAAAgBAAAPAAAAAAAA&#10;AAEAIAAAACIAAABkcnMvZG93bnJldi54bWxQSwECFAAUAAAACACHTuJACjsqfhQCAAAVBAAADgAA&#10;AAAAAAABACAAAAAlAQAAZHJzL2Uyb0RvYy54bWxQSwUGAAAAAAYABgBZAQAAqwU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10"/>
      <w:ind w:left="7296" w:leftChars="2280" w:firstLine="6400" w:firstLineChars="2000"/>
      <w:rPr>
        <w:rFonts w:hint="eastAsia" w:eastAsia="仿宋"/>
        <w:sz w:val="32"/>
        <w:szCs w:val="48"/>
        <w:lang w:val="en-US" w:eastAsia="zh-CN"/>
      </w:rPr>
    </w:pPr>
    <w:r>
      <w:rPr>
        <w:color w:val="FAFAFA"/>
        <w:sz w:val="32"/>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139700</wp:posOffset>
              </wp:positionV>
              <wp:extent cx="5616575" cy="1905"/>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1pt;height:0.15pt;width:442.25pt;z-index:251715584;mso-width-relative:page;mso-height-relative:page;" filled="f" stroked="t" coordsize="21600,21600" o:gfxdata="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7/UQtQAAAAGAQAADwAAAAAAAAABACAAAAAiAAAAZHJz&#10;L2Rvd25yZXYueG1sUEsBAhQAFAAAAAgAh07iQPg+lerPAQAAaQMAAA4AAAAAAAAAAQAgAAAAIwEA&#10;AGRycy9lMm9Eb2MueG1sUEsFBgAAAAAGAAYAWQEAAGQFAAAAAA==&#10;">
              <v:fill on="f" focussize="0,0"/>
              <v:stroke weight="1.75pt" color="#005192 [3204]" miterlimit="8" joinstyle="miter"/>
              <v:imagedata o:title=""/>
              <o:lock v:ext="edit" aspectratio="f"/>
            </v:line>
          </w:pict>
        </mc:Fallback>
      </mc:AlternateContent>
    </w:r>
    <w:r>
      <w:rPr>
        <w:rFonts w:hint="eastAsia" w:eastAsia="仿宋"/>
        <w:sz w:val="32"/>
        <w:szCs w:val="48"/>
        <w:lang w:val="en-US" w:eastAsia="zh-CN"/>
      </w:rPr>
      <w:t xml:space="preserve">  </w:t>
    </w:r>
  </w:p>
  <w:p>
    <w:pPr>
      <w:pStyle w:val="9"/>
      <w:wordWrap w:val="0"/>
      <w:jc w:val="right"/>
      <w:rPr>
        <w:lang w:val="en-US"/>
      </w:rPr>
    </w:pPr>
    <w:r>
      <w:rPr>
        <w:rFonts w:hint="eastAsia"/>
        <w:color w:val="FAFAFA"/>
        <w:sz w:val="32"/>
        <w:lang w:val="en-US" w:eastAsia="zh-CN"/>
      </w:rPr>
      <w:t xml:space="preserve"> </w:t>
    </w:r>
    <w:r>
      <w:rPr>
        <w:rFonts w:hint="eastAsia" w:ascii="宋体" w:hAnsi="宋体" w:eastAsia="宋体" w:cs="宋体"/>
        <w:b/>
        <w:bCs/>
        <w:color w:val="005192"/>
        <w:sz w:val="28"/>
        <w:szCs w:val="44"/>
        <w:lang w:eastAsia="zh-CN"/>
      </w:rPr>
      <w:t>重庆市生态环境局办公室</w:t>
    </w:r>
    <w:r>
      <w:rPr>
        <w:rFonts w:hint="eastAsia" w:ascii="宋体" w:hAnsi="宋体" w:eastAsia="宋体" w:cs="宋体"/>
        <w:b/>
        <w:bCs/>
        <w:color w:val="005192"/>
        <w:sz w:val="28"/>
        <w:szCs w:val="44"/>
        <w:lang w:val="en-US" w:eastAsia="zh-CN"/>
      </w:rPr>
      <w:t xml:space="preserve">发布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690245</wp:posOffset>
              </wp:positionV>
              <wp:extent cx="5620385" cy="0"/>
              <wp:effectExtent l="0" t="0" r="0" b="0"/>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73600;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重庆市生态环境局行政</w:t>
    </w:r>
    <w:r>
      <w:rPr>
        <w:rFonts w:hint="eastAsia" w:ascii="宋体" w:hAnsi="宋体" w:eastAsia="宋体" w:cs="宋体"/>
        <w:b/>
        <w:bCs/>
        <w:color w:val="005192"/>
        <w:sz w:val="32"/>
        <w:szCs w:val="32"/>
        <w:lang w:val="en-US" w:eastAsia="zh-Hans"/>
      </w:rPr>
      <w:t>规范性文件</w:t>
    </w:r>
  </w:p>
  <w:p>
    <w:pPr>
      <w:pStyle w:val="10"/>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690245</wp:posOffset>
              </wp:positionV>
              <wp:extent cx="5620385" cy="0"/>
              <wp:effectExtent l="0" t="0" r="0" b="0"/>
              <wp:wrapNone/>
              <wp:docPr id="9" name="直接连接符 9"/>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9510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p01n0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0" name="图片 10"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重庆市生态环境局行政</w:t>
    </w:r>
    <w:r>
      <w:rPr>
        <w:rFonts w:hint="eastAsia" w:ascii="宋体" w:hAnsi="宋体" w:eastAsia="宋体" w:cs="宋体"/>
        <w:b/>
        <w:bCs/>
        <w:color w:val="005192"/>
        <w:sz w:val="32"/>
        <w:szCs w:val="32"/>
        <w:lang w:val="en-US" w:eastAsia="zh-Hans"/>
      </w:rPr>
      <w:t>规范性文件</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79045E"/>
    <w:multiLevelType w:val="singleLevel"/>
    <w:tmpl w:val="E879045E"/>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1">
    <w:nsid w:val="70985222"/>
    <w:multiLevelType w:val="multilevel"/>
    <w:tmpl w:val="70985222"/>
    <w:lvl w:ilvl="0" w:tentative="0">
      <w:start w:val="2"/>
      <w:numFmt w:val="japaneseCounting"/>
      <w:pStyle w:val="13"/>
      <w:lvlText w:val="%1、"/>
      <w:lvlJc w:val="left"/>
      <w:pPr>
        <w:tabs>
          <w:tab w:val="left" w:pos="1352"/>
        </w:tabs>
        <w:ind w:left="1352" w:hanging="720"/>
      </w:pPr>
      <w:rPr>
        <w:rFonts w:hint="default"/>
      </w:rPr>
    </w:lvl>
    <w:lvl w:ilvl="1" w:tentative="0">
      <w:start w:val="1"/>
      <w:numFmt w:val="lowerLetter"/>
      <w:lvlText w:val="%2)"/>
      <w:lvlJc w:val="left"/>
      <w:pPr>
        <w:tabs>
          <w:tab w:val="left" w:pos="1472"/>
        </w:tabs>
        <w:ind w:left="1472" w:hanging="420"/>
      </w:pPr>
    </w:lvl>
    <w:lvl w:ilvl="2" w:tentative="0">
      <w:start w:val="1"/>
      <w:numFmt w:val="lowerRoman"/>
      <w:lvlText w:val="%3."/>
      <w:lvlJc w:val="right"/>
      <w:pPr>
        <w:tabs>
          <w:tab w:val="left" w:pos="1892"/>
        </w:tabs>
        <w:ind w:left="1892" w:hanging="420"/>
      </w:pPr>
    </w:lvl>
    <w:lvl w:ilvl="3" w:tentative="0">
      <w:start w:val="1"/>
      <w:numFmt w:val="decimal"/>
      <w:lvlText w:val="%4."/>
      <w:lvlJc w:val="left"/>
      <w:pPr>
        <w:tabs>
          <w:tab w:val="left" w:pos="2312"/>
        </w:tabs>
        <w:ind w:left="2312" w:hanging="420"/>
      </w:pPr>
    </w:lvl>
    <w:lvl w:ilvl="4" w:tentative="0">
      <w:start w:val="1"/>
      <w:numFmt w:val="lowerLetter"/>
      <w:lvlText w:val="%5)"/>
      <w:lvlJc w:val="left"/>
      <w:pPr>
        <w:tabs>
          <w:tab w:val="left" w:pos="2732"/>
        </w:tabs>
        <w:ind w:left="2732" w:hanging="420"/>
      </w:pPr>
    </w:lvl>
    <w:lvl w:ilvl="5" w:tentative="0">
      <w:start w:val="1"/>
      <w:numFmt w:val="lowerRoman"/>
      <w:lvlText w:val="%6."/>
      <w:lvlJc w:val="right"/>
      <w:pPr>
        <w:tabs>
          <w:tab w:val="left" w:pos="3152"/>
        </w:tabs>
        <w:ind w:left="3152" w:hanging="420"/>
      </w:pPr>
    </w:lvl>
    <w:lvl w:ilvl="6" w:tentative="0">
      <w:start w:val="1"/>
      <w:numFmt w:val="decimal"/>
      <w:lvlText w:val="%7."/>
      <w:lvlJc w:val="left"/>
      <w:pPr>
        <w:tabs>
          <w:tab w:val="left" w:pos="3572"/>
        </w:tabs>
        <w:ind w:left="3572" w:hanging="420"/>
      </w:pPr>
    </w:lvl>
    <w:lvl w:ilvl="7" w:tentative="0">
      <w:start w:val="1"/>
      <w:numFmt w:val="lowerLetter"/>
      <w:lvlText w:val="%8)"/>
      <w:lvlJc w:val="left"/>
      <w:pPr>
        <w:tabs>
          <w:tab w:val="left" w:pos="3992"/>
        </w:tabs>
        <w:ind w:left="3992" w:hanging="420"/>
      </w:pPr>
    </w:lvl>
    <w:lvl w:ilvl="8" w:tentative="0">
      <w:start w:val="1"/>
      <w:numFmt w:val="lowerRoman"/>
      <w:lvlText w:val="%9."/>
      <w:lvlJc w:val="right"/>
      <w:pPr>
        <w:tabs>
          <w:tab w:val="left" w:pos="4412"/>
        </w:tabs>
        <w:ind w:left="441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evenAndOddHeaders w:val="1"/>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4B679C3"/>
    <w:rsid w:val="05F07036"/>
    <w:rsid w:val="06E00104"/>
    <w:rsid w:val="080F63D8"/>
    <w:rsid w:val="09341458"/>
    <w:rsid w:val="098254C2"/>
    <w:rsid w:val="0A766EDE"/>
    <w:rsid w:val="0AD64BE8"/>
    <w:rsid w:val="0B0912D7"/>
    <w:rsid w:val="0E025194"/>
    <w:rsid w:val="0EEF0855"/>
    <w:rsid w:val="11DB7C71"/>
    <w:rsid w:val="151F5C98"/>
    <w:rsid w:val="152D2DCA"/>
    <w:rsid w:val="187168EA"/>
    <w:rsid w:val="196673CA"/>
    <w:rsid w:val="1CF734C9"/>
    <w:rsid w:val="1DEC284C"/>
    <w:rsid w:val="1E6523AC"/>
    <w:rsid w:val="22440422"/>
    <w:rsid w:val="22BB4BBB"/>
    <w:rsid w:val="25EB1AF4"/>
    <w:rsid w:val="2DD05FE1"/>
    <w:rsid w:val="2EAE3447"/>
    <w:rsid w:val="31A15F24"/>
    <w:rsid w:val="36FB1DF0"/>
    <w:rsid w:val="395347B5"/>
    <w:rsid w:val="39A232A0"/>
    <w:rsid w:val="39E745AA"/>
    <w:rsid w:val="3B5A6BBB"/>
    <w:rsid w:val="3CA154E3"/>
    <w:rsid w:val="3EDA13A6"/>
    <w:rsid w:val="3FF56C14"/>
    <w:rsid w:val="417B75E9"/>
    <w:rsid w:val="42430A63"/>
    <w:rsid w:val="42F058B7"/>
    <w:rsid w:val="436109F6"/>
    <w:rsid w:val="441A38D4"/>
    <w:rsid w:val="4504239D"/>
    <w:rsid w:val="4BC77339"/>
    <w:rsid w:val="4C9236C5"/>
    <w:rsid w:val="4E250A85"/>
    <w:rsid w:val="4FFD4925"/>
    <w:rsid w:val="505C172E"/>
    <w:rsid w:val="506405EA"/>
    <w:rsid w:val="52F46F0B"/>
    <w:rsid w:val="532B6A10"/>
    <w:rsid w:val="539E4E99"/>
    <w:rsid w:val="53D8014D"/>
    <w:rsid w:val="550C209A"/>
    <w:rsid w:val="55E064E0"/>
    <w:rsid w:val="572C6D10"/>
    <w:rsid w:val="5DAC2506"/>
    <w:rsid w:val="5DC34279"/>
    <w:rsid w:val="5FCD688E"/>
    <w:rsid w:val="5FF9BDAA"/>
    <w:rsid w:val="608816D1"/>
    <w:rsid w:val="60EF4E7F"/>
    <w:rsid w:val="648B0A32"/>
    <w:rsid w:val="658F6764"/>
    <w:rsid w:val="665233C1"/>
    <w:rsid w:val="69AC0D42"/>
    <w:rsid w:val="6AD9688B"/>
    <w:rsid w:val="6B68303F"/>
    <w:rsid w:val="6D0E3F22"/>
    <w:rsid w:val="744E4660"/>
    <w:rsid w:val="753355A2"/>
    <w:rsid w:val="759F1C61"/>
    <w:rsid w:val="769F2DE8"/>
    <w:rsid w:val="76FDEB7C"/>
    <w:rsid w:val="79C65162"/>
    <w:rsid w:val="79EE7E31"/>
    <w:rsid w:val="7C9011D9"/>
    <w:rsid w:val="7DC651C5"/>
    <w:rsid w:val="7FCC2834"/>
    <w:rsid w:val="92DD1CEF"/>
    <w:rsid w:val="BD9D1569"/>
    <w:rsid w:val="EBDDA9D0"/>
    <w:rsid w:val="F05B4F69"/>
    <w:rsid w:val="F7F902F6"/>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宋体"/>
      <w:b/>
      <w:bCs/>
      <w:kern w:val="44"/>
      <w:sz w:val="44"/>
      <w:szCs w:val="44"/>
    </w:rPr>
  </w:style>
  <w:style w:type="paragraph" w:styleId="3">
    <w:name w:val="heading 2"/>
    <w:basedOn w:val="1"/>
    <w:next w:val="1"/>
    <w:unhideWhenUsed/>
    <w:qFormat/>
    <w:uiPriority w:val="0"/>
    <w:pPr>
      <w:keepNext w:val="0"/>
      <w:keepLines w:val="0"/>
      <w:adjustRightInd w:val="0"/>
      <w:spacing w:beforeLines="0" w:beforeAutospacing="0" w:afterLines="0" w:afterAutospacing="0" w:line="240" w:lineRule="auto"/>
      <w:ind w:firstLine="632" w:firstLineChars="200"/>
      <w:outlineLvl w:val="1"/>
    </w:pPr>
    <w:rPr>
      <w:rFonts w:eastAsia="方正黑体_GBK"/>
    </w:rPr>
  </w:style>
  <w:style w:type="paragraph" w:styleId="4">
    <w:name w:val="heading 3"/>
    <w:basedOn w:val="1"/>
    <w:next w:val="1"/>
    <w:link w:val="18"/>
    <w:unhideWhenUsed/>
    <w:qFormat/>
    <w:uiPriority w:val="0"/>
    <w:pPr>
      <w:keepNext w:val="0"/>
      <w:keepLines w:val="0"/>
      <w:adjustRightInd w:val="0"/>
      <w:spacing w:beforeLines="0" w:beforeAutospacing="0" w:afterLines="0" w:afterAutospacing="0" w:line="240" w:lineRule="auto"/>
      <w:ind w:firstLine="632" w:firstLineChars="200"/>
      <w:outlineLvl w:val="2"/>
    </w:pPr>
    <w:rPr>
      <w:rFonts w:eastAsia="方正楷体_GBK"/>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link w:val="13"/>
    <w:semiHidden/>
    <w:qFormat/>
    <w:uiPriority w:val="0"/>
    <w:rPr>
      <w:rFonts w:eastAsia="宋体"/>
      <w:sz w:val="24"/>
    </w:rPr>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qFormat/>
    <w:uiPriority w:val="0"/>
    <w:pPr>
      <w:spacing w:after="120" w:afterLines="0" w:afterAutospacing="0"/>
    </w:pPr>
  </w:style>
  <w:style w:type="paragraph" w:styleId="8">
    <w:name w:val="List Bullet 5"/>
    <w:basedOn w:val="1"/>
    <w:uiPriority w:val="0"/>
    <w:pPr>
      <w:numPr>
        <w:ilvl w:val="0"/>
        <w:numId w:val="1"/>
      </w:numPr>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3">
    <w:name w:val=" Char"/>
    <w:basedOn w:val="1"/>
    <w:link w:val="12"/>
    <w:uiPriority w:val="0"/>
    <w:pPr>
      <w:numPr>
        <w:ilvl w:val="0"/>
        <w:numId w:val="2"/>
      </w:numPr>
    </w:pPr>
    <w:rPr>
      <w:rFonts w:eastAsia="宋体"/>
      <w:sz w:val="24"/>
    </w:rPr>
  </w:style>
  <w:style w:type="character" w:styleId="14">
    <w:name w:val="Strong"/>
    <w:basedOn w:val="12"/>
    <w:qFormat/>
    <w:uiPriority w:val="0"/>
    <w:rPr>
      <w:b/>
      <w:bCs/>
    </w:rPr>
  </w:style>
  <w:style w:type="character" w:styleId="15">
    <w:name w:val="page number"/>
    <w:basedOn w:val="12"/>
    <w:qFormat/>
    <w:uiPriority w:val="0"/>
  </w:style>
  <w:style w:type="paragraph" w:customStyle="1" w:styleId="17">
    <w:name w:val="p0"/>
    <w:basedOn w:val="1"/>
    <w:qFormat/>
    <w:uiPriority w:val="0"/>
    <w:pPr>
      <w:widowControl/>
    </w:pPr>
    <w:rPr>
      <w:rFonts w:ascii="Calibri" w:hAnsi="Calibri" w:eastAsia="宋体" w:cs="宋体"/>
      <w:kern w:val="0"/>
      <w:szCs w:val="32"/>
    </w:rPr>
  </w:style>
  <w:style w:type="character" w:customStyle="1" w:styleId="18">
    <w:name w:val="标题 3 Char"/>
    <w:link w:val="4"/>
    <w:qFormat/>
    <w:uiPriority w:val="0"/>
    <w:rPr>
      <w:rFonts w:eastAsia="方正楷体_GBK"/>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TotalTime>
  <ScaleCrop>false</ScaleCrop>
  <LinksUpToDate>false</LinksUpToDate>
  <CharactersWithSpaces>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重庆市生态环境局_办公室_发文秘书</cp:lastModifiedBy>
  <cp:lastPrinted>2022-06-06T16:09:00Z</cp:lastPrinted>
  <dcterms:modified xsi:type="dcterms:W3CDTF">2024-03-22T08:10:51Z</dcterms:modified>
  <dc:title>重庆市生态环境局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48C61CB29D3F4D9384F5922CF0F7FFB4</vt:lpwstr>
  </property>
</Properties>
</file>