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8EB" w:rsidRDefault="00B277BA">
      <w:pPr>
        <w:adjustRightInd w:val="0"/>
        <w:snapToGrid w:val="0"/>
        <w:spacing w:line="8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重庆市建设用地土壤修复效果评估报告技术要点</w:t>
      </w:r>
    </w:p>
    <w:p w:rsidR="006D38EB" w:rsidRDefault="00B277BA">
      <w:pPr>
        <w:adjustRightInd w:val="0"/>
        <w:snapToGrid w:val="0"/>
        <w:spacing w:line="80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（征求意见稿）</w:t>
      </w:r>
    </w:p>
    <w:p w:rsidR="006D38EB" w:rsidRDefault="006D38EB">
      <w:pPr>
        <w:adjustRightInd w:val="0"/>
        <w:snapToGrid w:val="0"/>
        <w:spacing w:line="600" w:lineRule="exact"/>
        <w:ind w:firstLineChars="200" w:firstLine="640"/>
        <w:rPr>
          <w:rFonts w:ascii="方正仿宋_GBK" w:eastAsia="方正仿宋_GBK" w:hAnsi="方正仿宋_GBK" w:cs="方正仿宋_GBK"/>
          <w:sz w:val="32"/>
          <w:szCs w:val="32"/>
        </w:rPr>
      </w:pP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土壤污染修复效果评估工作总体应满足《建设用地土壤污染风险管控和修复监测技术导则》（</w:t>
      </w:r>
      <w:r>
        <w:rPr>
          <w:rFonts w:ascii="方正仿宋_GBK" w:eastAsia="方正仿宋_GBK" w:hAnsi="方正仿宋_GBK" w:cs="方正仿宋_GBK" w:hint="eastAsia"/>
          <w:sz w:val="32"/>
          <w:szCs w:val="32"/>
        </w:rPr>
        <w:t>HJ25.2</w:t>
      </w:r>
      <w:r>
        <w:rPr>
          <w:rFonts w:ascii="方正仿宋_GBK" w:eastAsia="方正仿宋_GBK" w:hAnsi="方正仿宋_GBK" w:cs="方正仿宋_GBK" w:hint="eastAsia"/>
          <w:sz w:val="32"/>
          <w:szCs w:val="32"/>
        </w:rPr>
        <w:t>）《污染地块风险管控与土壤修复效果评估技术导则》（</w:t>
      </w:r>
      <w:r>
        <w:rPr>
          <w:rFonts w:ascii="方正仿宋_GBK" w:eastAsia="方正仿宋_GBK" w:hAnsi="方正仿宋_GBK" w:cs="方正仿宋_GBK" w:hint="eastAsia"/>
          <w:sz w:val="32"/>
          <w:szCs w:val="32"/>
        </w:rPr>
        <w:t>HJ25.5</w:t>
      </w:r>
      <w:r>
        <w:rPr>
          <w:rFonts w:ascii="方正仿宋_GBK" w:eastAsia="方正仿宋_GBK" w:hAnsi="方正仿宋_GBK" w:cs="方正仿宋_GBK" w:hint="eastAsia"/>
          <w:sz w:val="32"/>
          <w:szCs w:val="32"/>
        </w:rPr>
        <w:t>）《污染地块地下水修复和风险管控技术导则》（</w:t>
      </w:r>
      <w:r>
        <w:rPr>
          <w:rFonts w:ascii="方正仿宋_GBK" w:eastAsia="方正仿宋_GBK" w:hAnsi="方正仿宋_GBK" w:cs="方正仿宋_GBK" w:hint="eastAsia"/>
          <w:sz w:val="32"/>
          <w:szCs w:val="32"/>
        </w:rPr>
        <w:t>HJ25.6</w:t>
      </w:r>
      <w:r>
        <w:rPr>
          <w:rFonts w:ascii="方正仿宋_GBK" w:eastAsia="方正仿宋_GBK" w:hAnsi="方正仿宋_GBK" w:cs="方正仿宋_GBK" w:hint="eastAsia"/>
          <w:sz w:val="32"/>
          <w:szCs w:val="32"/>
        </w:rPr>
        <w:t>）相关要求。</w:t>
      </w:r>
    </w:p>
    <w:p w:rsidR="006D38EB" w:rsidRDefault="00B277BA">
      <w:pPr>
        <w:adjustRightInd w:val="0"/>
        <w:snapToGri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一、效果评估时间</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设用地土壤和地下水的修复效果评估应在修复施工单位完成修复工程，且土壤和地下水修复监测结果满足相关目标值的条件下开展。分区域、分阶段实施修复的，应同步开展效果评估工作，修复活动完成后迅即汇总形成总体效果评估报告。</w:t>
      </w:r>
    </w:p>
    <w:p w:rsidR="006D38EB" w:rsidRDefault="00B277BA">
      <w:pPr>
        <w:adjustRightInd w:val="0"/>
        <w:snapToGri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二、更新地块概念模型</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通过资料回顾、现场踏勘、人员访谈等掌握地块风险管控与修复情况、关注污染物情况、地质与水文地质情况和潜在受体与周边环境情况，确定效果评估的污染物种类、目标值、对象、范围、采样节点和布点位置、深度等。</w:t>
      </w:r>
    </w:p>
    <w:p w:rsidR="006D38EB" w:rsidRDefault="00B277BA">
      <w:pPr>
        <w:adjustRightInd w:val="0"/>
        <w:snapToGri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三、修复效果评估布点与采样</w:t>
      </w:r>
    </w:p>
    <w:p w:rsidR="006D38EB" w:rsidRDefault="00B277BA">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（一）土壤修复效果评估布点</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基坑清理效果布点</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应在基坑清理自检合格后，回填前采样。</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基坑底部：采用系统布点法均分采样单元，每个采样单元中均匀分布采集</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个土壤样品制成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个混合样（测定挥发性有机物项目除外）。采集土壤混合样时，应在各点采集重量相等的土壤样品（对应前面</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个表层样，每个点位应采集相同重量的土壤样品，所有点位采集土壤样品总量需大于或等于检测所需的土壤样品量），采集的样品全部送检测试验室（下文中土壤混合样的采样同此要求）。最少样品个数需满足表</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要求。</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基坑侧壁：采用等距离布点法划分横向采样单元，每个采样单元最大长度不超过</w:t>
      </w: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米，在每段均匀采集</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个土</w:t>
      </w:r>
      <w:r>
        <w:rPr>
          <w:rFonts w:ascii="方正仿宋_GBK" w:eastAsia="方正仿宋_GBK" w:hAnsi="方正仿宋_GBK" w:cs="方正仿宋_GBK" w:hint="eastAsia"/>
          <w:sz w:val="32"/>
          <w:szCs w:val="32"/>
        </w:rPr>
        <w:t>壤样品制成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个混合样（测定挥发性有机物项目除外），最少样品数量需满足表</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要求。当基坑深度大于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米时，侧壁应进行垂向分层采样，在污染物易富集位置设置采样点，各层采样点之间垂向距离不大于</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米。若侧壁呈阶梯状分层，应在各层进行采样；若各分层深度大于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米，侧壁应进行垂向分层采样。</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基坑坑底和坑壁以采集去除杂质后的土壤表层样为主，存在六价铬、石油烃、氯代烃、苯系物污染的区域，需采集深层样。基坑底部或侧壁的深层样品数量不少于各自样品的</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个。深层样品采样深度为不低于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米，深层样品为单点样品。</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若基坑内存在“坑</w:t>
      </w:r>
      <w:r>
        <w:rPr>
          <w:rFonts w:ascii="方正仿宋_GBK" w:eastAsia="方正仿宋_GBK" w:hAnsi="方正仿宋_GBK" w:cs="方正仿宋_GBK" w:hint="eastAsia"/>
          <w:sz w:val="32"/>
          <w:szCs w:val="32"/>
        </w:rPr>
        <w:t>中坑”的，“坑中坑”侧壁和底部的</w:t>
      </w:r>
      <w:r>
        <w:rPr>
          <w:rFonts w:ascii="方正仿宋_GBK" w:eastAsia="方正仿宋_GBK" w:hAnsi="方正仿宋_GBK" w:cs="方正仿宋_GBK" w:hint="eastAsia"/>
          <w:sz w:val="32"/>
          <w:szCs w:val="32"/>
        </w:rPr>
        <w:lastRenderedPageBreak/>
        <w:t>采样同上述要求（坑中坑深度之和小于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米的，可视为同一平面）。</w:t>
      </w:r>
    </w:p>
    <w:p w:rsidR="006D38EB" w:rsidRDefault="00B277BA">
      <w:pPr>
        <w:adjustRightInd w:val="0"/>
        <w:snapToGrid w:val="0"/>
        <w:spacing w:line="600" w:lineRule="exact"/>
        <w:ind w:firstLineChars="200" w:firstLine="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表</w:t>
      </w: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基坑底部和侧壁最少采样点数</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3198"/>
        <w:gridCol w:w="3188"/>
      </w:tblGrid>
      <w:tr w:rsidR="006D38EB">
        <w:trPr>
          <w:jc w:val="center"/>
        </w:trPr>
        <w:tc>
          <w:tcPr>
            <w:tcW w:w="2134"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基坑面积</w:t>
            </w:r>
            <w:r>
              <w:rPr>
                <w:rFonts w:ascii="方正仿宋_GBK" w:eastAsia="方正仿宋_GBK" w:hAnsi="方正仿宋_GBK" w:cs="方正仿宋_GBK" w:hint="eastAsia"/>
                <w:sz w:val="28"/>
                <w:szCs w:val="28"/>
              </w:rPr>
              <w:t>/m</w:t>
            </w:r>
            <w:r>
              <w:rPr>
                <w:rFonts w:ascii="方正仿宋_GBK" w:eastAsia="方正仿宋_GBK" w:hAnsi="方正仿宋_GBK" w:cs="方正仿宋_GBK" w:hint="eastAsia"/>
                <w:sz w:val="28"/>
                <w:szCs w:val="28"/>
                <w:vertAlign w:val="superscript"/>
              </w:rPr>
              <w:t>2</w:t>
            </w:r>
          </w:p>
        </w:tc>
        <w:tc>
          <w:tcPr>
            <w:tcW w:w="319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坑底采样点数量</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个</w:t>
            </w:r>
          </w:p>
        </w:tc>
        <w:tc>
          <w:tcPr>
            <w:tcW w:w="318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侧壁采样点数量</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个</w:t>
            </w:r>
          </w:p>
        </w:tc>
      </w:tr>
      <w:tr w:rsidR="006D38EB">
        <w:trPr>
          <w:jc w:val="center"/>
        </w:trPr>
        <w:tc>
          <w:tcPr>
            <w:tcW w:w="2134"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X&lt;100</w:t>
            </w:r>
          </w:p>
        </w:tc>
        <w:tc>
          <w:tcPr>
            <w:tcW w:w="319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318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r>
      <w:tr w:rsidR="006D38EB">
        <w:trPr>
          <w:jc w:val="center"/>
        </w:trPr>
        <w:tc>
          <w:tcPr>
            <w:tcW w:w="2134"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100</w:t>
            </w:r>
            <w:r>
              <w:rPr>
                <w:rFonts w:ascii="Arial" w:eastAsia="方正仿宋_GBK" w:hAnsi="Arial" w:cs="Arial"/>
                <w:sz w:val="28"/>
                <w:szCs w:val="28"/>
              </w:rPr>
              <w:t>≤</w:t>
            </w:r>
            <w:r>
              <w:rPr>
                <w:rFonts w:ascii="方正仿宋_GBK" w:eastAsia="方正仿宋_GBK" w:hAnsi="方正仿宋_GBK" w:cs="方正仿宋_GBK" w:hint="eastAsia"/>
                <w:sz w:val="28"/>
                <w:szCs w:val="28"/>
              </w:rPr>
              <w:t>X&lt;1000</w:t>
            </w:r>
          </w:p>
        </w:tc>
        <w:tc>
          <w:tcPr>
            <w:tcW w:w="319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318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r>
      <w:tr w:rsidR="006D38EB">
        <w:trPr>
          <w:jc w:val="center"/>
        </w:trPr>
        <w:tc>
          <w:tcPr>
            <w:tcW w:w="2134"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1000</w:t>
            </w:r>
            <w:r>
              <w:rPr>
                <w:rFonts w:ascii="Arial" w:eastAsia="方正仿宋_GBK" w:hAnsi="Arial" w:cs="Arial"/>
                <w:sz w:val="28"/>
                <w:szCs w:val="28"/>
              </w:rPr>
              <w:t>≤</w:t>
            </w:r>
            <w:r>
              <w:rPr>
                <w:rFonts w:ascii="方正仿宋_GBK" w:eastAsia="方正仿宋_GBK" w:hAnsi="方正仿宋_GBK" w:cs="方正仿宋_GBK" w:hint="eastAsia"/>
                <w:sz w:val="28"/>
                <w:szCs w:val="28"/>
              </w:rPr>
              <w:t>X&lt;1500</w:t>
            </w:r>
          </w:p>
        </w:tc>
        <w:tc>
          <w:tcPr>
            <w:tcW w:w="319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318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p>
        </w:tc>
      </w:tr>
      <w:tr w:rsidR="006D38EB">
        <w:trPr>
          <w:jc w:val="center"/>
        </w:trPr>
        <w:tc>
          <w:tcPr>
            <w:tcW w:w="2134"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1500</w:t>
            </w:r>
            <w:r>
              <w:rPr>
                <w:rFonts w:ascii="Arial" w:eastAsia="方正仿宋_GBK" w:hAnsi="Arial" w:cs="Arial"/>
                <w:sz w:val="28"/>
                <w:szCs w:val="28"/>
              </w:rPr>
              <w:t>≤</w:t>
            </w:r>
            <w:r>
              <w:rPr>
                <w:rFonts w:ascii="方正仿宋_GBK" w:eastAsia="方正仿宋_GBK" w:hAnsi="方正仿宋_GBK" w:cs="方正仿宋_GBK" w:hint="eastAsia"/>
                <w:sz w:val="28"/>
                <w:szCs w:val="28"/>
              </w:rPr>
              <w:t>X&lt;2500</w:t>
            </w:r>
          </w:p>
        </w:tc>
        <w:tc>
          <w:tcPr>
            <w:tcW w:w="319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c>
          <w:tcPr>
            <w:tcW w:w="318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p>
        </w:tc>
      </w:tr>
      <w:tr w:rsidR="006D38EB">
        <w:trPr>
          <w:jc w:val="center"/>
        </w:trPr>
        <w:tc>
          <w:tcPr>
            <w:tcW w:w="2134"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2500</w:t>
            </w:r>
            <w:r>
              <w:rPr>
                <w:rFonts w:ascii="Arial" w:eastAsia="方正仿宋_GBK" w:hAnsi="Arial" w:cs="Arial"/>
                <w:sz w:val="28"/>
                <w:szCs w:val="28"/>
              </w:rPr>
              <w:t>≤</w:t>
            </w:r>
            <w:r>
              <w:rPr>
                <w:rFonts w:ascii="方正仿宋_GBK" w:eastAsia="方正仿宋_GBK" w:hAnsi="方正仿宋_GBK" w:cs="方正仿宋_GBK" w:hint="eastAsia"/>
                <w:sz w:val="28"/>
                <w:szCs w:val="28"/>
              </w:rPr>
              <w:t>X&lt;5000</w:t>
            </w:r>
          </w:p>
        </w:tc>
        <w:tc>
          <w:tcPr>
            <w:tcW w:w="319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p>
        </w:tc>
        <w:tc>
          <w:tcPr>
            <w:tcW w:w="318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p>
        </w:tc>
      </w:tr>
      <w:tr w:rsidR="006D38EB">
        <w:trPr>
          <w:jc w:val="center"/>
        </w:trPr>
        <w:tc>
          <w:tcPr>
            <w:tcW w:w="2134"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5000</w:t>
            </w:r>
            <w:r>
              <w:rPr>
                <w:rFonts w:ascii="Arial" w:eastAsia="方正仿宋_GBK" w:hAnsi="Arial" w:cs="Arial"/>
                <w:sz w:val="28"/>
                <w:szCs w:val="28"/>
              </w:rPr>
              <w:t>≤</w:t>
            </w:r>
            <w:r>
              <w:rPr>
                <w:rFonts w:ascii="方正仿宋_GBK" w:eastAsia="方正仿宋_GBK" w:hAnsi="方正仿宋_GBK" w:cs="方正仿宋_GBK" w:hint="eastAsia"/>
                <w:sz w:val="28"/>
                <w:szCs w:val="28"/>
              </w:rPr>
              <w:t>X&lt;7500</w:t>
            </w:r>
          </w:p>
        </w:tc>
        <w:tc>
          <w:tcPr>
            <w:tcW w:w="319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p>
        </w:tc>
        <w:tc>
          <w:tcPr>
            <w:tcW w:w="318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w:t>
            </w:r>
          </w:p>
        </w:tc>
      </w:tr>
      <w:tr w:rsidR="006D38EB">
        <w:trPr>
          <w:jc w:val="center"/>
        </w:trPr>
        <w:tc>
          <w:tcPr>
            <w:tcW w:w="2134"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7500</w:t>
            </w:r>
            <w:r>
              <w:rPr>
                <w:rFonts w:ascii="Arial" w:eastAsia="方正仿宋_GBK" w:hAnsi="Arial" w:cs="Arial"/>
                <w:sz w:val="28"/>
                <w:szCs w:val="28"/>
              </w:rPr>
              <w:t>≤</w:t>
            </w:r>
            <w:r>
              <w:rPr>
                <w:rFonts w:ascii="方正仿宋_GBK" w:eastAsia="方正仿宋_GBK" w:hAnsi="方正仿宋_GBK" w:cs="方正仿宋_GBK" w:hint="eastAsia"/>
                <w:sz w:val="28"/>
                <w:szCs w:val="28"/>
              </w:rPr>
              <w:t>X&lt;12500</w:t>
            </w:r>
          </w:p>
        </w:tc>
        <w:tc>
          <w:tcPr>
            <w:tcW w:w="319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p>
        </w:tc>
        <w:tc>
          <w:tcPr>
            <w:tcW w:w="318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r>
      <w:tr w:rsidR="006D38EB">
        <w:trPr>
          <w:jc w:val="center"/>
        </w:trPr>
        <w:tc>
          <w:tcPr>
            <w:tcW w:w="2134"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X&gt;12500</w:t>
            </w:r>
          </w:p>
        </w:tc>
        <w:tc>
          <w:tcPr>
            <w:tcW w:w="319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网格大小不超过</w:t>
            </w:r>
            <w:r>
              <w:rPr>
                <w:rFonts w:ascii="方正仿宋_GBK" w:eastAsia="方正仿宋_GBK" w:hAnsi="方正仿宋_GBK" w:cs="方正仿宋_GBK" w:hint="eastAsia"/>
                <w:sz w:val="28"/>
                <w:szCs w:val="28"/>
              </w:rPr>
              <w:t>40m</w:t>
            </w:r>
            <w:r>
              <w:rPr>
                <w:rFonts w:ascii="Arial" w:eastAsia="方正仿宋_GBK" w:hAnsi="Arial" w:cs="Arial"/>
                <w:sz w:val="28"/>
                <w:szCs w:val="28"/>
              </w:rPr>
              <w:t>×</w:t>
            </w:r>
            <w:r>
              <w:rPr>
                <w:rFonts w:ascii="方正仿宋_GBK" w:eastAsia="方正仿宋_GBK" w:hAnsi="方正仿宋_GBK" w:cs="方正仿宋_GBK" w:hint="eastAsia"/>
                <w:sz w:val="28"/>
                <w:szCs w:val="28"/>
              </w:rPr>
              <w:t>40</w:t>
            </w:r>
          </w:p>
        </w:tc>
        <w:tc>
          <w:tcPr>
            <w:tcW w:w="3188" w:type="dxa"/>
          </w:tcPr>
          <w:p w:rsidR="006D38EB" w:rsidRDefault="00B277BA">
            <w:pPr>
              <w:adjustRightInd w:val="0"/>
              <w:snapToGrid w:val="0"/>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采样点间隔不超过</w:t>
            </w:r>
            <w:r>
              <w:rPr>
                <w:rFonts w:ascii="方正仿宋_GBK" w:eastAsia="方正仿宋_GBK" w:hAnsi="方正仿宋_GBK" w:cs="方正仿宋_GBK" w:hint="eastAsia"/>
                <w:sz w:val="28"/>
                <w:szCs w:val="28"/>
              </w:rPr>
              <w:t>40m</w:t>
            </w:r>
          </w:p>
        </w:tc>
      </w:tr>
    </w:tbl>
    <w:p w:rsidR="006D38EB" w:rsidRDefault="00B277BA">
      <w:pPr>
        <w:adjustRightInd w:val="0"/>
        <w:snapToGrid w:val="0"/>
        <w:spacing w:line="60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28"/>
          <w:szCs w:val="28"/>
        </w:rPr>
        <w:t>注：</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个采样点最少采集</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个样品，</w:t>
      </w:r>
      <w:r>
        <w:rPr>
          <w:rFonts w:ascii="方正仿宋_GBK" w:eastAsia="方正仿宋_GBK" w:hAnsi="方正仿宋_GBK" w:cs="方正仿宋_GBK"/>
          <w:sz w:val="28"/>
          <w:szCs w:val="28"/>
        </w:rPr>
        <w:t>1</w:t>
      </w:r>
      <w:r>
        <w:rPr>
          <w:rFonts w:ascii="方正仿宋_GBK" w:eastAsia="方正仿宋_GBK" w:hAnsi="方正仿宋_GBK" w:cs="方正仿宋_GBK"/>
          <w:sz w:val="28"/>
          <w:szCs w:val="28"/>
        </w:rPr>
        <w:t>个混合样计为</w:t>
      </w:r>
      <w:r>
        <w:rPr>
          <w:rFonts w:ascii="方正仿宋_GBK" w:eastAsia="方正仿宋_GBK" w:hAnsi="方正仿宋_GBK" w:cs="方正仿宋_GBK"/>
          <w:sz w:val="28"/>
          <w:szCs w:val="28"/>
        </w:rPr>
        <w:t>1</w:t>
      </w:r>
      <w:r>
        <w:rPr>
          <w:rFonts w:ascii="方正仿宋_GBK" w:eastAsia="方正仿宋_GBK" w:hAnsi="方正仿宋_GBK" w:cs="方正仿宋_GBK"/>
          <w:sz w:val="28"/>
          <w:szCs w:val="28"/>
        </w:rPr>
        <w:t>个样品</w:t>
      </w:r>
      <w:r>
        <w:rPr>
          <w:rFonts w:ascii="方正仿宋_GBK" w:eastAsia="方正仿宋_GBK" w:hAnsi="方正仿宋_GBK" w:cs="方正仿宋_GBK" w:hint="eastAsia"/>
          <w:sz w:val="28"/>
          <w:szCs w:val="28"/>
        </w:rPr>
        <w:t>。</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土壤异位修复效果评估布点</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应在土壤修复完成自检合格后采样。</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原则上每个采样单元不超过</w:t>
      </w:r>
      <w:r>
        <w:rPr>
          <w:rFonts w:ascii="方正仿宋_GBK" w:eastAsia="方正仿宋_GBK" w:hAnsi="方正仿宋_GBK" w:cs="方正仿宋_GBK" w:hint="eastAsia"/>
          <w:sz w:val="32"/>
          <w:szCs w:val="32"/>
        </w:rPr>
        <w:t>500</w:t>
      </w:r>
      <w:r>
        <w:rPr>
          <w:rFonts w:ascii="方正仿宋_GBK" w:eastAsia="方正仿宋_GBK" w:hAnsi="方正仿宋_GBK" w:cs="方正仿宋_GBK" w:hint="eastAsia"/>
          <w:sz w:val="32"/>
          <w:szCs w:val="32"/>
        </w:rPr>
        <w:t>立方米，堆体高度、形状应便于采样工作开展。对于按批次处理的修复技术，在满足前述要求的同时，每批次至少采集</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个样品；对于按堆体模式处理的修复技术，若在堆体拆除前采样，在满足前述要求的同时，应结合堆体大小设置采样点，采样点数量按照</w:t>
      </w:r>
      <w:r>
        <w:rPr>
          <w:rFonts w:ascii="方正仿宋_GBK" w:eastAsia="方正仿宋_GBK" w:hAnsi="方正仿宋_GBK" w:cs="方正仿宋_GBK" w:hint="eastAsia"/>
          <w:sz w:val="32"/>
          <w:szCs w:val="32"/>
        </w:rPr>
        <w:t>HJ25.5</w:t>
      </w:r>
      <w:r>
        <w:rPr>
          <w:rFonts w:ascii="方正仿宋_GBK" w:eastAsia="方正仿宋_GBK" w:hAnsi="方正仿宋_GBK" w:cs="方正仿宋_GBK" w:hint="eastAsia"/>
          <w:sz w:val="32"/>
          <w:szCs w:val="32"/>
        </w:rPr>
        <w:t>中表</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执行。</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修复后土壤一般采用系统布点法设置采样点；考虑修复效果差异（如堆体内部设置管线），应在修复效果薄弱区域</w:t>
      </w:r>
      <w:r>
        <w:rPr>
          <w:rFonts w:ascii="方正仿宋_GBK" w:eastAsia="方正仿宋_GBK" w:hAnsi="方正仿宋_GBK" w:cs="方正仿宋_GBK" w:hint="eastAsia"/>
          <w:sz w:val="32"/>
          <w:szCs w:val="32"/>
        </w:rPr>
        <w:lastRenderedPageBreak/>
        <w:t>增设采样</w:t>
      </w:r>
      <w:r>
        <w:rPr>
          <w:rFonts w:ascii="方正仿宋_GBK" w:eastAsia="方正仿宋_GBK" w:hAnsi="方正仿宋_GBK" w:cs="方正仿宋_GBK" w:hint="eastAsia"/>
          <w:sz w:val="32"/>
          <w:szCs w:val="32"/>
        </w:rPr>
        <w:t>点。每个采样单元均匀分布采集</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个土壤样品制成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个混合样（测定挥发性有机物项目除外）。开挖清洁土的监测参照此方法。</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土壤原位修复效果评估布点</w:t>
      </w:r>
    </w:p>
    <w:p w:rsidR="006D38EB" w:rsidRDefault="00B277BA">
      <w:pPr>
        <w:numPr>
          <w:ilvl w:val="255"/>
          <w:numId w:val="0"/>
        </w:numPr>
        <w:adjustRightInd w:val="0"/>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水平方向上采用系统布点法，采样数量参照表</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执行。垂直方向上采样深度应不小于调查评估确定的污染深度以及修复方案中确定修复可能造成污染物迁移的深度。根据土层性质设置采样点，原则上垂向采样点之间距离不大于</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米。在高浓度污染物聚集区、修复效果薄弱区、修复范围边界处等位置增设采样点。</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大粒径石块清洗效果布点</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大粒径石块原则上每个采样单元不超过</w:t>
      </w:r>
      <w:r>
        <w:rPr>
          <w:rFonts w:ascii="方正仿宋_GBK" w:eastAsia="方正仿宋_GBK" w:hAnsi="方正仿宋_GBK" w:cs="方正仿宋_GBK" w:hint="eastAsia"/>
          <w:sz w:val="32"/>
          <w:szCs w:val="32"/>
        </w:rPr>
        <w:t>500</w:t>
      </w:r>
      <w:r>
        <w:rPr>
          <w:rFonts w:ascii="方正仿宋_GBK" w:eastAsia="方正仿宋_GBK" w:hAnsi="方正仿宋_GBK" w:cs="方正仿宋_GBK" w:hint="eastAsia"/>
          <w:sz w:val="32"/>
          <w:szCs w:val="32"/>
        </w:rPr>
        <w:t>立方米，堆体高度</w:t>
      </w:r>
      <w:r>
        <w:rPr>
          <w:rFonts w:ascii="方正仿宋_GBK" w:eastAsia="方正仿宋_GBK" w:hAnsi="方正仿宋_GBK" w:cs="方正仿宋_GBK" w:hint="eastAsia"/>
          <w:sz w:val="32"/>
          <w:szCs w:val="32"/>
        </w:rPr>
        <w:t>应便于采样工作开展。一般采用系统布点法设置采样点，每个采样单元均匀采集</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个土壤样品制成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个混合样（测定挥发性有机物项目除外）。</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土壤污染二次污染区域布点</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应在修复主体工程结束、废水废气处置完成后采样。</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土壤污染二次污染区域包括：污染土壤暂存区、修复设施所在区、固体废物或危险废物堆存区、运输车辆临时道路、土壤或地下水待检区、废水暂存处理区、修复过程中污染物迁移涉及的区域、其他可能的二次污染区域。</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二次污染区采用系统布点法，采样点数量参照表</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执行。地块内中转运输道路等线性影响区，若硬化完好，应将道路</w:t>
      </w:r>
      <w:r>
        <w:rPr>
          <w:rFonts w:ascii="方正仿宋_GBK" w:eastAsia="方正仿宋_GBK" w:hAnsi="方正仿宋_GBK" w:cs="方正仿宋_GBK" w:hint="eastAsia"/>
          <w:sz w:val="32"/>
          <w:szCs w:val="32"/>
        </w:rPr>
        <w:lastRenderedPageBreak/>
        <w:t>表面堆积</w:t>
      </w:r>
      <w:r>
        <w:rPr>
          <w:rFonts w:ascii="方正仿宋_GBK" w:eastAsia="方正仿宋_GBK" w:hAnsi="方正仿宋_GBK" w:cs="方正仿宋_GBK" w:hint="eastAsia"/>
          <w:sz w:val="32"/>
          <w:szCs w:val="32"/>
        </w:rPr>
        <w:t>的土壤按污染土壤处置后，在污染物可能迁移的道路两侧进行采样。样品采集以去除杂质后的土壤表层样为主，存在六价铬、石油烃、氯代烃、苯系物污染的区域，需采集深层样。深层样品数量不少于样品总数的</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个。深层样品采样深度为不低于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米，深层样品为单点样品。</w:t>
      </w:r>
    </w:p>
    <w:p w:rsidR="006D38EB" w:rsidRDefault="00B277BA">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（二）地下水修复效果评估布点</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初步判断地下水中污染物浓度稳定达标且地下水流场达到稳定状态，进入地下水修复效果评估阶段。原则上采用修复工程运行阶段监测数据进行修复达标初判，至少需要连续</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个批次的季度监测数据，采样周期应涵盖地下水丰、平、枯水期。</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修复</w:t>
      </w:r>
      <w:r>
        <w:rPr>
          <w:rFonts w:ascii="方正仿宋_GBK" w:eastAsia="方正仿宋_GBK" w:hAnsi="方正仿宋_GBK" w:cs="方正仿宋_GBK" w:hint="eastAsia"/>
          <w:sz w:val="32"/>
          <w:szCs w:val="32"/>
        </w:rPr>
        <w:t>效果评估阶段应至少采集</w:t>
      </w: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个批次的样品，每个季度采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个批次，两个批次采样间隔时间不得少于</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个月。对于地下水流场变化较大的地块可适当增加采样频次。</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原则上修复效果评估范围内每个水文地质单元上游至少设置</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个监测点，内部应至少设置</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个监测点，下游至少设置</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个监测点。</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可利用地块环境调查、风险评估和修复过程建设的监测井，但其数量不应超过效果评估时监测井总数的</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，新增监测井位置应布设在地下水污染最严重的区域。不可利用原位修复的注入井</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抽提井进行地下水效果评估采样。</w:t>
      </w:r>
    </w:p>
    <w:p w:rsidR="006D38EB" w:rsidRDefault="00B277BA">
      <w:pPr>
        <w:numPr>
          <w:ilvl w:val="255"/>
          <w:numId w:val="0"/>
        </w:num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（三）风险管控效果评估布点</w:t>
      </w:r>
    </w:p>
    <w:p w:rsidR="006D38EB" w:rsidRDefault="00B277BA">
      <w:pPr>
        <w:numPr>
          <w:ilvl w:val="255"/>
          <w:numId w:val="0"/>
        </w:numPr>
        <w:adjustRightInd w:val="0"/>
        <w:snapToGrid w:val="0"/>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封顶、阻隔填埋、地下水阻隔墙、可渗透反应墙等风险</w:t>
      </w:r>
      <w:r>
        <w:rPr>
          <w:rFonts w:ascii="方正仿宋_GBK" w:eastAsia="方正仿宋_GBK" w:hAnsi="方正仿宋_GBK" w:cs="方正仿宋_GBK" w:hint="eastAsia"/>
          <w:sz w:val="32"/>
          <w:szCs w:val="32"/>
        </w:rPr>
        <w:lastRenderedPageBreak/>
        <w:t>管控效果评估布点的目的是评估工程措施是否有效，一般在工程设施完工一年内开展。工程性能指标按照工程实施要求进行评估。涉及监测污染物指标的，应采集</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个批次数据，每个季度采样一次，两个批次采样间隔时间不少于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个月。在风险管控范围上游、两侧、下游以及可能涉及的二次污染区域设置地下水监测井。</w:t>
      </w:r>
    </w:p>
    <w:p w:rsidR="006D38EB" w:rsidRDefault="00B277BA">
      <w:pPr>
        <w:numPr>
          <w:ilvl w:val="0"/>
          <w:numId w:val="1"/>
        </w:numPr>
        <w:adjustRightInd w:val="0"/>
        <w:snapToGrid w:val="0"/>
        <w:spacing w:line="60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现场采样</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修复效果评估现场采样按照</w:t>
      </w:r>
      <w:r>
        <w:rPr>
          <w:rFonts w:ascii="方正仿宋_GBK" w:eastAsia="方正仿宋_GBK" w:hAnsi="方正仿宋_GBK" w:cs="方正仿宋_GBK" w:hint="eastAsia"/>
          <w:sz w:val="32"/>
          <w:szCs w:val="32"/>
        </w:rPr>
        <w:t>HJ25.1</w:t>
      </w:r>
      <w:r>
        <w:rPr>
          <w:rFonts w:ascii="方正仿宋_GBK" w:eastAsia="方正仿宋_GBK" w:hAnsi="方正仿宋_GBK" w:cs="方正仿宋_GBK" w:hint="eastAsia"/>
          <w:sz w:val="32"/>
          <w:szCs w:val="32"/>
        </w:rPr>
        <w:t>和</w:t>
      </w:r>
      <w:r>
        <w:rPr>
          <w:rFonts w:ascii="方正仿宋_GBK" w:eastAsia="方正仿宋_GBK" w:hAnsi="方正仿宋_GBK" w:cs="方正仿宋_GBK" w:hint="eastAsia"/>
          <w:sz w:val="32"/>
          <w:szCs w:val="32"/>
        </w:rPr>
        <w:t>HJ25.2</w:t>
      </w:r>
      <w:r>
        <w:rPr>
          <w:rFonts w:ascii="方正仿宋_GBK" w:eastAsia="方正仿宋_GBK" w:hAnsi="方正仿宋_GBK" w:cs="方正仿宋_GBK" w:hint="eastAsia"/>
          <w:sz w:val="32"/>
          <w:szCs w:val="32"/>
        </w:rPr>
        <w:t>的规定执行。</w:t>
      </w:r>
    </w:p>
    <w:p w:rsidR="006D38EB" w:rsidRDefault="00B277BA">
      <w:pPr>
        <w:spacing w:line="560" w:lineRule="exact"/>
        <w:ind w:firstLineChars="200" w:firstLine="640"/>
        <w:rPr>
          <w:rFonts w:ascii="Times New Roman" w:eastAsia="方正楷体_GBK" w:hAnsi="Times New Roman" w:cs="Times New Roman"/>
          <w:kern w:val="0"/>
          <w:sz w:val="28"/>
          <w:szCs w:val="28"/>
        </w:rPr>
      </w:pP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五</w:t>
      </w:r>
      <w:r>
        <w:rPr>
          <w:rFonts w:ascii="Times New Roman" w:eastAsia="方正楷体_GBK" w:hAnsi="Times New Roman" w:cs="Times New Roman"/>
          <w:color w:val="000000"/>
          <w:sz w:val="32"/>
          <w:szCs w:val="32"/>
        </w:rPr>
        <w:t>）保存、流转与运输</w:t>
      </w:r>
    </w:p>
    <w:p w:rsidR="006D38EB" w:rsidRDefault="00B277BA">
      <w:pPr>
        <w:adjustRightInd w:val="0"/>
        <w:snapToGrid w:val="0"/>
        <w:spacing w:line="560" w:lineRule="exact"/>
        <w:ind w:firstLineChars="200" w:firstLine="640"/>
        <w:rPr>
          <w:rFonts w:ascii="Times New Roman" w:eastAsia="方正仿宋_GBK" w:hAnsi="Times New Roman" w:cs="Times New Roman"/>
          <w:color w:val="FF0000"/>
          <w:sz w:val="32"/>
          <w:szCs w:val="32"/>
          <w:highlight w:val="yellow"/>
        </w:rPr>
      </w:pPr>
      <w:r>
        <w:rPr>
          <w:rFonts w:ascii="Times New Roman" w:eastAsia="方正仿宋_GBK" w:hAnsi="Times New Roman" w:cs="Times New Roman"/>
          <w:sz w:val="32"/>
          <w:szCs w:val="32"/>
        </w:rPr>
        <w:t>土壤样品保存、流转与运输参照《土壤环境监测技术规范》（</w:t>
      </w:r>
      <w:r>
        <w:rPr>
          <w:rFonts w:ascii="Times New Roman" w:eastAsia="方正仿宋_GBK" w:hAnsi="Times New Roman" w:cs="Times New Roman"/>
          <w:sz w:val="32"/>
          <w:szCs w:val="32"/>
        </w:rPr>
        <w:t xml:space="preserve">HJ/T </w:t>
      </w:r>
      <w:r>
        <w:rPr>
          <w:rFonts w:ascii="Times New Roman" w:eastAsia="方正仿宋_GBK" w:hAnsi="Times New Roman" w:cs="Times New Roman"/>
          <w:sz w:val="32"/>
          <w:szCs w:val="32"/>
        </w:rPr>
        <w:t>166</w:t>
      </w:r>
      <w:r>
        <w:rPr>
          <w:rFonts w:ascii="Times New Roman" w:eastAsia="方正仿宋_GBK" w:hAnsi="Times New Roman" w:cs="Times New Roman"/>
          <w:sz w:val="32"/>
          <w:szCs w:val="32"/>
        </w:rPr>
        <w:t>）等技术文件的要求进行，其中六价铬土壤样品保存按照《土壤和沉积物六价铬的测定碱溶液提取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火焰原子吸收分光光度法》（</w:t>
      </w:r>
      <w:r>
        <w:rPr>
          <w:rFonts w:ascii="Times New Roman" w:eastAsia="方正仿宋_GBK" w:hAnsi="Times New Roman" w:cs="Times New Roman"/>
          <w:sz w:val="32"/>
          <w:szCs w:val="32"/>
        </w:rPr>
        <w:t>HJ1082-2019</w:t>
      </w:r>
      <w:r>
        <w:rPr>
          <w:rFonts w:ascii="Times New Roman" w:eastAsia="方正仿宋_GBK" w:hAnsi="Times New Roman" w:cs="Times New Roman"/>
          <w:sz w:val="32"/>
          <w:szCs w:val="32"/>
        </w:rPr>
        <w:t>）要求进行；地下水样品保存、流转与运输参照《地下水环境监测技术规范》（</w:t>
      </w:r>
      <w:r>
        <w:rPr>
          <w:rFonts w:ascii="Times New Roman" w:eastAsia="方正仿宋_GBK" w:hAnsi="Times New Roman" w:cs="Times New Roman"/>
          <w:sz w:val="32"/>
          <w:szCs w:val="32"/>
        </w:rPr>
        <w:t>HJ/T 164</w:t>
      </w:r>
      <w:r>
        <w:rPr>
          <w:rFonts w:ascii="Times New Roman" w:eastAsia="方正仿宋_GBK" w:hAnsi="Times New Roman" w:cs="Times New Roman"/>
          <w:sz w:val="32"/>
          <w:szCs w:val="32"/>
        </w:rPr>
        <w:t>）等技术文件的要求进行。</w:t>
      </w:r>
    </w:p>
    <w:p w:rsidR="006D38EB" w:rsidRDefault="00B277BA">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样品采集后应立即存放至保温箱内并低温保存。样品当天不能寄送至实验室的，应进行</w:t>
      </w:r>
      <w:r>
        <w:rPr>
          <w:rFonts w:ascii="Times New Roman" w:eastAsia="方正仿宋_GBK" w:hAnsi="Times New Roman" w:cs="Times New Roman"/>
          <w:sz w:val="32"/>
          <w:szCs w:val="32"/>
        </w:rPr>
        <w:t>4°C</w:t>
      </w:r>
      <w:r>
        <w:rPr>
          <w:rFonts w:ascii="Times New Roman" w:eastAsia="方正仿宋_GBK" w:hAnsi="Times New Roman" w:cs="Times New Roman"/>
          <w:sz w:val="32"/>
          <w:szCs w:val="32"/>
        </w:rPr>
        <w:t>温度下避光保存。</w:t>
      </w:r>
    </w:p>
    <w:p w:rsidR="006D38EB" w:rsidRDefault="00B277BA">
      <w:pPr>
        <w:adjustRightInd w:val="0"/>
        <w:snapToGrid w:val="0"/>
        <w:spacing w:line="560" w:lineRule="exact"/>
        <w:ind w:firstLineChars="200" w:firstLine="640"/>
        <w:rPr>
          <w:rFonts w:ascii="Times New Roman" w:eastAsia="宋体" w:hAnsi="Times New Roman" w:cs="Times New Roman"/>
          <w:szCs w:val="24"/>
        </w:rPr>
      </w:pPr>
      <w:r>
        <w:rPr>
          <w:rFonts w:ascii="Times New Roman" w:eastAsia="方正仿宋_GBK" w:hAnsi="Times New Roman" w:cs="Times New Roman"/>
          <w:sz w:val="32"/>
          <w:szCs w:val="32"/>
        </w:rPr>
        <w:t>一个样品运送批次应设置了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个运输空白样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6D38EB" w:rsidRDefault="00B277BA">
      <w:pPr>
        <w:autoSpaceDE w:val="0"/>
        <w:autoSpaceDN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六</w:t>
      </w:r>
      <w:r>
        <w:rPr>
          <w:rFonts w:ascii="Times New Roman" w:eastAsia="方正楷体_GBK" w:hAnsi="Times New Roman" w:cs="Times New Roman"/>
          <w:sz w:val="32"/>
          <w:szCs w:val="32"/>
        </w:rPr>
        <w:t>）采样与流转过程资料</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土壤样品采样记录</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）土孔钻探阶段</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采样</w:t>
      </w:r>
      <w:r>
        <w:rPr>
          <w:rFonts w:ascii="Times New Roman" w:eastAsia="方正仿宋_GBK" w:hAnsi="Times New Roman" w:cs="Times New Roman" w:hint="eastAsia"/>
          <w:sz w:val="32"/>
          <w:szCs w:val="32"/>
        </w:rPr>
        <w:t>点</w:t>
      </w:r>
      <w:r>
        <w:rPr>
          <w:rFonts w:ascii="Times New Roman" w:eastAsia="方正仿宋_GBK" w:hAnsi="Times New Roman" w:cs="Times New Roman"/>
          <w:sz w:val="32"/>
          <w:szCs w:val="32"/>
        </w:rPr>
        <w:t>拍照要求：按照</w:t>
      </w:r>
      <w:r>
        <w:rPr>
          <w:rFonts w:ascii="Times New Roman" w:eastAsia="方正仿宋_GBK" w:hAnsi="Times New Roman" w:cs="Times New Roman" w:hint="eastAsia"/>
          <w:sz w:val="32"/>
          <w:szCs w:val="32"/>
        </w:rPr>
        <w:t>采样点</w:t>
      </w:r>
      <w:r>
        <w:rPr>
          <w:rFonts w:ascii="Times New Roman" w:eastAsia="方正仿宋_GBK" w:hAnsi="Times New Roman" w:cs="Times New Roman"/>
          <w:sz w:val="32"/>
          <w:szCs w:val="32"/>
        </w:rPr>
        <w:t>东、南、西、北四个方</w:t>
      </w:r>
      <w:r>
        <w:rPr>
          <w:rFonts w:ascii="Times New Roman" w:eastAsia="方正仿宋_GBK" w:hAnsi="Times New Roman" w:cs="Times New Roman"/>
          <w:sz w:val="32"/>
          <w:szCs w:val="32"/>
        </w:rPr>
        <w:t>向进行拍照记录，照片应能反映采样人员、周边建构筑物、设</w:t>
      </w:r>
      <w:r>
        <w:rPr>
          <w:rFonts w:ascii="Times New Roman" w:eastAsia="方正仿宋_GBK" w:hAnsi="Times New Roman" w:cs="Times New Roman"/>
          <w:sz w:val="32"/>
          <w:szCs w:val="32"/>
        </w:rPr>
        <w:lastRenderedPageBreak/>
        <w:t>施等情况，以点位编号</w:t>
      </w:r>
      <w:r>
        <w:rPr>
          <w:rFonts w:ascii="Times New Roman" w:eastAsia="方正仿宋_GBK" w:hAnsi="Times New Roman" w:cs="Times New Roman"/>
          <w:sz w:val="32"/>
          <w:szCs w:val="32"/>
        </w:rPr>
        <w:t>+E</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S</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N</w:t>
      </w:r>
      <w:r>
        <w:rPr>
          <w:rFonts w:ascii="Times New Roman" w:eastAsia="方正仿宋_GBK" w:hAnsi="Times New Roman" w:cs="Times New Roman"/>
          <w:sz w:val="32"/>
          <w:szCs w:val="32"/>
        </w:rPr>
        <w:t>分别作为东、南、西、北四个方向照片名称。</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钻孔拍照要求：应体现钻孔作业中开孔、套管跟进、钻杆更换等环节操作要求，每个环节至少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张照片。</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岩芯箱拍照要求：体现整个钻孔土层的结构特征，重点突出土层的地质变化和污染特征，每个岩芯箱至少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张照片。</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其他照片还包括钻孔照片（含钻孔编号和钻孔深度）。</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）样品采集阶段</w:t>
      </w:r>
    </w:p>
    <w:p w:rsidR="006D38EB" w:rsidRDefault="00B277BA">
      <w:pPr>
        <w:autoSpaceDE w:val="0"/>
        <w:autoSpaceDN w:val="0"/>
        <w:spacing w:line="560" w:lineRule="exact"/>
        <w:ind w:firstLineChars="200" w:firstLine="640"/>
        <w:rPr>
          <w:rFonts w:ascii="Times New Roman" w:eastAsia="仿宋_GB2312" w:hAnsi="Times New Roman" w:cs="Times New Roman"/>
          <w:sz w:val="32"/>
          <w:szCs w:val="24"/>
        </w:rPr>
      </w:pPr>
      <w:r>
        <w:rPr>
          <w:rFonts w:ascii="Times New Roman" w:eastAsia="方正仿宋_GBK" w:hAnsi="Times New Roman" w:cs="Times New Roman"/>
          <w:sz w:val="32"/>
          <w:szCs w:val="32"/>
        </w:rPr>
        <w:t>土壤样品采集过程应针对采样工具、采集位置、</w:t>
      </w:r>
      <w:r>
        <w:rPr>
          <w:rFonts w:ascii="Times New Roman" w:eastAsia="方正仿宋_GBK" w:hAnsi="Times New Roman" w:cs="Times New Roman"/>
          <w:sz w:val="32"/>
          <w:szCs w:val="32"/>
        </w:rPr>
        <w:t xml:space="preserve">VOCs </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SVOCs</w:t>
      </w:r>
      <w:r>
        <w:rPr>
          <w:rFonts w:ascii="Times New Roman" w:eastAsia="方正仿宋_GBK" w:hAnsi="Times New Roman" w:cs="Times New Roman"/>
          <w:sz w:val="32"/>
          <w:szCs w:val="32"/>
        </w:rPr>
        <w:t>采样瓶土壤装样过程、样品瓶编号、现场检测仪器使用等关键信息拍照记录，每个关键信息至少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张照片。</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采样时应现场填写采样记录表，详细记录土壤样品采集过程，特别要关注异常颜色、气味，是否发现疑似固体废物等信息</w:t>
      </w:r>
      <w:r>
        <w:rPr>
          <w:rFonts w:ascii="Times New Roman" w:eastAsia="方正仿宋_GBK" w:hAnsi="Times New Roman" w:cs="Times New Roman" w:hint="eastAsia"/>
          <w:sz w:val="32"/>
          <w:szCs w:val="32"/>
        </w:rPr>
        <w:t>。</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地下水样品采样记录</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）成井过程</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成井过程中对井管处理（滤水管钻孔或割缝、包网处理、井管连接等）、滤料填充和止水材料、洗井作业和洗井合格出水、井台构筑（含井牌）等关键环节或信息应拍照记录，每个环节不少于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张照片。</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）样品采集</w:t>
      </w:r>
    </w:p>
    <w:p w:rsidR="006D38EB" w:rsidRDefault="00B277BA">
      <w:pPr>
        <w:autoSpaceDE w:val="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地下水样品采集过程应对洗井、装样（用于</w:t>
      </w:r>
      <w:r>
        <w:rPr>
          <w:rFonts w:ascii="Times New Roman" w:eastAsia="方正仿宋_GBK" w:hAnsi="Times New Roman" w:cs="Times New Roman"/>
          <w:sz w:val="32"/>
          <w:szCs w:val="32"/>
        </w:rPr>
        <w:t>VOCs</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SVOCs</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重金属和地下水</w:t>
      </w:r>
      <w:bookmarkStart w:id="0" w:name="_GoBack"/>
      <w:bookmarkEnd w:id="0"/>
      <w:r>
        <w:rPr>
          <w:rFonts w:ascii="Times New Roman" w:eastAsia="方正仿宋_GBK" w:hAnsi="Times New Roman" w:cs="Times New Roman"/>
          <w:sz w:val="32"/>
          <w:szCs w:val="32"/>
        </w:rPr>
        <w:t>水质监测的样品瓶）</w:t>
      </w:r>
      <w:r>
        <w:rPr>
          <w:rFonts w:ascii="Times New Roman" w:eastAsia="方正仿宋_GBK" w:hAnsi="Times New Roman" w:cs="Times New Roman"/>
          <w:sz w:val="32"/>
          <w:szCs w:val="32"/>
        </w:rPr>
        <w:t>以及采样过程中现场快速监测等环节进行拍照记录，每个环节至少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张照</w:t>
      </w:r>
      <w:r>
        <w:rPr>
          <w:rFonts w:ascii="Times New Roman" w:eastAsia="方正仿宋_GBK" w:hAnsi="Times New Roman" w:cs="Times New Roman"/>
          <w:sz w:val="32"/>
          <w:szCs w:val="32"/>
        </w:rPr>
        <w:lastRenderedPageBreak/>
        <w:t>片。</w:t>
      </w:r>
    </w:p>
    <w:p w:rsidR="006D38EB" w:rsidRDefault="00B277BA">
      <w:pPr>
        <w:ind w:firstLineChars="200" w:firstLine="640"/>
        <w:rPr>
          <w:rFonts w:ascii="Times New Roman" w:eastAsia="仿宋_GB2312" w:hAnsi="Times New Roman" w:cs="Times New Roman"/>
          <w:sz w:val="32"/>
          <w:szCs w:val="24"/>
        </w:rPr>
      </w:pPr>
      <w:r>
        <w:rPr>
          <w:rFonts w:ascii="Times New Roman" w:eastAsia="方正仿宋_GBK" w:hAnsi="Times New Roman" w:cs="Times New Roman"/>
          <w:sz w:val="32"/>
          <w:szCs w:val="32"/>
        </w:rPr>
        <w:t>成井后测量记录点位坐标及管口高程，填写成井记录单。采样时现场填写地下水井洗井记录单和采样记录单。</w:t>
      </w:r>
    </w:p>
    <w:p w:rsidR="006D38EB" w:rsidRDefault="00B277BA">
      <w:pPr>
        <w:adjustRightInd w:val="0"/>
        <w:snapToGri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四、检测指标</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（一）土壤检测指标</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基坑土壤：</w:t>
      </w:r>
      <w:r>
        <w:rPr>
          <w:rFonts w:ascii="方正仿宋_GBK" w:eastAsia="方正仿宋_GBK" w:hAnsi="方正仿宋_GBK" w:cs="方正仿宋_GBK"/>
          <w:sz w:val="32"/>
          <w:szCs w:val="32"/>
        </w:rPr>
        <w:t>一般</w:t>
      </w:r>
      <w:r>
        <w:rPr>
          <w:rFonts w:ascii="方正仿宋_GBK" w:eastAsia="方正仿宋_GBK" w:hAnsi="方正仿宋_GBK" w:cs="方正仿宋_GBK" w:hint="eastAsia"/>
          <w:sz w:val="32"/>
          <w:szCs w:val="32"/>
        </w:rPr>
        <w:t>为对应修复范围内土壤中的所有目标污染物。</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异位修复后土壤：污染物类别不同的土壤单独修复、堆放的，检测指标为修复方案中对应修复范围内的目标污染物种类；修复或堆放过程中可能混合的，检测指标为涉及区域的所有目标污染物种类。若外运到其他地块，检测指标应为外运土壤</w:t>
      </w:r>
      <w:r>
        <w:rPr>
          <w:rFonts w:ascii="方正仿宋_GBK" w:eastAsia="方正仿宋_GBK" w:hAnsi="方正仿宋_GBK" w:cs="方正仿宋_GBK" w:hint="eastAsia"/>
          <w:sz w:val="32"/>
          <w:szCs w:val="32"/>
        </w:rPr>
        <w:t>的污染物种类和根据接受场所的环境管理要求，除目标污染物外的其他指标。</w:t>
      </w:r>
    </w:p>
    <w:p w:rsidR="006D38EB" w:rsidRDefault="00B277BA">
      <w:pPr>
        <w:adjustRightInd w:val="0"/>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w:t>
      </w:r>
      <w:r>
        <w:rPr>
          <w:rFonts w:ascii="方正仿宋_GBK" w:eastAsia="方正仿宋_GBK" w:hAnsi="方正仿宋_GBK" w:cs="方正仿宋_GBK" w:hint="eastAsia"/>
          <w:sz w:val="32"/>
          <w:szCs w:val="32"/>
        </w:rPr>
        <w:t>原位修复后土壤：修复方案中对应区域的目标污染物。</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清洗后大粒径石块：污染物类别不同的区域筛分后的大粒径石块单独堆放、清洗的，检测指标为修复方案中对应修复范围内的目标污染物（含量测试和浸出测试）和</w:t>
      </w:r>
      <w:r>
        <w:rPr>
          <w:rFonts w:ascii="方正仿宋_GBK" w:eastAsia="方正仿宋_GBK" w:hAnsi="方正仿宋_GBK" w:cs="方正仿宋_GBK"/>
          <w:sz w:val="32"/>
          <w:szCs w:val="32"/>
        </w:rPr>
        <w:t>p</w:t>
      </w:r>
      <w:r>
        <w:rPr>
          <w:rFonts w:ascii="方正仿宋_GBK" w:eastAsia="方正仿宋_GBK" w:hAnsi="方正仿宋_GBK" w:cs="方正仿宋_GBK" w:hint="eastAsia"/>
          <w:sz w:val="32"/>
          <w:szCs w:val="32"/>
        </w:rPr>
        <w:t>H</w:t>
      </w:r>
      <w:r>
        <w:rPr>
          <w:rFonts w:ascii="方正仿宋_GBK" w:eastAsia="方正仿宋_GBK" w:hAnsi="方正仿宋_GBK" w:cs="方正仿宋_GBK" w:hint="eastAsia"/>
          <w:sz w:val="32"/>
          <w:szCs w:val="32"/>
        </w:rPr>
        <w:t>（浸出测试）；堆放、清洗过程可能混合的，检测指标为涉及修复区域的所有目标污染物。</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二次污染区的土壤：修复方案中所有的目标污染物和二次污染物。</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采用化学氧化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还原、微生物修复技术的，修复后土壤的检测指标还应包括修复方案中确</w:t>
      </w:r>
      <w:r>
        <w:rPr>
          <w:rFonts w:ascii="方正仿宋_GBK" w:eastAsia="方正仿宋_GBK" w:hAnsi="方正仿宋_GBK" w:cs="方正仿宋_GBK" w:hint="eastAsia"/>
          <w:sz w:val="32"/>
          <w:szCs w:val="32"/>
        </w:rPr>
        <w:t>定的二次污染物。</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7.</w:t>
      </w:r>
      <w:r>
        <w:rPr>
          <w:rFonts w:ascii="方正仿宋_GBK" w:eastAsia="方正仿宋_GBK" w:hAnsi="方正仿宋_GBK" w:cs="方正仿宋_GBK" w:hint="eastAsia"/>
          <w:sz w:val="32"/>
          <w:szCs w:val="32"/>
        </w:rPr>
        <w:t>土壤理化指标、修复设施运行参数（必要时）。</w:t>
      </w:r>
    </w:p>
    <w:p w:rsidR="006D38EB" w:rsidRDefault="00B277BA">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（二）地下水检测指标</w:t>
      </w:r>
    </w:p>
    <w:p w:rsidR="006D38EB" w:rsidRDefault="00B277BA">
      <w:pPr>
        <w:numPr>
          <w:ilvl w:val="255"/>
          <w:numId w:val="0"/>
        </w:num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原则上为修复方案中目标污染物。</w:t>
      </w:r>
    </w:p>
    <w:p w:rsidR="006D38EB" w:rsidRDefault="00B277BA">
      <w:pPr>
        <w:numPr>
          <w:ilvl w:val="255"/>
          <w:numId w:val="0"/>
        </w:num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化学氧化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还原修复、微生物修复后地下水检测指标还应包括修复方案中确定的二次污染物和地下水修复工程运行监测结果确定的二次污染物。</w:t>
      </w:r>
    </w:p>
    <w:p w:rsidR="006D38EB" w:rsidRDefault="00B277BA">
      <w:pPr>
        <w:numPr>
          <w:ilvl w:val="255"/>
          <w:numId w:val="0"/>
        </w:num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地下水常规指标、修复设施运行参数（必要时）。</w:t>
      </w:r>
    </w:p>
    <w:p w:rsidR="006D38EB" w:rsidRDefault="00B277BA">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（三）风险管控检测指标</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工程性能指标：抗压强度、渗透性能、阻隔性能、工程设施连续性与完整性。</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污染物指标：目标污染物浓度（地下水）、浸出浓度</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固化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稳定化的土壤</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、土壤气、室内空气。</w:t>
      </w:r>
    </w:p>
    <w:p w:rsidR="006D38EB" w:rsidRDefault="00B277BA">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五、检测方法</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修复效果评估实验室检测按照</w:t>
      </w:r>
      <w:r>
        <w:rPr>
          <w:rFonts w:ascii="方正仿宋_GBK" w:eastAsia="方正仿宋_GBK" w:hAnsi="方正仿宋_GBK" w:cs="方正仿宋_GBK" w:hint="eastAsia"/>
          <w:sz w:val="32"/>
          <w:szCs w:val="32"/>
        </w:rPr>
        <w:t>HJ 25.2</w:t>
      </w:r>
      <w:r>
        <w:rPr>
          <w:rFonts w:ascii="方正仿宋_GBK" w:eastAsia="方正仿宋_GBK" w:hAnsi="方正仿宋_GBK" w:cs="方正仿宋_GBK" w:hint="eastAsia"/>
          <w:sz w:val="32"/>
          <w:szCs w:val="32"/>
        </w:rPr>
        <w:t>的规定执行。</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GB36600</w:t>
      </w:r>
      <w:r>
        <w:rPr>
          <w:rFonts w:ascii="方正仿宋_GBK" w:eastAsia="方正仿宋_GBK" w:hAnsi="方正仿宋_GBK" w:cs="方正仿宋_GBK" w:hint="eastAsia"/>
          <w:sz w:val="32"/>
          <w:szCs w:val="32"/>
        </w:rPr>
        <w:t>和</w:t>
      </w:r>
      <w:r>
        <w:rPr>
          <w:rFonts w:ascii="方正仿宋_GBK" w:eastAsia="方正仿宋_GBK" w:hAnsi="方正仿宋_GBK" w:cs="方正仿宋_GBK" w:hint="eastAsia"/>
          <w:sz w:val="32"/>
          <w:szCs w:val="32"/>
        </w:rPr>
        <w:t>GB</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T14848</w:t>
      </w:r>
      <w:r>
        <w:rPr>
          <w:rFonts w:ascii="方正仿宋_GBK" w:eastAsia="方正仿宋_GBK" w:hAnsi="方正仿宋_GBK" w:cs="方正仿宋_GBK" w:hint="eastAsia"/>
          <w:sz w:val="32"/>
          <w:szCs w:val="32"/>
        </w:rPr>
        <w:t>中没包含的污染物，采用效果评估中评价标准要求的测试方法。</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检测方法检出限应满足评价标准的要求。</w:t>
      </w:r>
    </w:p>
    <w:p w:rsidR="006D38EB" w:rsidRDefault="00B277BA">
      <w:pPr>
        <w:adjustRightInd w:val="0"/>
        <w:snapToGri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六、修复效果评估</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（一）土壤修复效果评估</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评估标准值</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基坑土壤评估标准值一般为风险评估报告或修复方案确定的修复目标值</w:t>
      </w:r>
      <w:r>
        <w:rPr>
          <w:rFonts w:ascii="方正仿宋_GBK" w:eastAsia="方正仿宋_GBK" w:hAnsi="方正仿宋_GBK" w:cs="方正仿宋_GBK"/>
          <w:sz w:val="32"/>
          <w:szCs w:val="32"/>
        </w:rPr>
        <w:t>。</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异位修复后的土壤，评估标准值</w:t>
      </w:r>
      <w:r>
        <w:rPr>
          <w:rFonts w:ascii="方正仿宋_GBK" w:eastAsia="方正仿宋_GBK" w:hAnsi="方正仿宋_GBK" w:cs="方正仿宋_GBK"/>
          <w:sz w:val="32"/>
          <w:szCs w:val="32"/>
        </w:rPr>
        <w:t>一般</w:t>
      </w:r>
      <w:r>
        <w:rPr>
          <w:rFonts w:ascii="方正仿宋_GBK" w:eastAsia="方正仿宋_GBK" w:hAnsi="方正仿宋_GBK" w:cs="方正仿宋_GBK" w:hint="eastAsia"/>
          <w:sz w:val="32"/>
          <w:szCs w:val="32"/>
        </w:rPr>
        <w:t>为风险评估</w:t>
      </w:r>
      <w:r>
        <w:rPr>
          <w:rFonts w:ascii="方正仿宋_GBK" w:eastAsia="方正仿宋_GBK" w:hAnsi="方正仿宋_GBK" w:cs="方正仿宋_GBK" w:hint="eastAsia"/>
          <w:sz w:val="32"/>
          <w:szCs w:val="32"/>
        </w:rPr>
        <w:lastRenderedPageBreak/>
        <w:t>报告或修复方案中确定的修复目标值。若外运到其他地块，评估标准值为接收地的接纳标准；污染物无入场要求的，根据接收地土壤暴露情景进行风险评估（参照</w:t>
      </w:r>
      <w:r>
        <w:rPr>
          <w:rFonts w:ascii="方正仿宋_GBK" w:eastAsia="方正仿宋_GBK" w:hAnsi="方正仿宋_GBK" w:cs="方正仿宋_GBK" w:hint="eastAsia"/>
          <w:sz w:val="32"/>
          <w:szCs w:val="32"/>
        </w:rPr>
        <w:t>HJ25</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执行，下同）确定评估标准值，或采用接受地土壤背景浓度与</w:t>
      </w:r>
      <w:r>
        <w:rPr>
          <w:rFonts w:ascii="方正仿宋_GBK" w:eastAsia="方正仿宋_GBK" w:hAnsi="方正仿宋_GBK" w:cs="方正仿宋_GBK" w:hint="eastAsia"/>
          <w:sz w:val="32"/>
          <w:szCs w:val="32"/>
        </w:rPr>
        <w:t>GB 36600</w:t>
      </w:r>
      <w:r>
        <w:rPr>
          <w:rFonts w:ascii="方正仿宋_GBK" w:eastAsia="方正仿宋_GBK" w:hAnsi="方正仿宋_GBK" w:cs="方正仿宋_GBK" w:hint="eastAsia"/>
          <w:sz w:val="32"/>
          <w:szCs w:val="32"/>
        </w:rPr>
        <w:t>中接收地用地类型对应的筛选值的较高者作为评估标准值。二次污染物的评估标准值可参照</w:t>
      </w:r>
      <w:r>
        <w:rPr>
          <w:rFonts w:ascii="方正仿宋_GBK" w:eastAsia="方正仿宋_GBK" w:hAnsi="方正仿宋_GBK" w:cs="方正仿宋_GBK" w:hint="eastAsia"/>
          <w:sz w:val="32"/>
          <w:szCs w:val="32"/>
        </w:rPr>
        <w:t>GB36600</w:t>
      </w:r>
      <w:r>
        <w:rPr>
          <w:rFonts w:ascii="方正仿宋_GBK" w:eastAsia="方正仿宋_GBK" w:hAnsi="方正仿宋_GBK" w:cs="方正仿宋_GBK" w:hint="eastAsia"/>
          <w:sz w:val="32"/>
          <w:szCs w:val="32"/>
        </w:rPr>
        <w:t>中一类用地筛选值执行，或根据暴露情景进行风险评估确定其评估标准值。</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原位修复后的土壤评估标准值为风险评估报告或修复方案中确定的修复目标值。</w:t>
      </w:r>
    </w:p>
    <w:p w:rsidR="006D38EB" w:rsidRDefault="00B277BA">
      <w:pPr>
        <w:numPr>
          <w:ilvl w:val="255"/>
          <w:numId w:val="0"/>
        </w:num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清洗后大粒径石块目标污染物含量测试的评价标准值为修复方案确定的修复目标值；浸出测试的评价标准为按照</w:t>
      </w:r>
      <w:r>
        <w:rPr>
          <w:rFonts w:ascii="方正仿宋_GBK" w:eastAsia="方正仿宋_GBK" w:hAnsi="方正仿宋_GBK" w:cs="方正仿宋_GBK" w:hint="eastAsia"/>
          <w:sz w:val="32"/>
          <w:szCs w:val="32"/>
        </w:rPr>
        <w:t>HJ557</w:t>
      </w:r>
      <w:r>
        <w:rPr>
          <w:rFonts w:ascii="方正仿宋_GBK" w:eastAsia="方正仿宋_GBK" w:hAnsi="方正仿宋_GBK" w:cs="方正仿宋_GBK" w:hint="eastAsia"/>
          <w:sz w:val="32"/>
          <w:szCs w:val="32"/>
        </w:rPr>
        <w:t>规定方法获得的浸出液中有一种或一种以上的目标污染物浓度是否超过《污水综合排放标准》（</w:t>
      </w:r>
      <w:r>
        <w:rPr>
          <w:rFonts w:ascii="方正仿宋_GBK" w:eastAsia="方正仿宋_GBK" w:hAnsi="方正仿宋_GBK" w:cs="方正仿宋_GBK" w:hint="eastAsia"/>
          <w:sz w:val="32"/>
          <w:szCs w:val="32"/>
        </w:rPr>
        <w:t>GB8978</w:t>
      </w:r>
      <w:r>
        <w:rPr>
          <w:rFonts w:ascii="方正仿宋_GBK" w:eastAsia="方正仿宋_GBK" w:hAnsi="方正仿宋_GBK" w:cs="方正仿宋_GBK" w:hint="eastAsia"/>
          <w:sz w:val="32"/>
          <w:szCs w:val="32"/>
        </w:rPr>
        <w:t>）最高允许排放浓度（第二类污染物最高允许排放浓度按一级标准执行），或者是</w:t>
      </w:r>
      <w:r>
        <w:rPr>
          <w:rFonts w:ascii="方正仿宋_GBK" w:eastAsia="方正仿宋_GBK" w:hAnsi="方正仿宋_GBK" w:cs="方正仿宋_GBK" w:hint="eastAsia"/>
          <w:sz w:val="32"/>
          <w:szCs w:val="32"/>
        </w:rPr>
        <w:t>pH</w:t>
      </w:r>
      <w:r>
        <w:rPr>
          <w:rFonts w:ascii="方正仿宋_GBK" w:eastAsia="方正仿宋_GBK" w:hAnsi="方正仿宋_GBK" w:cs="方正仿宋_GBK" w:hint="eastAsia"/>
          <w:sz w:val="32"/>
          <w:szCs w:val="32"/>
        </w:rPr>
        <w:t>值是否在</w:t>
      </w:r>
      <w:r>
        <w:rPr>
          <w:rFonts w:ascii="方正仿宋_GBK" w:eastAsia="方正仿宋_GBK" w:hAnsi="方正仿宋_GBK" w:cs="方正仿宋_GBK" w:hint="eastAsia"/>
          <w:sz w:val="32"/>
          <w:szCs w:val="32"/>
        </w:rPr>
        <w:t>6~9</w:t>
      </w:r>
      <w:r>
        <w:rPr>
          <w:rFonts w:ascii="方正仿宋_GBK" w:eastAsia="方正仿宋_GBK" w:hAnsi="方正仿宋_GBK" w:cs="方正仿宋_GBK" w:hint="eastAsia"/>
          <w:sz w:val="32"/>
          <w:szCs w:val="32"/>
        </w:rPr>
        <w:t>范围之外的。</w:t>
      </w:r>
    </w:p>
    <w:p w:rsidR="006D38EB" w:rsidRDefault="00B277BA">
      <w:pPr>
        <w:numPr>
          <w:ilvl w:val="255"/>
          <w:numId w:val="0"/>
        </w:numPr>
        <w:adjustRightInd w:val="0"/>
        <w:snapToGrid w:val="0"/>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二次污染区的土壤的评估标准为风险评估报告或</w:t>
      </w:r>
      <w:r>
        <w:rPr>
          <w:rFonts w:ascii="方正仿宋_GBK" w:eastAsia="方正仿宋_GBK" w:hAnsi="方正仿宋_GBK" w:cs="方正仿宋_GBK" w:hint="eastAsia"/>
          <w:sz w:val="32"/>
        </w:rPr>
        <w:t>修复方案中确定的修复目标值。</w:t>
      </w:r>
    </w:p>
    <w:p w:rsidR="006D38EB" w:rsidRDefault="00B277BA">
      <w:pPr>
        <w:numPr>
          <w:ilvl w:val="255"/>
          <w:numId w:val="0"/>
        </w:numPr>
        <w:adjustRightInd w:val="0"/>
        <w:snapToGrid w:val="0"/>
        <w:spacing w:line="60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）采用化学氧化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还原、微生物修复技术的，修复后土壤的二次污染物的评估标准值可参照</w:t>
      </w:r>
      <w:r>
        <w:rPr>
          <w:rFonts w:ascii="方正仿宋_GBK" w:eastAsia="方正仿宋_GBK" w:hAnsi="方正仿宋_GBK" w:cs="方正仿宋_GBK" w:hint="eastAsia"/>
          <w:sz w:val="32"/>
          <w:szCs w:val="32"/>
        </w:rPr>
        <w:t>GB36600</w:t>
      </w:r>
      <w:r>
        <w:rPr>
          <w:rFonts w:ascii="方正仿宋_GBK" w:eastAsia="方正仿宋_GBK" w:hAnsi="方正仿宋_GBK" w:cs="方正仿宋_GBK" w:hint="eastAsia"/>
          <w:sz w:val="32"/>
          <w:szCs w:val="32"/>
        </w:rPr>
        <w:t>中一类用地筛选值执行，或根据暴露情景进行风险评估确定其评估标准值。</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7</w:t>
      </w:r>
      <w:r>
        <w:rPr>
          <w:rFonts w:ascii="方正仿宋_GBK" w:eastAsia="方正仿宋_GBK" w:hAnsi="方正仿宋_GBK" w:cs="方正仿宋_GBK"/>
          <w:sz w:val="32"/>
          <w:szCs w:val="32"/>
        </w:rPr>
        <w:t>）采用</w:t>
      </w:r>
      <w:r>
        <w:rPr>
          <w:rFonts w:ascii="方正仿宋_GBK" w:eastAsia="方正仿宋_GBK" w:hAnsi="方正仿宋_GBK" w:cs="方正仿宋_GBK" w:hint="eastAsia"/>
          <w:sz w:val="32"/>
          <w:szCs w:val="32"/>
        </w:rPr>
        <w:t>固化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稳定化处置技术的</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土壤</w:t>
      </w:r>
      <w:r>
        <w:rPr>
          <w:rFonts w:ascii="方正仿宋_GBK" w:eastAsia="方正仿宋_GBK" w:hAnsi="方正仿宋_GBK" w:cs="方正仿宋_GBK"/>
          <w:sz w:val="32"/>
          <w:szCs w:val="32"/>
        </w:rPr>
        <w:t>目标污染物的</w:t>
      </w:r>
      <w:r>
        <w:rPr>
          <w:rFonts w:ascii="方正仿宋_GBK" w:eastAsia="方正仿宋_GBK" w:hAnsi="方正仿宋_GBK" w:cs="方正仿宋_GBK" w:hint="eastAsia"/>
          <w:sz w:val="32"/>
          <w:szCs w:val="32"/>
        </w:rPr>
        <w:lastRenderedPageBreak/>
        <w:t>浸出浓度应达到接收地的接纳标准；未明确接纳标准的，应达到接收地地下水用途对应</w:t>
      </w:r>
      <w:r>
        <w:rPr>
          <w:rFonts w:ascii="方正仿宋_GBK" w:eastAsia="方正仿宋_GBK" w:hAnsi="方正仿宋_GBK" w:cs="方正仿宋_GBK" w:hint="eastAsia"/>
          <w:sz w:val="32"/>
          <w:szCs w:val="32"/>
        </w:rPr>
        <w:t xml:space="preserve">GB/T 14848 </w:t>
      </w:r>
      <w:r>
        <w:rPr>
          <w:rFonts w:ascii="方正仿宋_GBK" w:eastAsia="方正仿宋_GBK" w:hAnsi="方正仿宋_GBK" w:cs="方正仿宋_GBK" w:hint="eastAsia"/>
          <w:sz w:val="32"/>
          <w:szCs w:val="32"/>
        </w:rPr>
        <w:t>标准限值或经风险评估确定的风险控制值。</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评估方法</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原则上统计分析法应在单个基坑或单个修复范围（原位处置）内分别进行。对于低于报告限的数据，可用报告限进行统计分析。</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）当样本数量＜</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个时，将样品检测值与修复效果评估标准逐个对比，样品检测值低于或等于评估标准值时，则判定该样品点位为合格点位。</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）当效果评估单元样本数量≥</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个时，可采用统计分析法或逐个比对法进行评估：样品均值的</w:t>
      </w:r>
      <w:r>
        <w:rPr>
          <w:rFonts w:ascii="方正仿宋_GBK" w:eastAsia="方正仿宋_GBK" w:hAnsi="方正仿宋_GBK" w:cs="方正仿宋_GBK" w:hint="eastAsia"/>
          <w:sz w:val="32"/>
          <w:szCs w:val="32"/>
        </w:rPr>
        <w:t>95%</w:t>
      </w:r>
      <w:r>
        <w:rPr>
          <w:rFonts w:ascii="方正仿宋_GBK" w:eastAsia="方正仿宋_GBK" w:hAnsi="方正仿宋_GBK" w:cs="方正仿宋_GBK" w:hint="eastAsia"/>
          <w:sz w:val="32"/>
          <w:szCs w:val="32"/>
        </w:rPr>
        <w:t>置信上限小于等于评估标准值，且样品浓度最大值不超过修复效果评估标准值的</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倍时，认为评估单元达到修复效果。</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）逐个比对法</w:t>
      </w:r>
      <w:r>
        <w:rPr>
          <w:rFonts w:ascii="方正仿宋_GBK" w:eastAsia="方正仿宋_GBK" w:hAnsi="方正仿宋_GBK" w:cs="方正仿宋_GBK" w:hint="eastAsia"/>
          <w:sz w:val="32"/>
          <w:szCs w:val="32"/>
        </w:rPr>
        <w:t>，同一污染物平行样数量≥</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组时，结合</w:t>
      </w:r>
      <w:r>
        <w:rPr>
          <w:rFonts w:ascii="方正仿宋_GBK" w:eastAsia="方正仿宋_GBK" w:hAnsi="方正仿宋_GBK" w:cs="方正仿宋_GBK" w:hint="eastAsia"/>
          <w:sz w:val="32"/>
          <w:szCs w:val="32"/>
        </w:rPr>
        <w:t>t</w:t>
      </w:r>
      <w:r>
        <w:rPr>
          <w:rFonts w:ascii="方正仿宋_GBK" w:eastAsia="方正仿宋_GBK" w:hAnsi="方正仿宋_GBK" w:cs="方正仿宋_GBK" w:hint="eastAsia"/>
          <w:sz w:val="32"/>
          <w:szCs w:val="32"/>
        </w:rPr>
        <w:t>检验（参照</w:t>
      </w:r>
      <w:r>
        <w:rPr>
          <w:rFonts w:ascii="方正仿宋_GBK" w:eastAsia="方正仿宋_GBK" w:hAnsi="方正仿宋_GBK" w:cs="方正仿宋_GBK" w:hint="eastAsia"/>
          <w:sz w:val="32"/>
          <w:szCs w:val="32"/>
        </w:rPr>
        <w:t xml:space="preserve">HJ 25.5 </w:t>
      </w:r>
      <w:r>
        <w:rPr>
          <w:rFonts w:ascii="方正仿宋_GBK" w:eastAsia="方正仿宋_GBK" w:hAnsi="方正仿宋_GBK" w:cs="方正仿宋_GBK" w:hint="eastAsia"/>
          <w:sz w:val="32"/>
          <w:szCs w:val="32"/>
        </w:rPr>
        <w:t>附录</w:t>
      </w: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）分析采样和检测过程中的误差，确定检测值与修复效果评估值的差异。</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若各检测值显著低于评估标准或与评估标准差异不显著，则认为评估单元达到修复效果。若某样品的检测结果显著高于评估标准，则认为未达到修复效果。</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数据分析</w:t>
      </w:r>
    </w:p>
    <w:p w:rsidR="006D38EB" w:rsidRDefault="00B277BA">
      <w:pPr>
        <w:ind w:firstLine="560"/>
        <w:rPr>
          <w:rFonts w:cs="Times New Roman"/>
        </w:rPr>
      </w:pPr>
      <w:r>
        <w:rPr>
          <w:rFonts w:ascii="方正仿宋_GBK" w:eastAsia="方正仿宋_GBK" w:hAnsi="方正仿宋_GBK" w:cs="方正仿宋_GBK" w:hint="eastAsia"/>
          <w:sz w:val="32"/>
          <w:szCs w:val="32"/>
        </w:rPr>
        <w:t>经评估，若地块未达到修复效果，根据监测结果确定需进行补充清挖或修复的区域，补充清挖或修复后再次进行监</w:t>
      </w:r>
      <w:r>
        <w:rPr>
          <w:rFonts w:ascii="方正仿宋_GBK" w:eastAsia="方正仿宋_GBK" w:hAnsi="方正仿宋_GBK" w:cs="方正仿宋_GBK" w:hint="eastAsia"/>
          <w:sz w:val="32"/>
          <w:szCs w:val="32"/>
        </w:rPr>
        <w:lastRenderedPageBreak/>
        <w:t>测，直至满足修复目标的要求。</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（二）地下水修复效果评估</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、评估标准值</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）修复后地下水的评估标准值一般为风险评估报告或修复方案确定的修复目标值</w:t>
      </w:r>
      <w:r>
        <w:rPr>
          <w:rFonts w:ascii="方正仿宋_GBK" w:eastAsia="方正仿宋_GBK" w:hAnsi="方正仿宋_GBK" w:cs="方正仿宋_GBK"/>
          <w:sz w:val="32"/>
          <w:szCs w:val="32"/>
        </w:rPr>
        <w:t>。</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）化学氧化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还原、微生物修复产生的二次污染的评估标准，按照</w:t>
      </w:r>
      <w:r>
        <w:rPr>
          <w:rFonts w:ascii="方正仿宋_GBK" w:eastAsia="方正仿宋_GBK" w:hAnsi="方正仿宋_GBK" w:cs="方正仿宋_GBK" w:hint="eastAsia"/>
          <w:sz w:val="32"/>
          <w:szCs w:val="32"/>
        </w:rPr>
        <w:t>GB/T 14848</w:t>
      </w:r>
      <w:r>
        <w:rPr>
          <w:rFonts w:ascii="方正仿宋_GBK" w:eastAsia="方正仿宋_GBK" w:hAnsi="方正仿宋_GBK" w:cs="方正仿宋_GBK" w:hint="eastAsia"/>
          <w:sz w:val="32"/>
          <w:szCs w:val="32"/>
        </w:rPr>
        <w:t>中地下水使用功能对应标准值执行，或根据暴露情景进行风险评估确定，风险评估方法按照</w:t>
      </w:r>
      <w:r>
        <w:rPr>
          <w:rFonts w:ascii="方正仿宋_GBK" w:eastAsia="方正仿宋_GBK" w:hAnsi="方正仿宋_GBK" w:cs="方正仿宋_GBK" w:hint="eastAsia"/>
          <w:sz w:val="32"/>
          <w:szCs w:val="32"/>
        </w:rPr>
        <w:t>HJ 25.3</w:t>
      </w:r>
      <w:r>
        <w:rPr>
          <w:rFonts w:ascii="方正仿宋_GBK" w:eastAsia="方正仿宋_GBK" w:hAnsi="方正仿宋_GBK" w:cs="方正仿宋_GBK" w:hint="eastAsia"/>
          <w:sz w:val="32"/>
          <w:szCs w:val="32"/>
        </w:rPr>
        <w:t>执行。</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、评估方法</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）每口监测井中的检测指标均持续稳定达标，可认为地下水达到修复效果。</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）地下水中污染物浓度呈现稳态或下降趋势，可判断地下水达到修复效果。</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）采用地下水中污染物浓度趋势分析确定污染物浓度呈现稳态进行判断。在</w:t>
      </w:r>
      <w:r>
        <w:rPr>
          <w:rFonts w:ascii="方正仿宋_GBK" w:eastAsia="方正仿宋_GBK" w:hAnsi="方正仿宋_GBK" w:cs="方正仿宋_GBK" w:hint="eastAsia"/>
          <w:sz w:val="32"/>
          <w:szCs w:val="32"/>
        </w:rPr>
        <w:t>95%</w:t>
      </w:r>
      <w:r>
        <w:rPr>
          <w:rFonts w:ascii="方正仿宋_GBK" w:eastAsia="方正仿宋_GBK" w:hAnsi="方正仿宋_GBK" w:cs="方正仿宋_GBK" w:hint="eastAsia"/>
          <w:sz w:val="32"/>
          <w:szCs w:val="32"/>
        </w:rPr>
        <w:t>置信水平下，若趋</w:t>
      </w:r>
      <w:r>
        <w:rPr>
          <w:rFonts w:ascii="方正仿宋_GBK" w:eastAsia="方正仿宋_GBK" w:hAnsi="方正仿宋_GBK" w:cs="方正仿宋_GBK" w:hint="eastAsia"/>
          <w:sz w:val="32"/>
          <w:szCs w:val="32"/>
        </w:rPr>
        <w:t>势线斜率显著小于</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，地下水浓度呈现下降趋势；若趋势线斜率与</w:t>
      </w:r>
      <w:r>
        <w:rPr>
          <w:rFonts w:ascii="方正仿宋_GBK" w:eastAsia="方正仿宋_GBK" w:hAnsi="方正仿宋_GBK" w:cs="方正仿宋_GBK" w:hint="eastAsia"/>
          <w:sz w:val="32"/>
          <w:szCs w:val="32"/>
        </w:rPr>
        <w:t xml:space="preserve"> 0 </w:t>
      </w:r>
      <w:r>
        <w:rPr>
          <w:rFonts w:ascii="方正仿宋_GBK" w:eastAsia="方正仿宋_GBK" w:hAnsi="方正仿宋_GBK" w:cs="方正仿宋_GBK" w:hint="eastAsia"/>
          <w:sz w:val="32"/>
          <w:szCs w:val="32"/>
        </w:rPr>
        <w:t>没有显著差异，说明浓度呈现稳态。</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）土壤污染状况调查或风险评估阶段，经调查地下水为滞水的，在效果评估期间，无法采集到地下水样的，可暂时认为地下水达到修复效果。</w:t>
      </w:r>
    </w:p>
    <w:p w:rsidR="006D38EB" w:rsidRDefault="00B277BA">
      <w:pPr>
        <w:adjustRightInd w:val="0"/>
        <w:snapToGri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六、结论与建议</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明确地块是否达到修复效果评估标准、是否可以移出建</w:t>
      </w:r>
      <w:r>
        <w:rPr>
          <w:rFonts w:ascii="方正仿宋_GBK" w:eastAsia="方正仿宋_GBK" w:hAnsi="方正仿宋_GBK" w:cs="方正仿宋_GBK" w:hint="eastAsia"/>
          <w:sz w:val="32"/>
          <w:szCs w:val="32"/>
        </w:rPr>
        <w:lastRenderedPageBreak/>
        <w:t>设用地土壤污染风险管控和修复名录。对于修复后土壤中污染物浓度未达到</w:t>
      </w:r>
      <w:r>
        <w:rPr>
          <w:rFonts w:ascii="方正仿宋_GBK" w:eastAsia="方正仿宋_GBK" w:hAnsi="方正仿宋_GBK" w:cs="方正仿宋_GBK" w:hint="eastAsia"/>
          <w:sz w:val="32"/>
          <w:szCs w:val="32"/>
        </w:rPr>
        <w:t>GB 36600</w:t>
      </w:r>
      <w:r>
        <w:rPr>
          <w:rFonts w:ascii="方正仿宋_GBK" w:eastAsia="方正仿宋_GBK" w:hAnsi="方正仿宋_GBK" w:cs="方正仿宋_GBK" w:hint="eastAsia"/>
          <w:sz w:val="32"/>
          <w:szCs w:val="32"/>
        </w:rPr>
        <w:t>第一类用地筛选值的地块提出后期环境管理建议。</w:t>
      </w:r>
      <w:r>
        <w:rPr>
          <w:rFonts w:ascii="方正仿宋_GBK" w:eastAsia="方正仿宋_GBK" w:hAnsi="方正仿宋_GBK" w:cs="方正仿宋_GBK" w:hint="eastAsia"/>
          <w:sz w:val="32"/>
          <w:szCs w:val="32"/>
        </w:rPr>
        <w:t xml:space="preserve"> </w:t>
      </w:r>
    </w:p>
    <w:p w:rsidR="006D38EB" w:rsidRDefault="00B277BA">
      <w:pPr>
        <w:adjustRightInd w:val="0"/>
        <w:snapToGri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七、后期环境管理</w:t>
      </w:r>
    </w:p>
    <w:p w:rsidR="006D38EB" w:rsidRDefault="00B277BA">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直至地块土壤中污染物浓度达到</w:t>
      </w:r>
      <w:r>
        <w:rPr>
          <w:rFonts w:ascii="方正仿宋_GBK" w:eastAsia="方正仿宋_GBK" w:hAnsi="方正仿宋_GBK" w:cs="方正仿宋_GBK"/>
          <w:sz w:val="32"/>
          <w:szCs w:val="32"/>
        </w:rPr>
        <w:t xml:space="preserve">GB </w:t>
      </w:r>
      <w:r>
        <w:rPr>
          <w:rFonts w:ascii="方正仿宋_GBK" w:eastAsia="方正仿宋_GBK" w:hAnsi="方正仿宋_GBK" w:cs="方正仿宋_GBK"/>
          <w:sz w:val="32"/>
          <w:szCs w:val="32"/>
        </w:rPr>
        <w:t>36600</w:t>
      </w:r>
      <w:r>
        <w:rPr>
          <w:rFonts w:ascii="方正仿宋_GBK" w:eastAsia="方正仿宋_GBK" w:hAnsi="方正仿宋_GBK" w:cs="方正仿宋_GBK"/>
          <w:sz w:val="32"/>
          <w:szCs w:val="32"/>
        </w:rPr>
        <w:t>第一类用地筛选值、地下水中污染物达到</w:t>
      </w:r>
      <w:r>
        <w:rPr>
          <w:rFonts w:ascii="方正仿宋_GBK" w:eastAsia="方正仿宋_GBK" w:hAnsi="方正仿宋_GBK" w:cs="方正仿宋_GBK"/>
          <w:sz w:val="32"/>
          <w:szCs w:val="32"/>
        </w:rPr>
        <w:t>GB/T 14848</w:t>
      </w:r>
      <w:r>
        <w:rPr>
          <w:rFonts w:ascii="方正仿宋_GBK" w:eastAsia="方正仿宋_GBK" w:hAnsi="方正仿宋_GBK" w:cs="方正仿宋_GBK"/>
          <w:sz w:val="32"/>
          <w:szCs w:val="32"/>
        </w:rPr>
        <w:t>中地下水使用功能对应标准值为止。</w:t>
      </w:r>
    </w:p>
    <w:p w:rsidR="006D38EB" w:rsidRDefault="00B277BA">
      <w:pPr>
        <w:adjustRightInd w:val="0"/>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在效果评估期间，因无法采集到地下水样的，可提前移出土壤污染风险管控和修复名录，但需进入后期管理，后期管理时间应满足地下水采样的批次和频次。</w:t>
      </w:r>
    </w:p>
    <w:p w:rsidR="006D38EB" w:rsidRDefault="006D38EB">
      <w:pPr>
        <w:adjustRightInd w:val="0"/>
        <w:snapToGrid w:val="0"/>
        <w:spacing w:line="600" w:lineRule="exact"/>
        <w:ind w:firstLineChars="200" w:firstLine="640"/>
        <w:rPr>
          <w:rFonts w:ascii="方正仿宋_GBK" w:eastAsia="方正仿宋_GBK" w:hAnsi="方正仿宋_GBK" w:cs="方正仿宋_GBK"/>
          <w:sz w:val="32"/>
          <w:szCs w:val="32"/>
        </w:rPr>
      </w:pPr>
    </w:p>
    <w:p w:rsidR="006D38EB" w:rsidRDefault="006D38EB">
      <w:pPr>
        <w:adjustRightInd w:val="0"/>
        <w:snapToGrid w:val="0"/>
        <w:spacing w:line="600" w:lineRule="exact"/>
        <w:ind w:firstLineChars="200" w:firstLine="640"/>
        <w:rPr>
          <w:rFonts w:ascii="方正仿宋_GBK" w:eastAsia="方正仿宋_GBK" w:hAnsi="方正仿宋_GBK" w:cs="方正仿宋_GBK"/>
          <w:sz w:val="32"/>
          <w:szCs w:val="32"/>
        </w:rPr>
      </w:pPr>
    </w:p>
    <w:p w:rsidR="006D38EB" w:rsidRDefault="006D38EB">
      <w:pPr>
        <w:adjustRightInd w:val="0"/>
        <w:snapToGrid w:val="0"/>
        <w:spacing w:line="360" w:lineRule="auto"/>
        <w:ind w:firstLineChars="200" w:firstLine="480"/>
        <w:rPr>
          <w:sz w:val="24"/>
          <w:szCs w:val="24"/>
        </w:rPr>
      </w:pPr>
    </w:p>
    <w:p w:rsidR="006D38EB" w:rsidRDefault="006D38EB"/>
    <w:sectPr w:rsidR="006D38E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BA" w:rsidRDefault="00B277BA">
      <w:r>
        <w:separator/>
      </w:r>
    </w:p>
  </w:endnote>
  <w:endnote w:type="continuationSeparator" w:id="0">
    <w:p w:rsidR="00B277BA" w:rsidRDefault="00B2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EB" w:rsidRDefault="00B277BA">
    <w:pPr>
      <w:pStyle w:val="a6"/>
    </w:pPr>
    <w:r>
      <w:pict>
        <v:shapetype id="_x0000_t202" coordsize="21600,21600" o:spt="202" path="m,l,21600r21600,l21600,xe">
          <v:stroke joinstyle="miter"/>
          <v:path gradientshapeok="t" o:connecttype="rect"/>
        </v:shapetype>
        <v:shape id="_x0000_s2049" type="#_x0000_t202" style="position:absolute;margin-left:92.8pt;margin-top:0;width:2in;height:2in;z-index:25165926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D38EB" w:rsidRDefault="00B277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17E63">
                  <w:rPr>
                    <w:noProof/>
                    <w:sz w:val="18"/>
                  </w:rPr>
                  <w:t>7</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BA" w:rsidRDefault="00B277BA">
      <w:r>
        <w:separator/>
      </w:r>
    </w:p>
  </w:footnote>
  <w:footnote w:type="continuationSeparator" w:id="0">
    <w:p w:rsidR="00B277BA" w:rsidRDefault="00B2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FD87D0"/>
    <w:multiLevelType w:val="singleLevel"/>
    <w:tmpl w:val="F5FD87D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lMTBiNGYwODljNjRkN2YzMDRkMmYzMjExYWJlNjgifQ=="/>
  </w:docVars>
  <w:rsids>
    <w:rsidRoot w:val="00EB0E10"/>
    <w:rsid w:val="BF7F6AF7"/>
    <w:rsid w:val="DFDD10F6"/>
    <w:rsid w:val="F1D7DC07"/>
    <w:rsid w:val="FF66949C"/>
    <w:rsid w:val="00003F39"/>
    <w:rsid w:val="0000745A"/>
    <w:rsid w:val="000110D6"/>
    <w:rsid w:val="00011A56"/>
    <w:rsid w:val="00014F69"/>
    <w:rsid w:val="000222E8"/>
    <w:rsid w:val="0002696E"/>
    <w:rsid w:val="0003063C"/>
    <w:rsid w:val="0006195E"/>
    <w:rsid w:val="000668B0"/>
    <w:rsid w:val="0009138A"/>
    <w:rsid w:val="0009705E"/>
    <w:rsid w:val="000B3786"/>
    <w:rsid w:val="000C7166"/>
    <w:rsid w:val="000D0758"/>
    <w:rsid w:val="000D198D"/>
    <w:rsid w:val="000E45F0"/>
    <w:rsid w:val="000E4692"/>
    <w:rsid w:val="000E55EA"/>
    <w:rsid w:val="000F0E60"/>
    <w:rsid w:val="000F7489"/>
    <w:rsid w:val="001137A5"/>
    <w:rsid w:val="0011607B"/>
    <w:rsid w:val="001351C9"/>
    <w:rsid w:val="00136012"/>
    <w:rsid w:val="00143AA0"/>
    <w:rsid w:val="00143C59"/>
    <w:rsid w:val="00147CF7"/>
    <w:rsid w:val="001608A6"/>
    <w:rsid w:val="00162AE3"/>
    <w:rsid w:val="00175300"/>
    <w:rsid w:val="001A26BB"/>
    <w:rsid w:val="001A49AF"/>
    <w:rsid w:val="001B0F46"/>
    <w:rsid w:val="001B2B7C"/>
    <w:rsid w:val="001B3930"/>
    <w:rsid w:val="001B596D"/>
    <w:rsid w:val="001B685D"/>
    <w:rsid w:val="001C2E66"/>
    <w:rsid w:val="001E7C2A"/>
    <w:rsid w:val="001F626A"/>
    <w:rsid w:val="0020348C"/>
    <w:rsid w:val="00223BE2"/>
    <w:rsid w:val="00255BC9"/>
    <w:rsid w:val="00261C14"/>
    <w:rsid w:val="002627FE"/>
    <w:rsid w:val="00270E79"/>
    <w:rsid w:val="00272DC1"/>
    <w:rsid w:val="0027498A"/>
    <w:rsid w:val="00280298"/>
    <w:rsid w:val="002A6B08"/>
    <w:rsid w:val="002B0298"/>
    <w:rsid w:val="002B0D5A"/>
    <w:rsid w:val="002D2D96"/>
    <w:rsid w:val="002D7ED3"/>
    <w:rsid w:val="002E7D60"/>
    <w:rsid w:val="003061D1"/>
    <w:rsid w:val="00352F3A"/>
    <w:rsid w:val="00367E4D"/>
    <w:rsid w:val="00370F0D"/>
    <w:rsid w:val="00374C79"/>
    <w:rsid w:val="003856AA"/>
    <w:rsid w:val="003A19E1"/>
    <w:rsid w:val="003B0B55"/>
    <w:rsid w:val="003B5134"/>
    <w:rsid w:val="003D2231"/>
    <w:rsid w:val="003D46EC"/>
    <w:rsid w:val="003E2D73"/>
    <w:rsid w:val="003E5B92"/>
    <w:rsid w:val="003F217C"/>
    <w:rsid w:val="003F35A8"/>
    <w:rsid w:val="003F3AC9"/>
    <w:rsid w:val="004106E9"/>
    <w:rsid w:val="00416957"/>
    <w:rsid w:val="00417970"/>
    <w:rsid w:val="00417E63"/>
    <w:rsid w:val="00426998"/>
    <w:rsid w:val="0045166C"/>
    <w:rsid w:val="00453CFF"/>
    <w:rsid w:val="004607A5"/>
    <w:rsid w:val="00486FF4"/>
    <w:rsid w:val="0049398F"/>
    <w:rsid w:val="004A3048"/>
    <w:rsid w:val="004A6C03"/>
    <w:rsid w:val="004B390C"/>
    <w:rsid w:val="004C6F1E"/>
    <w:rsid w:val="004F3404"/>
    <w:rsid w:val="005313C4"/>
    <w:rsid w:val="005543FC"/>
    <w:rsid w:val="00556AA9"/>
    <w:rsid w:val="00562471"/>
    <w:rsid w:val="00563EAE"/>
    <w:rsid w:val="005B219F"/>
    <w:rsid w:val="005B76A3"/>
    <w:rsid w:val="005D29B6"/>
    <w:rsid w:val="005E5794"/>
    <w:rsid w:val="00626211"/>
    <w:rsid w:val="006334B2"/>
    <w:rsid w:val="006418F1"/>
    <w:rsid w:val="006447C1"/>
    <w:rsid w:val="00660EEF"/>
    <w:rsid w:val="00661A4C"/>
    <w:rsid w:val="00675B51"/>
    <w:rsid w:val="0067630A"/>
    <w:rsid w:val="00690043"/>
    <w:rsid w:val="0069791E"/>
    <w:rsid w:val="006B5425"/>
    <w:rsid w:val="006C3995"/>
    <w:rsid w:val="006C5D21"/>
    <w:rsid w:val="006C6208"/>
    <w:rsid w:val="006D0B19"/>
    <w:rsid w:val="006D38EB"/>
    <w:rsid w:val="006D7593"/>
    <w:rsid w:val="006E2803"/>
    <w:rsid w:val="00732F63"/>
    <w:rsid w:val="007517D2"/>
    <w:rsid w:val="00772FA0"/>
    <w:rsid w:val="00774EBB"/>
    <w:rsid w:val="007B16C5"/>
    <w:rsid w:val="007B600C"/>
    <w:rsid w:val="007C4E9C"/>
    <w:rsid w:val="007C7AF2"/>
    <w:rsid w:val="007D0606"/>
    <w:rsid w:val="007D25BB"/>
    <w:rsid w:val="007D4C8C"/>
    <w:rsid w:val="007E09E0"/>
    <w:rsid w:val="007F1853"/>
    <w:rsid w:val="007F69D0"/>
    <w:rsid w:val="00810A9D"/>
    <w:rsid w:val="00832187"/>
    <w:rsid w:val="00841CDC"/>
    <w:rsid w:val="0085731E"/>
    <w:rsid w:val="0086630B"/>
    <w:rsid w:val="00867011"/>
    <w:rsid w:val="0088395E"/>
    <w:rsid w:val="008B6570"/>
    <w:rsid w:val="008C0F94"/>
    <w:rsid w:val="008D0009"/>
    <w:rsid w:val="008D3DE9"/>
    <w:rsid w:val="008F1764"/>
    <w:rsid w:val="00901224"/>
    <w:rsid w:val="0090384B"/>
    <w:rsid w:val="00926F30"/>
    <w:rsid w:val="009554C9"/>
    <w:rsid w:val="00955E62"/>
    <w:rsid w:val="0097402D"/>
    <w:rsid w:val="00991857"/>
    <w:rsid w:val="009A0549"/>
    <w:rsid w:val="009A4A96"/>
    <w:rsid w:val="009D1CB1"/>
    <w:rsid w:val="009E2454"/>
    <w:rsid w:val="009F1128"/>
    <w:rsid w:val="00A07A30"/>
    <w:rsid w:val="00A12B81"/>
    <w:rsid w:val="00A20267"/>
    <w:rsid w:val="00A22DD2"/>
    <w:rsid w:val="00A308D0"/>
    <w:rsid w:val="00A361D5"/>
    <w:rsid w:val="00A559B7"/>
    <w:rsid w:val="00A806BE"/>
    <w:rsid w:val="00AA05C3"/>
    <w:rsid w:val="00AA3F69"/>
    <w:rsid w:val="00AB6D2A"/>
    <w:rsid w:val="00AC6AA1"/>
    <w:rsid w:val="00AE3407"/>
    <w:rsid w:val="00AF2D73"/>
    <w:rsid w:val="00B064F9"/>
    <w:rsid w:val="00B1056B"/>
    <w:rsid w:val="00B277BA"/>
    <w:rsid w:val="00B45729"/>
    <w:rsid w:val="00B53DBA"/>
    <w:rsid w:val="00B576AF"/>
    <w:rsid w:val="00B63D23"/>
    <w:rsid w:val="00B72324"/>
    <w:rsid w:val="00B72E2F"/>
    <w:rsid w:val="00BD4293"/>
    <w:rsid w:val="00C10D43"/>
    <w:rsid w:val="00C25C84"/>
    <w:rsid w:val="00C330F4"/>
    <w:rsid w:val="00C47637"/>
    <w:rsid w:val="00C63C33"/>
    <w:rsid w:val="00C751AE"/>
    <w:rsid w:val="00C84A6C"/>
    <w:rsid w:val="00C86BC2"/>
    <w:rsid w:val="00C958CA"/>
    <w:rsid w:val="00CA2B21"/>
    <w:rsid w:val="00CA4854"/>
    <w:rsid w:val="00CA6082"/>
    <w:rsid w:val="00CB5C15"/>
    <w:rsid w:val="00CD720A"/>
    <w:rsid w:val="00CE280A"/>
    <w:rsid w:val="00D21F97"/>
    <w:rsid w:val="00D26F94"/>
    <w:rsid w:val="00D36C7D"/>
    <w:rsid w:val="00D5765E"/>
    <w:rsid w:val="00D65FBA"/>
    <w:rsid w:val="00D717E7"/>
    <w:rsid w:val="00D731D7"/>
    <w:rsid w:val="00D73336"/>
    <w:rsid w:val="00D83C7C"/>
    <w:rsid w:val="00D96F38"/>
    <w:rsid w:val="00DC492A"/>
    <w:rsid w:val="00DC6CF0"/>
    <w:rsid w:val="00DD271E"/>
    <w:rsid w:val="00DD4F6B"/>
    <w:rsid w:val="00E0138F"/>
    <w:rsid w:val="00E41F18"/>
    <w:rsid w:val="00E4576C"/>
    <w:rsid w:val="00E72294"/>
    <w:rsid w:val="00E83CA1"/>
    <w:rsid w:val="00E84CC0"/>
    <w:rsid w:val="00E86F59"/>
    <w:rsid w:val="00E95985"/>
    <w:rsid w:val="00E97228"/>
    <w:rsid w:val="00EB0E10"/>
    <w:rsid w:val="00EB395A"/>
    <w:rsid w:val="00EC07B6"/>
    <w:rsid w:val="00F1719F"/>
    <w:rsid w:val="00F6355D"/>
    <w:rsid w:val="00F81533"/>
    <w:rsid w:val="00F91CC5"/>
    <w:rsid w:val="00FA308A"/>
    <w:rsid w:val="00FA52B9"/>
    <w:rsid w:val="00FB6BDD"/>
    <w:rsid w:val="00FC6B81"/>
    <w:rsid w:val="00FD35B1"/>
    <w:rsid w:val="00FF58D5"/>
    <w:rsid w:val="00FF6D77"/>
    <w:rsid w:val="02D2617B"/>
    <w:rsid w:val="033038DD"/>
    <w:rsid w:val="05162550"/>
    <w:rsid w:val="0F635580"/>
    <w:rsid w:val="145C7AFC"/>
    <w:rsid w:val="14B06EB7"/>
    <w:rsid w:val="160D48A3"/>
    <w:rsid w:val="18CF28D7"/>
    <w:rsid w:val="1B26104F"/>
    <w:rsid w:val="1BB12AD0"/>
    <w:rsid w:val="1BE92F65"/>
    <w:rsid w:val="1BED5EE5"/>
    <w:rsid w:val="1CBE0998"/>
    <w:rsid w:val="20C3223A"/>
    <w:rsid w:val="220B6136"/>
    <w:rsid w:val="225D52D2"/>
    <w:rsid w:val="247E2CBE"/>
    <w:rsid w:val="24EC21B3"/>
    <w:rsid w:val="2780026C"/>
    <w:rsid w:val="2E9411F8"/>
    <w:rsid w:val="3033293E"/>
    <w:rsid w:val="315F0D4D"/>
    <w:rsid w:val="36164825"/>
    <w:rsid w:val="36434E0B"/>
    <w:rsid w:val="3AB518DA"/>
    <w:rsid w:val="3BFA7DC5"/>
    <w:rsid w:val="3C8B0F3F"/>
    <w:rsid w:val="3E213676"/>
    <w:rsid w:val="3FBA15A9"/>
    <w:rsid w:val="3FD27215"/>
    <w:rsid w:val="404D7DC3"/>
    <w:rsid w:val="4375619E"/>
    <w:rsid w:val="448F51A3"/>
    <w:rsid w:val="453945A5"/>
    <w:rsid w:val="470326AF"/>
    <w:rsid w:val="49447E25"/>
    <w:rsid w:val="51E66CDD"/>
    <w:rsid w:val="525014B0"/>
    <w:rsid w:val="528B6729"/>
    <w:rsid w:val="53EC1C1E"/>
    <w:rsid w:val="5613230D"/>
    <w:rsid w:val="56AF45B8"/>
    <w:rsid w:val="57F13EAC"/>
    <w:rsid w:val="58EE74C2"/>
    <w:rsid w:val="5A82704A"/>
    <w:rsid w:val="5B882FD2"/>
    <w:rsid w:val="5F9B5914"/>
    <w:rsid w:val="5FEFB2AB"/>
    <w:rsid w:val="604418E4"/>
    <w:rsid w:val="60CA697E"/>
    <w:rsid w:val="617A0582"/>
    <w:rsid w:val="63F37251"/>
    <w:rsid w:val="68722F19"/>
    <w:rsid w:val="68992119"/>
    <w:rsid w:val="6B576C35"/>
    <w:rsid w:val="6DA55248"/>
    <w:rsid w:val="727F091F"/>
    <w:rsid w:val="73C23942"/>
    <w:rsid w:val="779D412F"/>
    <w:rsid w:val="77A50258"/>
    <w:rsid w:val="783E4670"/>
    <w:rsid w:val="79315A48"/>
    <w:rsid w:val="795840E1"/>
    <w:rsid w:val="7D0715F1"/>
    <w:rsid w:val="7FFEB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2A8165"/>
  <w15:docId w15:val="{407FC1DE-771F-4A4D-9FC7-2793AD3B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Theme="majorEastAsia"/>
      <w:b/>
      <w:bCs/>
      <w:kern w:val="44"/>
      <w:sz w:val="30"/>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rFonts w:eastAsiaTheme="majorEastAsia"/>
      <w:b/>
      <w:bCs/>
      <w:kern w:val="44"/>
      <w:sz w:val="30"/>
      <w:szCs w:val="44"/>
    </w:rPr>
  </w:style>
  <w:style w:type="character" w:customStyle="1" w:styleId="20">
    <w:name w:val="标题 2 字符"/>
    <w:basedOn w:val="a0"/>
    <w:link w:val="2"/>
    <w:uiPriority w:val="9"/>
    <w:qFormat/>
    <w:rPr>
      <w:rFonts w:asciiTheme="majorHAnsi" w:eastAsiaTheme="majorEastAsia" w:hAnsiTheme="majorHAnsi" w:cstheme="majorBidi"/>
      <w:b/>
      <w:bCs/>
      <w:sz w:val="28"/>
      <w:szCs w:val="32"/>
    </w:rPr>
  </w:style>
  <w:style w:type="character" w:customStyle="1" w:styleId="30">
    <w:name w:val="标题 3 字符"/>
    <w:basedOn w:val="a0"/>
    <w:link w:val="3"/>
    <w:uiPriority w:val="9"/>
    <w:qFormat/>
    <w:rPr>
      <w:b/>
      <w:bCs/>
      <w:sz w:val="24"/>
      <w:szCs w:val="32"/>
    </w:rPr>
  </w:style>
  <w:style w:type="paragraph" w:customStyle="1" w:styleId="11">
    <w:name w:val="列出段落1"/>
    <w:basedOn w:val="a"/>
    <w:uiPriority w:val="34"/>
    <w:qFormat/>
    <w:pPr>
      <w:ind w:firstLineChars="200" w:firstLine="420"/>
    </w:pPr>
  </w:style>
  <w:style w:type="character" w:customStyle="1" w:styleId="a5">
    <w:name w:val="批注框文本 字符"/>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方正仿宋GBK">
      <a:majorFont>
        <a:latin typeface="Times New Roman"/>
        <a:ea typeface="黑体"/>
        <a:cs typeface=""/>
      </a:majorFont>
      <a:minorFont>
        <a:latin typeface="Times New Roman"/>
        <a:ea typeface="方正仿宋_GBK"/>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904</Words>
  <Characters>5158</Characters>
  <Application>Microsoft Office Word</Application>
  <DocSecurity>0</DocSecurity>
  <Lines>42</Lines>
  <Paragraphs>12</Paragraphs>
  <ScaleCrop>false</ScaleCrop>
  <Company>HP Inc.</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郑佳</dc:creator>
  <cp:lastModifiedBy>95377</cp:lastModifiedBy>
  <cp:revision>4</cp:revision>
  <dcterms:created xsi:type="dcterms:W3CDTF">2022-12-01T10:05:00Z</dcterms:created>
  <dcterms:modified xsi:type="dcterms:W3CDTF">2025-01-15T01:16:00Z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6875E8F8E3F246BFB70BC84BF3F2B2C9</vt:lpwstr>
  </property>
</Properties>
</file>