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26" w:rsidRDefault="001F1326">
      <w:pPr>
        <w:pStyle w:val="Heading1"/>
        <w:widowControl/>
        <w:spacing w:before="376" w:after="150"/>
        <w:jc w:val="center"/>
        <w:rPr>
          <w:rFonts w:ascii="微软雅黑" w:eastAsia="微软雅黑" w:hAnsi="微软雅黑" w:cs="Times New Roman"/>
          <w:sz w:val="30"/>
          <w:szCs w:val="30"/>
        </w:rPr>
      </w:pPr>
      <w:r>
        <w:rPr>
          <w:rFonts w:ascii="微软雅黑" w:eastAsia="微软雅黑" w:hAnsi="微软雅黑" w:cs="微软雅黑" w:hint="eastAsia"/>
          <w:color w:val="2C2C2C"/>
          <w:sz w:val="30"/>
          <w:szCs w:val="30"/>
        </w:rPr>
        <w:t>重庆市使用放射性同位素与射线装置重点单位情况表</w:t>
      </w:r>
    </w:p>
    <w:p w:rsidR="001F1326" w:rsidRDefault="001F1326">
      <w:pPr>
        <w:pStyle w:val="explain"/>
        <w:widowControl/>
        <w:rPr>
          <w:rFonts w:cs="Times New Roman"/>
        </w:rPr>
      </w:pPr>
      <w:r>
        <w:rPr>
          <w:rFonts w:cs="宋体" w:hint="eastAsia"/>
          <w:color w:val="2C2C2C"/>
          <w:sz w:val="18"/>
          <w:szCs w:val="18"/>
        </w:rPr>
        <w:t>来源</w:t>
      </w:r>
      <w:r>
        <w:rPr>
          <w:color w:val="2C2C2C"/>
          <w:sz w:val="18"/>
          <w:szCs w:val="18"/>
        </w:rPr>
        <w:t>:  </w:t>
      </w:r>
      <w:r>
        <w:rPr>
          <w:rFonts w:cs="宋体" w:hint="eastAsia"/>
          <w:color w:val="2C2C2C"/>
          <w:sz w:val="18"/>
          <w:szCs w:val="18"/>
        </w:rPr>
        <w:t>撰写日期：</w:t>
      </w:r>
      <w:r>
        <w:rPr>
          <w:rStyle w:val="Emphasis"/>
          <w:color w:val="2C2C2C"/>
          <w:sz w:val="18"/>
          <w:szCs w:val="18"/>
        </w:rPr>
        <w:t>2016</w:t>
      </w:r>
      <w:r>
        <w:rPr>
          <w:rStyle w:val="Emphasis"/>
          <w:rFonts w:cs="宋体" w:hint="eastAsia"/>
          <w:color w:val="2C2C2C"/>
          <w:sz w:val="18"/>
          <w:szCs w:val="18"/>
        </w:rPr>
        <w:t>年</w:t>
      </w:r>
      <w:r>
        <w:rPr>
          <w:rStyle w:val="Emphasis"/>
          <w:color w:val="2C2C2C"/>
          <w:sz w:val="18"/>
          <w:szCs w:val="18"/>
        </w:rPr>
        <w:t>06</w:t>
      </w:r>
      <w:r>
        <w:rPr>
          <w:rStyle w:val="Emphasis"/>
          <w:rFonts w:cs="宋体" w:hint="eastAsia"/>
          <w:color w:val="2C2C2C"/>
          <w:sz w:val="18"/>
          <w:szCs w:val="18"/>
        </w:rPr>
        <w:t>月</w:t>
      </w:r>
      <w:r>
        <w:rPr>
          <w:rStyle w:val="Emphasis"/>
          <w:color w:val="2C2C2C"/>
          <w:sz w:val="18"/>
          <w:szCs w:val="18"/>
        </w:rPr>
        <w:t>12</w:t>
      </w:r>
      <w:r>
        <w:rPr>
          <w:rStyle w:val="Emphasis"/>
          <w:rFonts w:cs="宋体" w:hint="eastAsia"/>
          <w:color w:val="2C2C2C"/>
          <w:sz w:val="18"/>
          <w:szCs w:val="18"/>
        </w:rPr>
        <w:t>日</w:t>
      </w:r>
      <w:r>
        <w:rPr>
          <w:rFonts w:cs="Times New Roman"/>
          <w:color w:val="2C2C2C"/>
          <w:sz w:val="18"/>
          <w:szCs w:val="18"/>
        </w:rPr>
        <w:t>  </w:t>
      </w:r>
    </w:p>
    <w:p w:rsidR="001F1326" w:rsidRDefault="001F1326">
      <w:pPr>
        <w:pStyle w:val="NormalWeb"/>
        <w:widowControl/>
        <w:spacing w:before="376" w:after="226" w:line="440" w:lineRule="atLeast"/>
        <w:ind w:left="390" w:right="390" w:firstLine="480"/>
        <w:jc w:val="center"/>
        <w:rPr>
          <w:rFonts w:cs="Times New Roman"/>
        </w:rPr>
      </w:pPr>
      <w:r>
        <w:rPr>
          <w:rFonts w:ascii="黑体" w:eastAsia="黑体" w:hAnsi="宋体" w:cs="黑体" w:hint="eastAsia"/>
          <w:color w:val="2C2C2C"/>
        </w:rPr>
        <w:t>重庆市使用放射性同位素与射线装置重点单位情况表</w:t>
      </w:r>
    </w:p>
    <w:tbl>
      <w:tblPr>
        <w:tblW w:w="8756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12"/>
        <w:gridCol w:w="2676"/>
        <w:gridCol w:w="1722"/>
        <w:gridCol w:w="3346"/>
      </w:tblGrid>
      <w:tr w:rsidR="001F1326" w:rsidRPr="00F4290C">
        <w:trPr>
          <w:trHeight w:val="510"/>
          <w:tblHeader/>
          <w:jc w:val="center"/>
        </w:trPr>
        <w:tc>
          <w:tcPr>
            <w:tcW w:w="1012" w:type="dxa"/>
            <w:tcBorders>
              <w:top w:val="single" w:sz="18" w:space="0" w:color="008000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Style w:val="Strong"/>
                <w:rFonts w:ascii="宋体" w:hAnsi="宋体" w:cs="宋体" w:hint="eastAsia"/>
                <w:color w:val="2C2C2C"/>
                <w:sz w:val="21"/>
                <w:szCs w:val="21"/>
              </w:rPr>
              <w:t>序号</w:t>
            </w:r>
          </w:p>
        </w:tc>
        <w:tc>
          <w:tcPr>
            <w:tcW w:w="2676" w:type="dxa"/>
            <w:tcBorders>
              <w:top w:val="single" w:sz="18" w:space="0" w:color="008000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Style w:val="Strong"/>
                <w:rFonts w:ascii="宋体" w:hAnsi="宋体" w:cs="宋体" w:hint="eastAsia"/>
                <w:color w:val="2C2C2C"/>
                <w:sz w:val="21"/>
                <w:szCs w:val="21"/>
              </w:rPr>
              <w:t>单</w:t>
            </w:r>
            <w:r>
              <w:rPr>
                <w:rFonts w:ascii="宋体" w:cs="Times New Roman"/>
                <w:b/>
                <w:bCs/>
                <w:color w:val="2C2C2C"/>
                <w:sz w:val="21"/>
                <w:szCs w:val="21"/>
              </w:rPr>
              <w:t>   </w:t>
            </w:r>
            <w:r>
              <w:rPr>
                <w:rFonts w:ascii="宋体" w:hAnsi="宋体" w:cs="宋体"/>
                <w:b/>
                <w:bCs/>
                <w:color w:val="2C2C2C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宋体" w:hAnsi="宋体" w:cs="宋体" w:hint="eastAsia"/>
                <w:color w:val="2C2C2C"/>
                <w:sz w:val="21"/>
                <w:szCs w:val="21"/>
              </w:rPr>
              <w:t>位</w:t>
            </w:r>
          </w:p>
        </w:tc>
        <w:tc>
          <w:tcPr>
            <w:tcW w:w="1722" w:type="dxa"/>
            <w:tcBorders>
              <w:top w:val="single" w:sz="18" w:space="0" w:color="008000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Style w:val="Strong"/>
                <w:rFonts w:ascii="宋体" w:hAnsi="宋体" w:cs="宋体" w:hint="eastAsia"/>
                <w:color w:val="2C2C2C"/>
                <w:sz w:val="21"/>
                <w:szCs w:val="21"/>
              </w:rPr>
              <w:t>所在区县</w:t>
            </w:r>
          </w:p>
        </w:tc>
        <w:tc>
          <w:tcPr>
            <w:tcW w:w="3346" w:type="dxa"/>
            <w:tcBorders>
              <w:top w:val="single" w:sz="18" w:space="0" w:color="008000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Style w:val="Strong"/>
                <w:rFonts w:ascii="宋体" w:hAnsi="宋体" w:cs="宋体" w:hint="eastAsia"/>
                <w:color w:val="2C2C2C"/>
                <w:sz w:val="21"/>
                <w:szCs w:val="21"/>
              </w:rPr>
              <w:t>许可种类和范围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重庆医科大学附属第一医院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渝中区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使用Ⅰ类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Ⅲ类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Ⅴ类放射源；Ⅱ类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Ⅲ类射线装置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重庆市第四人民医院</w:t>
            </w:r>
            <w:r>
              <w:rPr>
                <w:rFonts w:ascii="宋体" w:hAnsi="宋体" w:cs="宋体"/>
                <w:color w:val="2C2C2C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重庆市急救医疗中心</w:t>
            </w:r>
            <w:r>
              <w:rPr>
                <w:rFonts w:ascii="宋体" w:hAnsi="宋体" w:cs="宋体"/>
                <w:color w:val="2C2C2C"/>
                <w:sz w:val="21"/>
                <w:szCs w:val="21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渝中区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使用Ⅱ类放射源；使用Ⅱ类、Ⅲ类射线装置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重庆中宇建设工程质量检测有限公司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南岸区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使用Ⅱ类放射源Ⅱ类射线装置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2C2C2C"/>
                <w:sz w:val="21"/>
                <w:szCs w:val="21"/>
              </w:rPr>
              <w:t> </w:t>
            </w:r>
          </w:p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重庆建安仪器有限责任公司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南岸区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销售Ⅱ类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Ⅲ类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Ⅳ类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Ⅴ类放射源；使用Ⅰ类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Ⅱ类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Ⅲ类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Ⅳ类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Ⅴ类放射源；使用Ⅱ类射线装置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綦江区人民医院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綦江区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使用Ⅰ类放射源；使用Ⅱ类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Ⅲ类射线装置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奉节县人民医院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奉节县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使用Ⅰ类放射源；使用Ⅲ类射线装置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重庆市肿瘤医院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沙坪坝区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使用Ⅰ类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Ⅲ类放射源；使用Ⅱ类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Ⅲ类射线装置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石柱土家族自治县人民医院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石柱县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使用Ⅰ类放射源；使用Ⅲ类射线装置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重庆钢铁（集团）有限责任公司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大渡口区（长寿区）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使用Ⅱ类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Ⅲ类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Ⅳ类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Ⅴ类放射源；使用Ⅱ类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Ⅲ类射线装置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垫江县人民医院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垫江县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使用Ⅰ类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Ⅱ类放射源；使用Ⅱ类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Ⅲ类射线装置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重庆市中医院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渝北区（渝中区）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使用Ⅱ类放射源；使用Ⅱ类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Ⅲ类射线装置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2C2C2C"/>
                <w:sz w:val="21"/>
                <w:szCs w:val="21"/>
              </w:rPr>
              <w:t> </w:t>
            </w:r>
          </w:p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重庆建工无损检测工程有限公司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九龙坡区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使用Ⅱ类放射源；使用Ⅱ类射线装置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中国石油集团川庆钻探工程有限公司测井公司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渝北区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使用Ⅱ类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Ⅲ类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Ⅳ类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Ⅴ类放射源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重庆市辐射环境监督管理站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渝中区（九龙坡区）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使用（含收贮）Ⅰ、Ⅱ、</w:t>
            </w:r>
            <w:r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Ⅲ、Ⅳ、Ⅴ类放射源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重庆市万州区平湖滚装运输服务有限公司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万州区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使用Ⅱ类放射源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重庆郭家沱港埠有限公司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江北区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使用Ⅱ类放射源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重庆强安港埠有限责任公司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忠县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使用Ⅱ类放射源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重庆鹏程无损检测有限公司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长寿区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使用Ⅱ类放射源；使用</w:t>
            </w:r>
            <w:bookmarkStart w:id="0" w:name="OLE_LINK4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Ⅱ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类射线装置</w:t>
            </w:r>
            <w:bookmarkEnd w:id="0"/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重庆地质仪器厂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沙坪坝区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销售、使用Ⅳ类</w:t>
            </w:r>
            <w:r>
              <w:rPr>
                <w:rFonts w:ascii="宋体" w:cs="宋体"/>
                <w:color w:val="000000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Ⅴ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类放射源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重庆维格实业有限公司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两江新区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使用Ⅰ类</w:t>
            </w:r>
            <w:r>
              <w:rPr>
                <w:rFonts w:ascii="宋体" w:cs="宋体"/>
                <w:color w:val="000000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Ⅴ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类放射源</w:t>
            </w:r>
          </w:p>
        </w:tc>
      </w:tr>
      <w:tr w:rsidR="001F1326" w:rsidRPr="00F4290C">
        <w:trPr>
          <w:trHeight w:val="510"/>
          <w:jc w:val="center"/>
        </w:trPr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 w:rsidRPr="00F4290C">
              <w:rPr>
                <w:rFonts w:cs="宋体" w:hint="eastAsia"/>
                <w:sz w:val="21"/>
                <w:szCs w:val="21"/>
              </w:rPr>
              <w:t>重庆原子高科医药有限公司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 w:rsidRPr="00F4290C">
              <w:rPr>
                <w:rFonts w:cs="宋体" w:hint="eastAsia"/>
                <w:sz w:val="21"/>
                <w:szCs w:val="21"/>
              </w:rPr>
              <w:t>北碚区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F1326" w:rsidRPr="00F4290C" w:rsidRDefault="001F1326">
            <w:pPr>
              <w:pStyle w:val="NormalWeb"/>
              <w:widowControl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 w:rsidRPr="00F4290C">
              <w:rPr>
                <w:rFonts w:cs="宋体" w:hint="eastAsia"/>
                <w:sz w:val="21"/>
                <w:szCs w:val="21"/>
              </w:rPr>
              <w:t>销售、使用非密封放射性物质，使用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Ⅱ</w:t>
            </w:r>
            <w:r>
              <w:rPr>
                <w:rFonts w:ascii="宋体" w:hAnsi="宋体" w:cs="宋体" w:hint="eastAsia"/>
                <w:color w:val="2C2C2C"/>
                <w:sz w:val="21"/>
                <w:szCs w:val="21"/>
              </w:rPr>
              <w:t>类射线装置</w:t>
            </w:r>
          </w:p>
        </w:tc>
      </w:tr>
    </w:tbl>
    <w:p w:rsidR="001F1326" w:rsidRDefault="001F1326">
      <w:pPr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取消的单位名单：</w:t>
      </w:r>
      <w:bookmarkStart w:id="1" w:name="_GoBack"/>
      <w:bookmarkEnd w:id="1"/>
    </w:p>
    <w:tbl>
      <w:tblPr>
        <w:tblW w:w="9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3"/>
        <w:gridCol w:w="2340"/>
        <w:gridCol w:w="1140"/>
        <w:gridCol w:w="3149"/>
        <w:gridCol w:w="1828"/>
      </w:tblGrid>
      <w:tr w:rsidR="001F1326" w:rsidRPr="00F4290C">
        <w:tc>
          <w:tcPr>
            <w:tcW w:w="683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</w:rPr>
            </w:pPr>
            <w:r w:rsidRPr="00F4290C">
              <w:rPr>
                <w:rStyle w:val="Strong"/>
                <w:rFonts w:ascii="宋体" w:hAnsi="宋体" w:cs="宋体" w:hint="eastAsia"/>
                <w:color w:val="2C2C2C"/>
                <w:sz w:val="21"/>
                <w:szCs w:val="21"/>
              </w:rPr>
              <w:t>序号</w:t>
            </w:r>
          </w:p>
        </w:tc>
        <w:tc>
          <w:tcPr>
            <w:tcW w:w="2340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</w:rPr>
            </w:pPr>
            <w:r w:rsidRPr="00F4290C">
              <w:rPr>
                <w:rStyle w:val="Strong"/>
                <w:rFonts w:ascii="宋体" w:hAnsi="宋体" w:cs="宋体" w:hint="eastAsia"/>
                <w:color w:val="2C2C2C"/>
                <w:sz w:val="21"/>
                <w:szCs w:val="21"/>
              </w:rPr>
              <w:t>单</w:t>
            </w:r>
            <w:r w:rsidRPr="00F4290C">
              <w:rPr>
                <w:rFonts w:ascii="宋体" w:cs="Times New Roman"/>
                <w:b/>
                <w:bCs/>
                <w:color w:val="2C2C2C"/>
                <w:sz w:val="21"/>
                <w:szCs w:val="21"/>
              </w:rPr>
              <w:t>   </w:t>
            </w:r>
            <w:r w:rsidRPr="00F4290C">
              <w:rPr>
                <w:rFonts w:ascii="宋体" w:hAnsi="宋体" w:cs="宋体"/>
                <w:b/>
                <w:bCs/>
                <w:color w:val="2C2C2C"/>
                <w:sz w:val="21"/>
                <w:szCs w:val="21"/>
              </w:rPr>
              <w:t xml:space="preserve"> </w:t>
            </w:r>
            <w:r w:rsidRPr="00F4290C">
              <w:rPr>
                <w:rStyle w:val="Strong"/>
                <w:rFonts w:ascii="宋体" w:hAnsi="宋体" w:cs="宋体" w:hint="eastAsia"/>
                <w:color w:val="2C2C2C"/>
                <w:sz w:val="21"/>
                <w:szCs w:val="21"/>
              </w:rPr>
              <w:t>位</w:t>
            </w:r>
          </w:p>
        </w:tc>
        <w:tc>
          <w:tcPr>
            <w:tcW w:w="1140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</w:rPr>
            </w:pPr>
            <w:r w:rsidRPr="00F4290C">
              <w:rPr>
                <w:rStyle w:val="Strong"/>
                <w:rFonts w:ascii="宋体" w:hAnsi="宋体" w:cs="宋体" w:hint="eastAsia"/>
                <w:color w:val="2C2C2C"/>
                <w:sz w:val="21"/>
                <w:szCs w:val="21"/>
              </w:rPr>
              <w:t>所在区县</w:t>
            </w:r>
          </w:p>
        </w:tc>
        <w:tc>
          <w:tcPr>
            <w:tcW w:w="3149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spacing w:line="312" w:lineRule="atLeast"/>
              <w:jc w:val="center"/>
              <w:rPr>
                <w:rFonts w:cs="Times New Roman"/>
              </w:rPr>
            </w:pPr>
            <w:r w:rsidRPr="00F4290C">
              <w:rPr>
                <w:rStyle w:val="Strong"/>
                <w:rFonts w:ascii="宋体" w:hAnsi="宋体" w:cs="宋体" w:hint="eastAsia"/>
                <w:color w:val="2C2C2C"/>
                <w:sz w:val="21"/>
                <w:szCs w:val="21"/>
              </w:rPr>
              <w:t>许可种类和范围</w:t>
            </w:r>
          </w:p>
        </w:tc>
        <w:tc>
          <w:tcPr>
            <w:tcW w:w="1828" w:type="dxa"/>
          </w:tcPr>
          <w:p w:rsidR="001F1326" w:rsidRPr="00F4290C" w:rsidRDefault="001F1326" w:rsidP="00F4290C">
            <w:pPr>
              <w:jc w:val="center"/>
              <w:rPr>
                <w:rFonts w:cs="Times New Roman"/>
              </w:rPr>
            </w:pPr>
            <w:r w:rsidRPr="00F4290C">
              <w:rPr>
                <w:rStyle w:val="Strong"/>
                <w:rFonts w:ascii="宋体" w:hAnsi="宋体" w:cs="宋体" w:hint="eastAsia"/>
                <w:color w:val="2C2C2C"/>
                <w:kern w:val="0"/>
              </w:rPr>
              <w:t>取消原因</w:t>
            </w:r>
          </w:p>
        </w:tc>
      </w:tr>
      <w:tr w:rsidR="001F1326" w:rsidRPr="00F4290C">
        <w:tc>
          <w:tcPr>
            <w:tcW w:w="683" w:type="dxa"/>
            <w:vAlign w:val="center"/>
          </w:tcPr>
          <w:p w:rsidR="001F1326" w:rsidRPr="00F4290C" w:rsidRDefault="001F1326" w:rsidP="00F4290C">
            <w:pPr>
              <w:jc w:val="center"/>
            </w:pPr>
            <w:r w:rsidRPr="00F4290C">
              <w:t>1</w:t>
            </w:r>
          </w:p>
        </w:tc>
        <w:tc>
          <w:tcPr>
            <w:tcW w:w="2340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textAlignment w:val="center"/>
              <w:rPr>
                <w:rFonts w:cs="Times New Roman"/>
              </w:rPr>
            </w:pP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大足区人民医院</w:t>
            </w:r>
          </w:p>
        </w:tc>
        <w:tc>
          <w:tcPr>
            <w:tcW w:w="1140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jc w:val="center"/>
              <w:textAlignment w:val="center"/>
              <w:rPr>
                <w:rFonts w:cs="Times New Roman"/>
              </w:rPr>
            </w:pP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大足区</w:t>
            </w:r>
          </w:p>
        </w:tc>
        <w:tc>
          <w:tcPr>
            <w:tcW w:w="3149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textAlignment w:val="center"/>
              <w:rPr>
                <w:rFonts w:cs="Times New Roman"/>
              </w:rPr>
            </w:pP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使用</w:t>
            </w:r>
            <w:bookmarkStart w:id="2" w:name="OLE_LINK1"/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Ⅰ类、Ⅱ类放射源</w:t>
            </w:r>
            <w:bookmarkEnd w:id="2"/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；使用Ⅱ类和Ⅲ类射线装置</w:t>
            </w:r>
          </w:p>
        </w:tc>
        <w:tc>
          <w:tcPr>
            <w:tcW w:w="1828" w:type="dxa"/>
          </w:tcPr>
          <w:p w:rsidR="001F1326" w:rsidRPr="00F4290C" w:rsidRDefault="001F1326" w:rsidP="00F4290C">
            <w:pPr>
              <w:jc w:val="left"/>
              <w:rPr>
                <w:rFonts w:cs="Times New Roman"/>
              </w:rPr>
            </w:pPr>
            <w:r w:rsidRPr="00F4290C">
              <w:rPr>
                <w:rFonts w:ascii="宋体" w:hAnsi="宋体" w:cs="宋体" w:hint="eastAsia"/>
                <w:color w:val="2C2C2C"/>
              </w:rPr>
              <w:t>Ⅰ类、</w:t>
            </w:r>
            <w:bookmarkStart w:id="3" w:name="OLE_LINK3"/>
            <w:r w:rsidRPr="00F4290C">
              <w:rPr>
                <w:rFonts w:ascii="宋体" w:hAnsi="宋体" w:cs="宋体" w:hint="eastAsia"/>
                <w:color w:val="2C2C2C"/>
              </w:rPr>
              <w:t>Ⅱ类放射源</w:t>
            </w:r>
            <w:bookmarkEnd w:id="3"/>
            <w:r w:rsidRPr="00F4290C">
              <w:rPr>
                <w:rFonts w:ascii="宋体" w:hAnsi="宋体" w:cs="宋体" w:hint="eastAsia"/>
                <w:color w:val="2C2C2C"/>
              </w:rPr>
              <w:t>已送贮</w:t>
            </w:r>
          </w:p>
        </w:tc>
      </w:tr>
      <w:tr w:rsidR="001F1326" w:rsidRPr="00F4290C">
        <w:tc>
          <w:tcPr>
            <w:tcW w:w="683" w:type="dxa"/>
            <w:vAlign w:val="center"/>
          </w:tcPr>
          <w:p w:rsidR="001F1326" w:rsidRPr="00F4290C" w:rsidRDefault="001F1326" w:rsidP="00F4290C">
            <w:pPr>
              <w:jc w:val="center"/>
            </w:pPr>
            <w:r w:rsidRPr="00F4290C">
              <w:t>2</w:t>
            </w:r>
          </w:p>
        </w:tc>
        <w:tc>
          <w:tcPr>
            <w:tcW w:w="2340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textAlignment w:val="center"/>
              <w:rPr>
                <w:rFonts w:cs="Times New Roman"/>
              </w:rPr>
            </w:pP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重庆市涪陵区中山医院</w:t>
            </w:r>
          </w:p>
        </w:tc>
        <w:tc>
          <w:tcPr>
            <w:tcW w:w="1140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jc w:val="center"/>
              <w:textAlignment w:val="center"/>
              <w:rPr>
                <w:rFonts w:cs="Times New Roman"/>
              </w:rPr>
            </w:pP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涪陵区</w:t>
            </w:r>
          </w:p>
        </w:tc>
        <w:tc>
          <w:tcPr>
            <w:tcW w:w="3149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textAlignment w:val="center"/>
              <w:rPr>
                <w:rFonts w:cs="Times New Roman"/>
              </w:rPr>
            </w:pP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使用Ⅰ类放射源；使用Ⅲ类射线装置</w:t>
            </w:r>
          </w:p>
        </w:tc>
        <w:tc>
          <w:tcPr>
            <w:tcW w:w="1828" w:type="dxa"/>
          </w:tcPr>
          <w:p w:rsidR="001F1326" w:rsidRPr="00F4290C" w:rsidRDefault="001F1326" w:rsidP="00F4290C">
            <w:pPr>
              <w:jc w:val="left"/>
              <w:rPr>
                <w:rFonts w:cs="Times New Roman"/>
              </w:rPr>
            </w:pPr>
            <w:r w:rsidRPr="00F4290C">
              <w:rPr>
                <w:rFonts w:ascii="宋体" w:hAnsi="宋体" w:cs="宋体" w:hint="eastAsia"/>
                <w:color w:val="2C2C2C"/>
              </w:rPr>
              <w:t>Ⅰ类放射源已送贮</w:t>
            </w:r>
          </w:p>
        </w:tc>
      </w:tr>
      <w:tr w:rsidR="001F1326" w:rsidRPr="00F4290C">
        <w:tc>
          <w:tcPr>
            <w:tcW w:w="683" w:type="dxa"/>
            <w:vAlign w:val="center"/>
          </w:tcPr>
          <w:p w:rsidR="001F1326" w:rsidRPr="00F4290C" w:rsidRDefault="001F1326" w:rsidP="00F4290C">
            <w:pPr>
              <w:jc w:val="center"/>
            </w:pPr>
            <w:r w:rsidRPr="00F4290C">
              <w:t>3</w:t>
            </w:r>
          </w:p>
        </w:tc>
        <w:tc>
          <w:tcPr>
            <w:tcW w:w="2340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textAlignment w:val="center"/>
              <w:rPr>
                <w:rFonts w:cs="Times New Roman"/>
              </w:rPr>
            </w:pP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重庆大学</w:t>
            </w:r>
          </w:p>
        </w:tc>
        <w:tc>
          <w:tcPr>
            <w:tcW w:w="1140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jc w:val="center"/>
              <w:textAlignment w:val="center"/>
              <w:rPr>
                <w:rFonts w:cs="Times New Roman"/>
              </w:rPr>
            </w:pP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沙坪坝区</w:t>
            </w:r>
          </w:p>
        </w:tc>
        <w:tc>
          <w:tcPr>
            <w:tcW w:w="3149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textAlignment w:val="center"/>
              <w:rPr>
                <w:rFonts w:cs="Times New Roman"/>
              </w:rPr>
            </w:pP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销售、使用</w:t>
            </w:r>
            <w:bookmarkStart w:id="4" w:name="OLE_LINK2"/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Ⅱ类</w:t>
            </w:r>
            <w:bookmarkEnd w:id="4"/>
            <w:r w:rsidRPr="00F4290C"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Ⅲ类</w:t>
            </w:r>
            <w:r w:rsidRPr="00F4290C"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Ⅳ类</w:t>
            </w:r>
            <w:r w:rsidRPr="00F4290C"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Ⅴ类放射源；生产、销售、使用Ⅱ类</w:t>
            </w:r>
            <w:r w:rsidRPr="00F4290C"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Ⅲ类射线装置</w:t>
            </w:r>
          </w:p>
        </w:tc>
        <w:tc>
          <w:tcPr>
            <w:tcW w:w="1828" w:type="dxa"/>
          </w:tcPr>
          <w:p w:rsidR="001F1326" w:rsidRPr="00F4290C" w:rsidRDefault="001F1326" w:rsidP="00F4290C">
            <w:pPr>
              <w:jc w:val="left"/>
              <w:rPr>
                <w:rFonts w:cs="Times New Roman"/>
              </w:rPr>
            </w:pPr>
            <w:r w:rsidRPr="00F4290C">
              <w:rPr>
                <w:rFonts w:ascii="宋体" w:hAnsi="宋体" w:cs="宋体" w:hint="eastAsia"/>
                <w:color w:val="2C2C2C"/>
              </w:rPr>
              <w:t>未使用Ⅱ类以上放射源</w:t>
            </w:r>
          </w:p>
        </w:tc>
      </w:tr>
      <w:tr w:rsidR="001F1326" w:rsidRPr="00F4290C">
        <w:tc>
          <w:tcPr>
            <w:tcW w:w="683" w:type="dxa"/>
            <w:vAlign w:val="center"/>
          </w:tcPr>
          <w:p w:rsidR="001F1326" w:rsidRPr="00F4290C" w:rsidRDefault="001F1326" w:rsidP="00F4290C">
            <w:pPr>
              <w:jc w:val="center"/>
            </w:pPr>
            <w:r w:rsidRPr="00F4290C">
              <w:t>4</w:t>
            </w:r>
          </w:p>
        </w:tc>
        <w:tc>
          <w:tcPr>
            <w:tcW w:w="2340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textAlignment w:val="center"/>
              <w:rPr>
                <w:rFonts w:cs="Times New Roman"/>
              </w:rPr>
            </w:pP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贝克休斯亚太有限公司</w:t>
            </w:r>
          </w:p>
        </w:tc>
        <w:tc>
          <w:tcPr>
            <w:tcW w:w="1140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jc w:val="center"/>
              <w:textAlignment w:val="center"/>
              <w:rPr>
                <w:rFonts w:cs="Times New Roman"/>
              </w:rPr>
            </w:pP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长寿区</w:t>
            </w:r>
          </w:p>
        </w:tc>
        <w:tc>
          <w:tcPr>
            <w:tcW w:w="3149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textAlignment w:val="center"/>
              <w:rPr>
                <w:rFonts w:cs="Times New Roman"/>
              </w:rPr>
            </w:pPr>
            <w:r w:rsidRPr="00F4290C">
              <w:rPr>
                <w:rFonts w:ascii="宋体" w:hAnsi="宋体" w:cs="宋体" w:hint="eastAsia"/>
                <w:color w:val="000000"/>
                <w:sz w:val="21"/>
                <w:szCs w:val="21"/>
              </w:rPr>
              <w:t>使用Ⅲ类</w:t>
            </w:r>
            <w:r w:rsidRPr="00F4290C">
              <w:rPr>
                <w:rFonts w:ascii="宋体" w:cs="宋体"/>
                <w:color w:val="000000"/>
                <w:sz w:val="21"/>
                <w:szCs w:val="21"/>
              </w:rPr>
              <w:t>,</w:t>
            </w:r>
            <w:r w:rsidRPr="00F4290C">
              <w:rPr>
                <w:rFonts w:ascii="宋体" w:hAnsi="宋体" w:cs="宋体" w:hint="eastAsia"/>
                <w:color w:val="000000"/>
                <w:sz w:val="21"/>
                <w:szCs w:val="21"/>
              </w:rPr>
              <w:t>Ⅳ</w:t>
            </w: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类</w:t>
            </w:r>
            <w:r w:rsidRPr="00F4290C"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Ⅴ类放射源</w:t>
            </w:r>
          </w:p>
        </w:tc>
        <w:tc>
          <w:tcPr>
            <w:tcW w:w="1828" w:type="dxa"/>
          </w:tcPr>
          <w:p w:rsidR="001F1326" w:rsidRPr="00F4290C" w:rsidRDefault="001F1326" w:rsidP="00F4290C">
            <w:pPr>
              <w:jc w:val="left"/>
              <w:rPr>
                <w:rFonts w:cs="Times New Roman"/>
              </w:rPr>
            </w:pPr>
            <w:r w:rsidRPr="00F4290C">
              <w:rPr>
                <w:rFonts w:cs="宋体" w:hint="eastAsia"/>
              </w:rPr>
              <w:t>公司已注销</w:t>
            </w:r>
          </w:p>
        </w:tc>
      </w:tr>
      <w:tr w:rsidR="001F1326" w:rsidRPr="00F4290C">
        <w:tc>
          <w:tcPr>
            <w:tcW w:w="683" w:type="dxa"/>
            <w:vAlign w:val="center"/>
          </w:tcPr>
          <w:p w:rsidR="001F1326" w:rsidRPr="00F4290C" w:rsidRDefault="001F1326" w:rsidP="00F4290C">
            <w:pPr>
              <w:jc w:val="center"/>
            </w:pPr>
            <w:r w:rsidRPr="00F4290C">
              <w:t>5</w:t>
            </w:r>
          </w:p>
        </w:tc>
        <w:tc>
          <w:tcPr>
            <w:tcW w:w="2340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textAlignment w:val="center"/>
              <w:rPr>
                <w:rFonts w:cs="Times New Roman"/>
              </w:rPr>
            </w:pPr>
            <w:r w:rsidRPr="00F4290C"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重庆华油实业有限公司</w:t>
            </w:r>
          </w:p>
        </w:tc>
        <w:tc>
          <w:tcPr>
            <w:tcW w:w="1140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jc w:val="center"/>
              <w:textAlignment w:val="center"/>
              <w:rPr>
                <w:rFonts w:cs="Times New Roman"/>
              </w:rPr>
            </w:pP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渝北区</w:t>
            </w:r>
          </w:p>
        </w:tc>
        <w:tc>
          <w:tcPr>
            <w:tcW w:w="3149" w:type="dxa"/>
            <w:vAlign w:val="center"/>
          </w:tcPr>
          <w:p w:rsidR="001F1326" w:rsidRPr="00F4290C" w:rsidRDefault="001F1326" w:rsidP="00F4290C">
            <w:pPr>
              <w:pStyle w:val="NormalWeb"/>
              <w:widowControl/>
              <w:textAlignment w:val="center"/>
              <w:rPr>
                <w:rFonts w:cs="Times New Roman"/>
              </w:rPr>
            </w:pPr>
            <w:r w:rsidRPr="00F4290C">
              <w:rPr>
                <w:rFonts w:ascii="宋体" w:hAnsi="宋体" w:cs="宋体" w:hint="eastAsia"/>
                <w:color w:val="000000"/>
                <w:sz w:val="21"/>
                <w:szCs w:val="21"/>
              </w:rPr>
              <w:t>使用Ⅱ类</w:t>
            </w:r>
            <w:r w:rsidRPr="00F4290C">
              <w:rPr>
                <w:rFonts w:ascii="宋体" w:cs="宋体"/>
                <w:color w:val="000000"/>
                <w:sz w:val="21"/>
                <w:szCs w:val="21"/>
              </w:rPr>
              <w:t>,</w:t>
            </w:r>
            <w:r w:rsidRPr="00F4290C">
              <w:rPr>
                <w:rFonts w:ascii="宋体" w:hAnsi="宋体" w:cs="宋体" w:hint="eastAsia"/>
                <w:color w:val="000000"/>
                <w:sz w:val="21"/>
                <w:szCs w:val="21"/>
              </w:rPr>
              <w:t>Ⅳ</w:t>
            </w: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类</w:t>
            </w:r>
            <w:r w:rsidRPr="00F4290C">
              <w:rPr>
                <w:rFonts w:ascii="宋体" w:cs="宋体"/>
                <w:color w:val="2C2C2C"/>
                <w:sz w:val="21"/>
                <w:szCs w:val="21"/>
              </w:rPr>
              <w:t>,</w:t>
            </w:r>
            <w:r w:rsidRPr="00F4290C">
              <w:rPr>
                <w:rFonts w:ascii="宋体" w:hAnsi="宋体" w:cs="宋体" w:hint="eastAsia"/>
                <w:color w:val="2C2C2C"/>
                <w:sz w:val="21"/>
                <w:szCs w:val="21"/>
              </w:rPr>
              <w:t>Ⅴ类放射源</w:t>
            </w:r>
          </w:p>
        </w:tc>
        <w:tc>
          <w:tcPr>
            <w:tcW w:w="1828" w:type="dxa"/>
          </w:tcPr>
          <w:p w:rsidR="001F1326" w:rsidRPr="00F4290C" w:rsidRDefault="001F1326" w:rsidP="00F4290C">
            <w:pPr>
              <w:jc w:val="left"/>
              <w:rPr>
                <w:rFonts w:cs="Times New Roman"/>
              </w:rPr>
            </w:pPr>
            <w:r w:rsidRPr="00F4290C">
              <w:rPr>
                <w:rFonts w:cs="宋体" w:hint="eastAsia"/>
              </w:rPr>
              <w:t>辐射安全许可证已重新办理，不使用</w:t>
            </w:r>
            <w:r w:rsidRPr="00F4290C">
              <w:rPr>
                <w:rFonts w:ascii="宋体" w:hAnsi="宋体" w:cs="宋体" w:hint="eastAsia"/>
                <w:color w:val="2C2C2C"/>
              </w:rPr>
              <w:t>Ⅱ类放射源</w:t>
            </w:r>
          </w:p>
        </w:tc>
      </w:tr>
    </w:tbl>
    <w:p w:rsidR="001F1326" w:rsidRDefault="001F1326">
      <w:pPr>
        <w:rPr>
          <w:rFonts w:cs="Times New Roman"/>
        </w:rPr>
      </w:pPr>
    </w:p>
    <w:sectPr w:rsidR="001F1326" w:rsidSect="001C5417">
      <w:pgSz w:w="11906" w:h="16838"/>
      <w:pgMar w:top="1440" w:right="1463" w:bottom="1440" w:left="151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417"/>
    <w:rsid w:val="001C5417"/>
    <w:rsid w:val="001F1326"/>
    <w:rsid w:val="008C2EA2"/>
    <w:rsid w:val="00BD7C19"/>
    <w:rsid w:val="00F4290C"/>
    <w:rsid w:val="0EA56B9A"/>
    <w:rsid w:val="11F259A9"/>
    <w:rsid w:val="185F0C40"/>
    <w:rsid w:val="18F93293"/>
    <w:rsid w:val="233A110C"/>
    <w:rsid w:val="237A4E00"/>
    <w:rsid w:val="2ED61512"/>
    <w:rsid w:val="3D2A7BB5"/>
    <w:rsid w:val="463A2C5D"/>
    <w:rsid w:val="5AA03840"/>
    <w:rsid w:val="6A5B0130"/>
    <w:rsid w:val="73B4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17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417"/>
    <w:pPr>
      <w:jc w:val="left"/>
      <w:outlineLvl w:val="0"/>
    </w:pPr>
    <w:rPr>
      <w:rFonts w:ascii="宋体" w:hAnsi="宋体" w:cs="宋体"/>
      <w:b/>
      <w:bCs/>
      <w:kern w:val="44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340"/>
    <w:rPr>
      <w:rFonts w:ascii="Calibri" w:hAnsi="Calibri" w:cs="Calibri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1C5417"/>
    <w:pPr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C5417"/>
    <w:rPr>
      <w:b/>
      <w:bCs/>
    </w:rPr>
  </w:style>
  <w:style w:type="character" w:styleId="FollowedHyperlink">
    <w:name w:val="FollowedHyperlink"/>
    <w:basedOn w:val="DefaultParagraphFont"/>
    <w:uiPriority w:val="99"/>
    <w:rsid w:val="001C5417"/>
    <w:rPr>
      <w:color w:val="2C2C2C"/>
      <w:u w:val="none"/>
    </w:rPr>
  </w:style>
  <w:style w:type="character" w:styleId="Emphasis">
    <w:name w:val="Emphasis"/>
    <w:basedOn w:val="DefaultParagraphFont"/>
    <w:uiPriority w:val="99"/>
    <w:qFormat/>
    <w:rsid w:val="001C5417"/>
  </w:style>
  <w:style w:type="character" w:styleId="HTMLCode">
    <w:name w:val="HTML Code"/>
    <w:basedOn w:val="DefaultParagraphFont"/>
    <w:uiPriority w:val="99"/>
    <w:rsid w:val="001C5417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C541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ght">
    <w:name w:val="right"/>
    <w:basedOn w:val="DefaultParagraphFont"/>
    <w:uiPriority w:val="99"/>
    <w:rsid w:val="001C5417"/>
  </w:style>
  <w:style w:type="character" w:customStyle="1" w:styleId="left">
    <w:name w:val="left"/>
    <w:basedOn w:val="DefaultParagraphFont"/>
    <w:uiPriority w:val="99"/>
    <w:rsid w:val="001C5417"/>
  </w:style>
  <w:style w:type="character" w:customStyle="1" w:styleId="gwdsnopic">
    <w:name w:val="gwds_nopic"/>
    <w:basedOn w:val="DefaultParagraphFont"/>
    <w:uiPriority w:val="99"/>
    <w:rsid w:val="001C5417"/>
  </w:style>
  <w:style w:type="character" w:customStyle="1" w:styleId="gwdsnopic1">
    <w:name w:val="gwds_nopic1"/>
    <w:basedOn w:val="DefaultParagraphFont"/>
    <w:uiPriority w:val="99"/>
    <w:rsid w:val="001C5417"/>
  </w:style>
  <w:style w:type="character" w:customStyle="1" w:styleId="gwdsnopic2">
    <w:name w:val="gwds_nopic2"/>
    <w:basedOn w:val="DefaultParagraphFont"/>
    <w:uiPriority w:val="99"/>
    <w:rsid w:val="001C5417"/>
  </w:style>
  <w:style w:type="paragraph" w:customStyle="1" w:styleId="explain">
    <w:name w:val="explain"/>
    <w:basedOn w:val="Normal"/>
    <w:uiPriority w:val="99"/>
    <w:rsid w:val="001C5417"/>
    <w:pPr>
      <w:jc w:val="center"/>
    </w:pPr>
    <w:rPr>
      <w:rFonts w:ascii="Verdana" w:hAnsi="Verdana" w:cs="Verdana"/>
      <w:kern w:val="0"/>
    </w:rPr>
  </w:style>
  <w:style w:type="character" w:customStyle="1" w:styleId="big1">
    <w:name w:val="big1"/>
    <w:basedOn w:val="DefaultParagraphFont"/>
    <w:uiPriority w:val="99"/>
    <w:rsid w:val="001C5417"/>
  </w:style>
  <w:style w:type="character" w:customStyle="1" w:styleId="middle1">
    <w:name w:val="middle1"/>
    <w:basedOn w:val="DefaultParagraphFont"/>
    <w:uiPriority w:val="99"/>
    <w:rsid w:val="001C5417"/>
  </w:style>
  <w:style w:type="character" w:customStyle="1" w:styleId="small1">
    <w:name w:val="small1"/>
    <w:basedOn w:val="DefaultParagraphFont"/>
    <w:uiPriority w:val="99"/>
    <w:rsid w:val="001C5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184</Words>
  <Characters>1049</Characters>
  <Application>Microsoft Office Outlook</Application>
  <DocSecurity>0</DocSecurity>
  <Lines>0</Lines>
  <Paragraphs>0</Paragraphs>
  <ScaleCrop>false</ScaleCrop>
  <Company>cqfsz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Administrator.H7UY6ETFIGOEYRP</dc:creator>
  <cp:keywords/>
  <dc:description/>
  <cp:lastModifiedBy>张德斌</cp:lastModifiedBy>
  <cp:revision>2</cp:revision>
  <dcterms:created xsi:type="dcterms:W3CDTF">2014-10-29T12:08:00Z</dcterms:created>
  <dcterms:modified xsi:type="dcterms:W3CDTF">2016-06-12T08:13:00Z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