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left"/>
        <w:rPr>
          <w:rFonts w:hint="eastAsia" w:eastAsia="方正仿宋简体"/>
          <w:sz w:val="32"/>
          <w:szCs w:val="32"/>
        </w:rPr>
      </w:pPr>
      <w:r>
        <w:rPr>
          <w:rFonts w:hint="eastAsia" w:eastAsia="方正仿宋简体"/>
          <w:sz w:val="32"/>
          <w:szCs w:val="32"/>
        </w:rPr>
        <w:t>附件</w:t>
      </w:r>
      <w:r>
        <w:rPr>
          <w:rFonts w:eastAsia="方正仿宋简体"/>
          <w:sz w:val="32"/>
          <w:szCs w:val="32"/>
        </w:rPr>
        <w:t>3</w:t>
      </w:r>
      <w:r>
        <w:rPr>
          <w:rFonts w:hint="eastAsia" w:eastAsia="方正仿宋简体"/>
          <w:sz w:val="32"/>
          <w:szCs w:val="32"/>
        </w:rPr>
        <w:t>：</w:t>
      </w:r>
    </w:p>
    <w:p>
      <w:pPr>
        <w:spacing w:line="420" w:lineRule="exact"/>
        <w:jc w:val="center"/>
        <w:rPr>
          <w:rFonts w:hint="eastAsia" w:ascii="方正楷体简体" w:hAnsi="方正楷体简体" w:eastAsia="方正楷体简体"/>
          <w:b/>
          <w:sz w:val="32"/>
          <w:szCs w:val="32"/>
        </w:rPr>
      </w:pPr>
      <w:r>
        <w:rPr>
          <w:rFonts w:hint="eastAsia" w:ascii="方正楷体简体" w:hAnsi="方正楷体简体" w:eastAsia="方正楷体简体"/>
          <w:b/>
          <w:sz w:val="32"/>
          <w:szCs w:val="32"/>
        </w:rPr>
        <w:t>重庆市“12369”环保举报热线</w:t>
      </w:r>
    </w:p>
    <w:p>
      <w:pPr>
        <w:spacing w:line="420" w:lineRule="exact"/>
        <w:jc w:val="center"/>
        <w:rPr>
          <w:rFonts w:hint="eastAsia" w:ascii="方正楷体简体" w:hAnsi="方正楷体简体" w:eastAsia="方正楷体简体"/>
          <w:b/>
          <w:sz w:val="32"/>
          <w:szCs w:val="32"/>
        </w:rPr>
      </w:pPr>
      <w:r>
        <w:rPr>
          <w:rFonts w:hint="eastAsia" w:ascii="方正楷体简体" w:hAnsi="方正楷体简体" w:eastAsia="方正楷体简体"/>
          <w:b/>
          <w:sz w:val="32"/>
          <w:szCs w:val="32"/>
        </w:rPr>
        <w:t>2018年</w:t>
      </w:r>
      <w:r>
        <w:rPr>
          <w:rFonts w:ascii="方正楷体简体" w:hAnsi="方正楷体简体" w:eastAsia="方正楷体简体"/>
          <w:b/>
          <w:sz w:val="32"/>
          <w:szCs w:val="32"/>
        </w:rPr>
        <w:t>8</w:t>
      </w:r>
      <w:r>
        <w:rPr>
          <w:rFonts w:hint="eastAsia" w:ascii="方正楷体简体" w:hAnsi="方正楷体简体" w:eastAsia="方正楷体简体"/>
          <w:b/>
          <w:sz w:val="32"/>
          <w:szCs w:val="32"/>
        </w:rPr>
        <w:t>月群众举报热点案件情况表</w:t>
      </w:r>
    </w:p>
    <w:tbl>
      <w:tblPr>
        <w:tblStyle w:val="5"/>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541"/>
        <w:gridCol w:w="1696"/>
        <w:gridCol w:w="1248"/>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39" w:type="dxa"/>
            <w:shd w:val="clear" w:color="auto" w:fill="auto"/>
            <w:vAlign w:val="center"/>
          </w:tcPr>
          <w:p>
            <w:pPr>
              <w:spacing w:line="380" w:lineRule="exact"/>
              <w:jc w:val="center"/>
              <w:rPr>
                <w:rFonts w:hint="eastAsia" w:ascii="方正黑体简体" w:eastAsia="方正黑体简体"/>
                <w:sz w:val="24"/>
              </w:rPr>
            </w:pPr>
            <w:r>
              <w:rPr>
                <w:rFonts w:hint="eastAsia" w:ascii="方正黑体简体" w:eastAsia="方正黑体简体"/>
                <w:sz w:val="24"/>
              </w:rPr>
              <w:t>区县</w:t>
            </w:r>
          </w:p>
        </w:tc>
        <w:tc>
          <w:tcPr>
            <w:tcW w:w="541" w:type="dxa"/>
            <w:shd w:val="clear" w:color="auto" w:fill="auto"/>
            <w:vAlign w:val="center"/>
          </w:tcPr>
          <w:p>
            <w:pPr>
              <w:spacing w:line="380" w:lineRule="exact"/>
              <w:jc w:val="center"/>
              <w:rPr>
                <w:rFonts w:hint="eastAsia" w:ascii="方正黑体简体" w:eastAsia="方正黑体简体"/>
                <w:sz w:val="24"/>
              </w:rPr>
            </w:pPr>
            <w:r>
              <w:rPr>
                <w:rFonts w:hint="eastAsia" w:ascii="方正黑体简体" w:eastAsia="方正黑体简体"/>
                <w:sz w:val="24"/>
              </w:rPr>
              <w:t>序号</w:t>
            </w:r>
          </w:p>
        </w:tc>
        <w:tc>
          <w:tcPr>
            <w:tcW w:w="1696" w:type="dxa"/>
            <w:shd w:val="clear" w:color="auto" w:fill="auto"/>
            <w:vAlign w:val="center"/>
          </w:tcPr>
          <w:p>
            <w:pPr>
              <w:spacing w:line="380" w:lineRule="exact"/>
              <w:jc w:val="center"/>
              <w:rPr>
                <w:rFonts w:hint="eastAsia" w:ascii="方正黑体简体" w:eastAsia="方正黑体简体"/>
                <w:sz w:val="24"/>
              </w:rPr>
            </w:pPr>
            <w:r>
              <w:rPr>
                <w:rFonts w:hint="eastAsia" w:ascii="方正黑体简体" w:eastAsia="方正黑体简体"/>
                <w:sz w:val="24"/>
              </w:rPr>
              <w:t>涉及企业</w:t>
            </w:r>
          </w:p>
        </w:tc>
        <w:tc>
          <w:tcPr>
            <w:tcW w:w="1248" w:type="dxa"/>
            <w:shd w:val="clear" w:color="auto" w:fill="auto"/>
            <w:vAlign w:val="center"/>
          </w:tcPr>
          <w:p>
            <w:pPr>
              <w:spacing w:line="380" w:lineRule="exact"/>
              <w:jc w:val="center"/>
              <w:rPr>
                <w:rFonts w:hint="eastAsia" w:ascii="方正黑体简体" w:eastAsia="方正黑体简体"/>
                <w:sz w:val="24"/>
              </w:rPr>
            </w:pPr>
            <w:r>
              <w:rPr>
                <w:rFonts w:hint="eastAsia" w:ascii="方正黑体简体" w:eastAsia="方正黑体简体"/>
                <w:sz w:val="24"/>
              </w:rPr>
              <w:t>存在问题</w:t>
            </w:r>
          </w:p>
        </w:tc>
        <w:tc>
          <w:tcPr>
            <w:tcW w:w="5156" w:type="dxa"/>
            <w:shd w:val="clear" w:color="auto" w:fill="auto"/>
            <w:vAlign w:val="center"/>
          </w:tcPr>
          <w:p>
            <w:pPr>
              <w:spacing w:line="380" w:lineRule="exact"/>
              <w:jc w:val="center"/>
              <w:rPr>
                <w:rFonts w:hint="eastAsia" w:ascii="方正黑体简体" w:eastAsia="方正黑体简体"/>
                <w:sz w:val="24"/>
              </w:rPr>
            </w:pPr>
            <w:r>
              <w:rPr>
                <w:rFonts w:hint="eastAsia" w:ascii="方正黑体简体" w:eastAsia="方正黑体简体"/>
                <w:sz w:val="24"/>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0" w:hRule="atLeast"/>
        </w:trPr>
        <w:tc>
          <w:tcPr>
            <w:tcW w:w="539" w:type="dxa"/>
            <w:shd w:val="clear" w:color="auto" w:fill="auto"/>
            <w:vAlign w:val="center"/>
          </w:tcPr>
          <w:p>
            <w:pPr>
              <w:widowControl/>
              <w:spacing w:line="380" w:lineRule="exact"/>
              <w:jc w:val="center"/>
              <w:rPr>
                <w:rFonts w:hint="eastAsia" w:eastAsia="方正仿宋简体"/>
                <w:bCs/>
                <w:kern w:val="0"/>
                <w:sz w:val="24"/>
              </w:rPr>
            </w:pPr>
            <w:r>
              <w:rPr>
                <w:rFonts w:hint="eastAsia" w:eastAsia="方正仿宋简体"/>
                <w:bCs/>
                <w:kern w:val="0"/>
                <w:sz w:val="24"/>
              </w:rPr>
              <w:t>沙坪坝区</w:t>
            </w:r>
          </w:p>
        </w:tc>
        <w:tc>
          <w:tcPr>
            <w:tcW w:w="541" w:type="dxa"/>
            <w:shd w:val="clear" w:color="auto" w:fill="auto"/>
            <w:vAlign w:val="center"/>
          </w:tcPr>
          <w:p>
            <w:pPr>
              <w:widowControl/>
              <w:spacing w:line="380" w:lineRule="exact"/>
              <w:jc w:val="center"/>
              <w:rPr>
                <w:rFonts w:hint="eastAsia" w:eastAsia="方正仿宋简体"/>
                <w:bCs/>
                <w:kern w:val="0"/>
                <w:sz w:val="24"/>
              </w:rPr>
            </w:pPr>
            <w:r>
              <w:rPr>
                <w:rFonts w:hint="eastAsia" w:eastAsia="方正仿宋简体"/>
                <w:bCs/>
                <w:kern w:val="0"/>
                <w:sz w:val="24"/>
              </w:rPr>
              <w:t>1</w:t>
            </w:r>
          </w:p>
        </w:tc>
        <w:tc>
          <w:tcPr>
            <w:tcW w:w="1696" w:type="dxa"/>
            <w:shd w:val="clear" w:color="auto" w:fill="auto"/>
            <w:vAlign w:val="center"/>
          </w:tcPr>
          <w:p>
            <w:pPr>
              <w:widowControl/>
              <w:spacing w:line="380" w:lineRule="exact"/>
              <w:jc w:val="left"/>
              <w:rPr>
                <w:rFonts w:hint="eastAsia" w:eastAsia="方正仿宋简体"/>
                <w:bCs/>
                <w:kern w:val="0"/>
                <w:sz w:val="24"/>
              </w:rPr>
            </w:pPr>
            <w:r>
              <w:rPr>
                <w:rFonts w:hint="eastAsia" w:eastAsia="方正仿宋简体"/>
                <w:bCs/>
                <w:kern w:val="0"/>
                <w:sz w:val="24"/>
              </w:rPr>
              <w:t>大学城微电园金科天宸九街区临街门面将新建仁安医院</w:t>
            </w:r>
          </w:p>
        </w:tc>
        <w:tc>
          <w:tcPr>
            <w:tcW w:w="1248" w:type="dxa"/>
            <w:shd w:val="clear" w:color="auto" w:fill="auto"/>
            <w:vAlign w:val="center"/>
          </w:tcPr>
          <w:p>
            <w:pPr>
              <w:widowControl/>
              <w:spacing w:line="380" w:lineRule="exact"/>
              <w:jc w:val="center"/>
              <w:rPr>
                <w:rFonts w:hint="eastAsia" w:eastAsia="方正仿宋简体"/>
                <w:bCs/>
                <w:kern w:val="0"/>
                <w:sz w:val="24"/>
              </w:rPr>
            </w:pPr>
            <w:r>
              <w:rPr>
                <w:rFonts w:hint="eastAsia" w:eastAsia="方正仿宋简体"/>
                <w:bCs/>
                <w:kern w:val="0"/>
                <w:sz w:val="24"/>
              </w:rPr>
              <w:t>建设项目</w:t>
            </w:r>
          </w:p>
        </w:tc>
        <w:tc>
          <w:tcPr>
            <w:tcW w:w="5156" w:type="dxa"/>
            <w:shd w:val="clear" w:color="auto" w:fill="auto"/>
            <w:vAlign w:val="center"/>
          </w:tcPr>
          <w:p>
            <w:pPr>
              <w:widowControl/>
              <w:spacing w:line="380" w:lineRule="exact"/>
              <w:jc w:val="left"/>
              <w:rPr>
                <w:rFonts w:hint="eastAsia" w:eastAsia="方正仿宋简体"/>
                <w:bCs/>
                <w:kern w:val="0"/>
                <w:sz w:val="24"/>
              </w:rPr>
            </w:pPr>
            <w:r>
              <w:rPr>
                <w:rFonts w:hint="eastAsia" w:eastAsia="方正仿宋简体"/>
                <w:bCs/>
                <w:kern w:val="0"/>
                <w:sz w:val="24"/>
              </w:rPr>
              <w:t>经查，投诉人反映的是重庆仁安医院有限责任公司旗下的重庆仁安医院。该医院成立于2016年6月1日，原经营地址位于重庆市沙坪坝区大学城解放军后勤工程学院门诊大楼。因场地租赁时间已于2017年6月3</w:t>
            </w:r>
            <w:r>
              <w:rPr>
                <w:rFonts w:hint="eastAsia" w:eastAsia="方正仿宋简体"/>
                <w:bCs/>
                <w:kern w:val="0"/>
                <w:sz w:val="24"/>
                <w:lang w:val="en-US" w:eastAsia="zh-CN"/>
              </w:rPr>
              <w:t>0</w:t>
            </w:r>
            <w:bookmarkStart w:id="0" w:name="_GoBack"/>
            <w:bookmarkEnd w:id="0"/>
            <w:r>
              <w:rPr>
                <w:rFonts w:hint="eastAsia" w:eastAsia="方正仿宋简体"/>
                <w:bCs/>
                <w:kern w:val="0"/>
                <w:sz w:val="24"/>
              </w:rPr>
              <w:t>日到期，目前拟租赁重庆市沙坪坝区陈家桥街道永年路39号（金科天宸9街区4-2）72个商业门面继续从事医院经营。现场检查时，该医院未进行施工建设，全部场地内无医疗设施设备，只有部分租赁商铺存在改造痕迹。据该医院后勤主任介绍，该医院已停止对租赁商铺的改造建设，并委托重庆宏伟环保工程有限公司办理建设项目环评手续。目前，沙坪坝区环保局建管科尚未收到该项目的任何报批资料。对此，沙坪坝区环保局已要求该公司在未取得环评批复前，不得擅自从事医院的建设。同时已将该情况告知陈家桥街道，要求其加大巡查力度，若发现重庆仁安医院在未取得环评批复前擅自从事建设，及时通报沙坪坝区环保局，必将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539" w:type="dxa"/>
            <w:shd w:val="clear" w:color="auto" w:fill="auto"/>
            <w:vAlign w:val="center"/>
          </w:tcPr>
          <w:p>
            <w:pPr>
              <w:widowControl/>
              <w:spacing w:line="380" w:lineRule="exact"/>
              <w:jc w:val="center"/>
              <w:rPr>
                <w:rFonts w:hint="eastAsia" w:eastAsia="方正仿宋简体"/>
                <w:bCs/>
                <w:kern w:val="0"/>
                <w:sz w:val="24"/>
              </w:rPr>
            </w:pPr>
            <w:r>
              <w:rPr>
                <w:rFonts w:hint="eastAsia" w:eastAsia="方正仿宋简体"/>
                <w:bCs/>
                <w:kern w:val="0"/>
                <w:sz w:val="24"/>
              </w:rPr>
              <w:t>巴南区</w:t>
            </w:r>
          </w:p>
        </w:tc>
        <w:tc>
          <w:tcPr>
            <w:tcW w:w="541" w:type="dxa"/>
            <w:shd w:val="clear" w:color="auto" w:fill="auto"/>
            <w:vAlign w:val="center"/>
          </w:tcPr>
          <w:p>
            <w:pPr>
              <w:spacing w:line="380" w:lineRule="exact"/>
              <w:jc w:val="center"/>
              <w:rPr>
                <w:rFonts w:hint="eastAsia" w:eastAsia="方正仿宋简体"/>
                <w:bCs/>
                <w:kern w:val="0"/>
                <w:sz w:val="24"/>
              </w:rPr>
            </w:pPr>
            <w:r>
              <w:rPr>
                <w:rFonts w:hint="eastAsia" w:eastAsia="方正仿宋简体"/>
                <w:bCs/>
                <w:kern w:val="0"/>
                <w:sz w:val="24"/>
              </w:rPr>
              <w:t>1</w:t>
            </w:r>
          </w:p>
        </w:tc>
        <w:tc>
          <w:tcPr>
            <w:tcW w:w="1696" w:type="dxa"/>
            <w:shd w:val="clear" w:color="auto" w:fill="auto"/>
            <w:vAlign w:val="center"/>
          </w:tcPr>
          <w:p>
            <w:pPr>
              <w:spacing w:line="380" w:lineRule="exact"/>
              <w:rPr>
                <w:rFonts w:hint="eastAsia" w:eastAsia="方正仿宋简体"/>
                <w:bCs/>
                <w:kern w:val="0"/>
                <w:sz w:val="24"/>
              </w:rPr>
            </w:pPr>
            <w:r>
              <w:rPr>
                <w:rFonts w:hint="eastAsia" w:eastAsia="方正仿宋简体"/>
                <w:bCs/>
                <w:kern w:val="0"/>
                <w:sz w:val="24"/>
              </w:rPr>
              <w:t>渝南分流道融科金色时代小区、花溪江南水乡一带闻到难闻气味</w:t>
            </w:r>
          </w:p>
        </w:tc>
        <w:tc>
          <w:tcPr>
            <w:tcW w:w="1248" w:type="dxa"/>
            <w:shd w:val="clear" w:color="auto" w:fill="auto"/>
            <w:vAlign w:val="center"/>
          </w:tcPr>
          <w:p>
            <w:pPr>
              <w:spacing w:line="380" w:lineRule="exact"/>
              <w:jc w:val="center"/>
              <w:rPr>
                <w:rFonts w:hint="eastAsia" w:eastAsia="方正仿宋简体"/>
                <w:bCs/>
                <w:kern w:val="0"/>
                <w:sz w:val="24"/>
              </w:rPr>
            </w:pPr>
            <w:r>
              <w:rPr>
                <w:rFonts w:hint="eastAsia" w:eastAsia="方正仿宋简体"/>
                <w:bCs/>
                <w:kern w:val="0"/>
                <w:sz w:val="24"/>
              </w:rPr>
              <w:t>大气污染</w:t>
            </w:r>
          </w:p>
        </w:tc>
        <w:tc>
          <w:tcPr>
            <w:tcW w:w="5156" w:type="dxa"/>
            <w:shd w:val="clear" w:color="auto" w:fill="auto"/>
            <w:vAlign w:val="center"/>
          </w:tcPr>
          <w:p>
            <w:pPr>
              <w:spacing w:line="380" w:lineRule="exact"/>
              <w:rPr>
                <w:rFonts w:hint="eastAsia" w:eastAsia="方正仿宋简体"/>
                <w:bCs/>
                <w:kern w:val="0"/>
                <w:sz w:val="24"/>
              </w:rPr>
            </w:pPr>
            <w:r>
              <w:rPr>
                <w:rFonts w:hint="eastAsia" w:eastAsia="方正仿宋简体"/>
                <w:bCs/>
                <w:kern w:val="0"/>
                <w:sz w:val="24"/>
              </w:rPr>
              <w:t>现场检查时，未发现难闻气味。巴南区环保局将加强对该区域的巡查，一旦发现环境违法行为将依法查处。同时，已委托区生态环境监测站对附近宗申工业园区内的企业排放废气进行监测，待监测结果出来后作进一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trPr>
        <w:tc>
          <w:tcPr>
            <w:tcW w:w="539" w:type="dxa"/>
            <w:shd w:val="clear" w:color="auto" w:fill="auto"/>
            <w:vAlign w:val="center"/>
          </w:tcPr>
          <w:p>
            <w:pPr>
              <w:widowControl/>
              <w:spacing w:line="380" w:lineRule="exact"/>
              <w:rPr>
                <w:rFonts w:hint="eastAsia" w:eastAsia="方正仿宋简体"/>
                <w:bCs/>
                <w:kern w:val="0"/>
                <w:sz w:val="24"/>
              </w:rPr>
            </w:pPr>
            <w:r>
              <w:rPr>
                <w:rFonts w:hint="eastAsia" w:eastAsia="方正仿宋简体"/>
                <w:bCs/>
                <w:kern w:val="0"/>
                <w:sz w:val="24"/>
              </w:rPr>
              <w:t>城口县</w:t>
            </w:r>
          </w:p>
        </w:tc>
        <w:tc>
          <w:tcPr>
            <w:tcW w:w="541" w:type="dxa"/>
            <w:shd w:val="clear" w:color="auto" w:fill="auto"/>
            <w:vAlign w:val="center"/>
          </w:tcPr>
          <w:p>
            <w:pPr>
              <w:spacing w:line="380" w:lineRule="exact"/>
              <w:jc w:val="center"/>
              <w:rPr>
                <w:rFonts w:hint="eastAsia" w:eastAsia="方正仿宋简体"/>
                <w:bCs/>
                <w:kern w:val="0"/>
                <w:sz w:val="24"/>
              </w:rPr>
            </w:pPr>
            <w:r>
              <w:rPr>
                <w:rFonts w:hint="eastAsia" w:eastAsia="方正仿宋简体"/>
                <w:bCs/>
                <w:kern w:val="0"/>
                <w:sz w:val="24"/>
              </w:rPr>
              <w:t>1</w:t>
            </w:r>
          </w:p>
        </w:tc>
        <w:tc>
          <w:tcPr>
            <w:tcW w:w="1696" w:type="dxa"/>
            <w:shd w:val="clear" w:color="auto" w:fill="auto"/>
            <w:vAlign w:val="center"/>
          </w:tcPr>
          <w:p>
            <w:pPr>
              <w:spacing w:line="380" w:lineRule="exact"/>
              <w:rPr>
                <w:rFonts w:eastAsia="方正仿宋简体"/>
                <w:bCs/>
                <w:kern w:val="0"/>
                <w:sz w:val="24"/>
              </w:rPr>
            </w:pPr>
            <w:r>
              <w:rPr>
                <w:rFonts w:hint="eastAsia" w:eastAsia="方正仿宋简体"/>
                <w:bCs/>
                <w:kern w:val="0"/>
                <w:sz w:val="24"/>
              </w:rPr>
              <w:t>沿河乡北坡村重庆麒翔道路工程有限公司</w:t>
            </w:r>
          </w:p>
        </w:tc>
        <w:tc>
          <w:tcPr>
            <w:tcW w:w="1248" w:type="dxa"/>
            <w:shd w:val="clear" w:color="auto" w:fill="auto"/>
            <w:vAlign w:val="center"/>
          </w:tcPr>
          <w:p>
            <w:pPr>
              <w:spacing w:line="380" w:lineRule="exact"/>
              <w:jc w:val="center"/>
              <w:rPr>
                <w:rFonts w:hint="eastAsia" w:eastAsia="方正仿宋简体"/>
                <w:bCs/>
                <w:kern w:val="0"/>
                <w:sz w:val="24"/>
              </w:rPr>
            </w:pPr>
            <w:r>
              <w:rPr>
                <w:rFonts w:hint="eastAsia" w:eastAsia="方正仿宋简体"/>
                <w:bCs/>
                <w:kern w:val="0"/>
                <w:sz w:val="24"/>
              </w:rPr>
              <w:t>大气污染</w:t>
            </w:r>
          </w:p>
        </w:tc>
        <w:tc>
          <w:tcPr>
            <w:tcW w:w="5156" w:type="dxa"/>
            <w:shd w:val="clear" w:color="auto" w:fill="auto"/>
            <w:vAlign w:val="center"/>
          </w:tcPr>
          <w:p>
            <w:pPr>
              <w:spacing w:line="380" w:lineRule="exact"/>
              <w:rPr>
                <w:rFonts w:hint="eastAsia" w:eastAsia="方正仿宋简体"/>
                <w:bCs/>
                <w:kern w:val="0"/>
                <w:sz w:val="24"/>
              </w:rPr>
            </w:pPr>
            <w:r>
              <w:rPr>
                <w:rFonts w:hint="eastAsia" w:eastAsia="方正仿宋简体"/>
                <w:bCs/>
                <w:kern w:val="0"/>
                <w:sz w:val="24"/>
              </w:rPr>
              <w:t>经查，重庆麒翔道路工程有限公司（沥青搅拌站）办理了环评手续，专家组已对该企业的设施设备进行了验收，允许该企业进行3个月的试生产并对环保设施设备进行调试。目前，该公司因国土用地手续不完善，已停止生产。城口县环保局已要求该公司生产期间严格落实企业主体责任制，加强环保设施设备的日常检修和维护，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7" w:hRule="atLeast"/>
        </w:trPr>
        <w:tc>
          <w:tcPr>
            <w:tcW w:w="539" w:type="dxa"/>
            <w:shd w:val="clear" w:color="auto" w:fill="auto"/>
            <w:vAlign w:val="center"/>
          </w:tcPr>
          <w:p>
            <w:pPr>
              <w:widowControl/>
              <w:spacing w:line="380" w:lineRule="exact"/>
              <w:rPr>
                <w:rFonts w:hint="eastAsia" w:eastAsia="方正仿宋简体"/>
                <w:bCs/>
                <w:kern w:val="0"/>
                <w:sz w:val="24"/>
              </w:rPr>
            </w:pPr>
            <w:r>
              <w:rPr>
                <w:rFonts w:hint="eastAsia" w:eastAsia="方正仿宋简体"/>
                <w:bCs/>
                <w:kern w:val="0"/>
                <w:sz w:val="24"/>
              </w:rPr>
              <w:t>长寿区</w:t>
            </w:r>
          </w:p>
        </w:tc>
        <w:tc>
          <w:tcPr>
            <w:tcW w:w="541" w:type="dxa"/>
            <w:shd w:val="clear" w:color="auto" w:fill="auto"/>
            <w:vAlign w:val="center"/>
          </w:tcPr>
          <w:p>
            <w:pPr>
              <w:spacing w:line="380" w:lineRule="exact"/>
              <w:jc w:val="center"/>
              <w:rPr>
                <w:rFonts w:hint="eastAsia" w:eastAsia="方正仿宋简体"/>
                <w:bCs/>
                <w:kern w:val="0"/>
                <w:sz w:val="24"/>
              </w:rPr>
            </w:pPr>
            <w:r>
              <w:rPr>
                <w:rFonts w:hint="eastAsia" w:eastAsia="方正仿宋简体"/>
                <w:bCs/>
                <w:kern w:val="0"/>
                <w:sz w:val="24"/>
              </w:rPr>
              <w:t>1</w:t>
            </w:r>
          </w:p>
        </w:tc>
        <w:tc>
          <w:tcPr>
            <w:tcW w:w="1696" w:type="dxa"/>
            <w:shd w:val="clear" w:color="auto" w:fill="auto"/>
            <w:vAlign w:val="center"/>
          </w:tcPr>
          <w:p>
            <w:pPr>
              <w:spacing w:line="380" w:lineRule="exact"/>
              <w:rPr>
                <w:rFonts w:hint="eastAsia" w:eastAsia="方正仿宋简体"/>
                <w:bCs/>
                <w:kern w:val="0"/>
                <w:sz w:val="24"/>
              </w:rPr>
            </w:pPr>
            <w:r>
              <w:rPr>
                <w:rFonts w:hint="eastAsia" w:eastAsia="方正仿宋简体"/>
                <w:bCs/>
                <w:kern w:val="0"/>
                <w:sz w:val="24"/>
              </w:rPr>
              <w:t>菩提大道重庆小康动力有限公司</w:t>
            </w:r>
          </w:p>
        </w:tc>
        <w:tc>
          <w:tcPr>
            <w:tcW w:w="1248" w:type="dxa"/>
            <w:shd w:val="clear" w:color="auto" w:fill="auto"/>
            <w:vAlign w:val="center"/>
          </w:tcPr>
          <w:p>
            <w:pPr>
              <w:spacing w:line="380" w:lineRule="exact"/>
              <w:jc w:val="center"/>
              <w:rPr>
                <w:rFonts w:hint="eastAsia" w:eastAsia="方正仿宋简体"/>
                <w:bCs/>
                <w:kern w:val="0"/>
                <w:sz w:val="24"/>
              </w:rPr>
            </w:pPr>
            <w:r>
              <w:rPr>
                <w:rFonts w:hint="eastAsia" w:eastAsia="方正仿宋简体"/>
                <w:bCs/>
                <w:kern w:val="0"/>
                <w:sz w:val="24"/>
              </w:rPr>
              <w:t>大气污染</w:t>
            </w:r>
          </w:p>
        </w:tc>
        <w:tc>
          <w:tcPr>
            <w:tcW w:w="5156" w:type="dxa"/>
            <w:shd w:val="clear" w:color="auto" w:fill="auto"/>
            <w:vAlign w:val="center"/>
          </w:tcPr>
          <w:p>
            <w:pPr>
              <w:spacing w:line="380" w:lineRule="exact"/>
              <w:rPr>
                <w:rFonts w:hint="eastAsia" w:eastAsia="方正仿宋简体"/>
                <w:bCs/>
                <w:kern w:val="0"/>
                <w:sz w:val="24"/>
              </w:rPr>
            </w:pPr>
            <w:r>
              <w:rPr>
                <w:rFonts w:hint="eastAsia" w:eastAsia="方正仿宋简体"/>
                <w:bCs/>
                <w:kern w:val="0"/>
                <w:sz w:val="24"/>
              </w:rPr>
              <w:t>针对重庆小康动力有限公司废气扰民问题，长寿区环保局已于2018年6月6日要求该公司实施夜间限产，限产期间主要废气产生工段（缸盖线制芯、缸体线制芯、曲轴线制芯及浇注工段）夜间8点至次日6点期间停产。2018年6月15日召集经开区环保局、远达环保公司（第三方整改单位）及小康公司三方召开废气治理专题会议，就废气治理进度、治理过程中存在的实际问题等多方面展开讨论，明确了下一步整治方案。目前，废气治理项目正稳步推进中。长寿区环保局将持续加大该公司环境监管力度，提高巡查频次，严厉打击环境违法行为，同时组织长寿区生态环境监测站不定期对该公司污染物排放情况进行环境监测，确保污染物达标排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88"/>
    <w:rsid w:val="00471E88"/>
    <w:rsid w:val="00846DC7"/>
    <w:rsid w:val="00961E17"/>
    <w:rsid w:val="00A60A95"/>
    <w:rsid w:val="00E63297"/>
    <w:rsid w:val="47E4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169</Words>
  <Characters>964</Characters>
  <Lines>8</Lines>
  <Paragraphs>2</Paragraphs>
  <TotalTime>1</TotalTime>
  <ScaleCrop>false</ScaleCrop>
  <LinksUpToDate>false</LinksUpToDate>
  <CharactersWithSpaces>1131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2018-09-26T08:03:00Z</dcterms:created>
  <dc:creator>执法总队_执法总队受理处_郭婷</dc:creator>
  <cp:lastModifiedBy>重庆市生态环境局_重庆市生态环境局_系统管理员</cp:lastModifiedBy>
  <dcterms:modified xsi:type="dcterms:W3CDTF">2022-03-25T01:35:35Z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