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AA16" w14:textId="77777777" w:rsidR="00595FD3" w:rsidRDefault="00595FD3">
      <w:pPr>
        <w:tabs>
          <w:tab w:val="left" w:pos="4498"/>
        </w:tabs>
        <w:spacing w:line="276" w:lineRule="auto"/>
        <w:ind w:firstLineChars="0" w:firstLine="0"/>
        <w:jc w:val="center"/>
        <w:rPr>
          <w:rFonts w:eastAsia="方正公文小标宋" w:cs="Times New Roman"/>
          <w:b/>
          <w:kern w:val="0"/>
          <w:sz w:val="36"/>
          <w:szCs w:val="44"/>
        </w:rPr>
      </w:pPr>
    </w:p>
    <w:p w14:paraId="5F28C1FE" w14:textId="77777777" w:rsidR="00595FD3" w:rsidRDefault="00595FD3">
      <w:pPr>
        <w:tabs>
          <w:tab w:val="left" w:pos="4498"/>
        </w:tabs>
        <w:spacing w:line="276" w:lineRule="auto"/>
        <w:ind w:firstLineChars="0" w:firstLine="0"/>
        <w:jc w:val="center"/>
        <w:rPr>
          <w:rFonts w:eastAsia="方正公文小标宋" w:cs="Times New Roman"/>
          <w:b/>
          <w:kern w:val="0"/>
          <w:sz w:val="36"/>
          <w:szCs w:val="44"/>
        </w:rPr>
      </w:pPr>
    </w:p>
    <w:p w14:paraId="39A7095C" w14:textId="77777777" w:rsidR="00595FD3" w:rsidRDefault="00000000">
      <w:pPr>
        <w:tabs>
          <w:tab w:val="left" w:pos="4498"/>
        </w:tabs>
        <w:spacing w:line="276" w:lineRule="auto"/>
        <w:ind w:firstLineChars="0" w:firstLine="0"/>
        <w:jc w:val="center"/>
        <w:rPr>
          <w:rFonts w:eastAsia="方正公文小标宋" w:cs="Times New Roman"/>
          <w:kern w:val="0"/>
          <w:sz w:val="36"/>
          <w:szCs w:val="36"/>
        </w:rPr>
      </w:pPr>
      <w:bookmarkStart w:id="0" w:name="_Hlk200714557"/>
      <w:r>
        <w:rPr>
          <w:rFonts w:eastAsia="方正公文小标宋" w:cs="Times New Roman"/>
          <w:kern w:val="0"/>
          <w:sz w:val="36"/>
          <w:szCs w:val="36"/>
        </w:rPr>
        <w:t>重庆市典型一般工业固体废物回填利用环境</w:t>
      </w:r>
    </w:p>
    <w:p w14:paraId="581EF153" w14:textId="77777777" w:rsidR="00595FD3" w:rsidRDefault="00000000">
      <w:pPr>
        <w:tabs>
          <w:tab w:val="left" w:pos="4498"/>
        </w:tabs>
        <w:spacing w:line="276" w:lineRule="auto"/>
        <w:ind w:firstLineChars="0" w:firstLine="0"/>
        <w:jc w:val="center"/>
        <w:rPr>
          <w:rFonts w:eastAsia="方正公文小标宋" w:cs="Times New Roman"/>
          <w:kern w:val="0"/>
          <w:sz w:val="36"/>
          <w:szCs w:val="36"/>
        </w:rPr>
      </w:pPr>
      <w:r>
        <w:rPr>
          <w:rFonts w:eastAsia="方正公文小标宋" w:cs="Times New Roman"/>
          <w:kern w:val="0"/>
          <w:sz w:val="36"/>
          <w:szCs w:val="36"/>
        </w:rPr>
        <w:t>保护技术规范</w:t>
      </w:r>
      <w:bookmarkEnd w:id="0"/>
      <w:r>
        <w:rPr>
          <w:rFonts w:eastAsia="方正公文小标宋" w:cs="Times New Roman"/>
          <w:kern w:val="0"/>
          <w:sz w:val="36"/>
          <w:szCs w:val="36"/>
        </w:rPr>
        <w:t>编制说明</w:t>
      </w:r>
    </w:p>
    <w:p w14:paraId="361CF45D" w14:textId="77777777" w:rsidR="00595FD3" w:rsidRDefault="00595FD3">
      <w:pPr>
        <w:ind w:firstLineChars="0" w:firstLine="0"/>
        <w:rPr>
          <w:rFonts w:cs="Times New Roman"/>
        </w:rPr>
      </w:pPr>
    </w:p>
    <w:p w14:paraId="0FD76D41" w14:textId="77777777" w:rsidR="00595FD3" w:rsidRDefault="00595FD3">
      <w:pPr>
        <w:ind w:firstLineChars="0" w:firstLine="0"/>
        <w:rPr>
          <w:rFonts w:cs="Times New Roman"/>
        </w:rPr>
      </w:pPr>
    </w:p>
    <w:p w14:paraId="56870571" w14:textId="77777777" w:rsidR="00595FD3" w:rsidRDefault="00595FD3">
      <w:pPr>
        <w:ind w:firstLineChars="0" w:firstLine="0"/>
        <w:rPr>
          <w:rFonts w:cs="Times New Roman"/>
        </w:rPr>
      </w:pPr>
    </w:p>
    <w:p w14:paraId="14E8AE0C" w14:textId="77777777" w:rsidR="00595FD3" w:rsidRDefault="00595FD3">
      <w:pPr>
        <w:ind w:firstLineChars="0" w:firstLine="0"/>
        <w:rPr>
          <w:rFonts w:cs="Times New Roman"/>
        </w:rPr>
      </w:pPr>
    </w:p>
    <w:p w14:paraId="3D69CEB6" w14:textId="77777777" w:rsidR="00595FD3" w:rsidRDefault="00595FD3">
      <w:pPr>
        <w:ind w:firstLineChars="0" w:firstLine="0"/>
        <w:rPr>
          <w:rFonts w:cs="Times New Roman"/>
        </w:rPr>
      </w:pPr>
    </w:p>
    <w:p w14:paraId="1F2BF97B" w14:textId="77777777" w:rsidR="00595FD3" w:rsidRDefault="00595FD3">
      <w:pPr>
        <w:ind w:firstLineChars="0" w:firstLine="0"/>
        <w:rPr>
          <w:rFonts w:cs="Times New Roman"/>
        </w:rPr>
      </w:pPr>
    </w:p>
    <w:p w14:paraId="750EA398" w14:textId="77777777" w:rsidR="00595FD3" w:rsidRDefault="00595FD3">
      <w:pPr>
        <w:ind w:firstLineChars="0" w:firstLine="0"/>
        <w:rPr>
          <w:rFonts w:cs="Times New Roman"/>
        </w:rPr>
      </w:pPr>
    </w:p>
    <w:p w14:paraId="4DA6FC19" w14:textId="77777777" w:rsidR="00595FD3" w:rsidRDefault="00595FD3">
      <w:pPr>
        <w:ind w:firstLineChars="0" w:firstLine="0"/>
        <w:rPr>
          <w:rFonts w:cs="Times New Roman"/>
        </w:rPr>
      </w:pPr>
    </w:p>
    <w:p w14:paraId="1A222AEB" w14:textId="77777777" w:rsidR="00595FD3" w:rsidRDefault="00595FD3">
      <w:pPr>
        <w:ind w:firstLineChars="0" w:firstLine="0"/>
      </w:pPr>
    </w:p>
    <w:p w14:paraId="2BD53910" w14:textId="77777777" w:rsidR="00595FD3" w:rsidRDefault="00595FD3">
      <w:pPr>
        <w:ind w:firstLineChars="0" w:firstLine="0"/>
      </w:pPr>
    </w:p>
    <w:p w14:paraId="2DFADD6D" w14:textId="77777777" w:rsidR="00595FD3" w:rsidRDefault="00595FD3">
      <w:pPr>
        <w:ind w:firstLineChars="0" w:firstLine="0"/>
      </w:pPr>
    </w:p>
    <w:p w14:paraId="0C0D646F" w14:textId="77777777" w:rsidR="00595FD3" w:rsidRDefault="00595FD3">
      <w:pPr>
        <w:ind w:firstLineChars="0" w:firstLine="0"/>
      </w:pPr>
    </w:p>
    <w:p w14:paraId="78D2B4E3" w14:textId="77777777" w:rsidR="00595FD3" w:rsidRDefault="00595FD3">
      <w:pPr>
        <w:ind w:firstLineChars="0" w:firstLine="0"/>
      </w:pPr>
    </w:p>
    <w:p w14:paraId="46725C01" w14:textId="77777777" w:rsidR="00595FD3" w:rsidRDefault="00595FD3">
      <w:pPr>
        <w:ind w:firstLineChars="0" w:firstLine="0"/>
      </w:pPr>
      <w:bookmarkStart w:id="1" w:name="_Hlk200714578"/>
    </w:p>
    <w:p w14:paraId="2C406FCD" w14:textId="77777777" w:rsidR="00595FD3" w:rsidRDefault="00595FD3">
      <w:pPr>
        <w:ind w:firstLineChars="0" w:firstLine="0"/>
      </w:pPr>
    </w:p>
    <w:p w14:paraId="3F0DD25B" w14:textId="77777777" w:rsidR="00595FD3" w:rsidRDefault="00595FD3">
      <w:pPr>
        <w:ind w:firstLineChars="0" w:firstLine="0"/>
      </w:pPr>
    </w:p>
    <w:p w14:paraId="104BC075" w14:textId="77777777" w:rsidR="00595FD3" w:rsidRDefault="00595FD3">
      <w:pPr>
        <w:ind w:firstLineChars="0" w:firstLine="0"/>
      </w:pPr>
    </w:p>
    <w:p w14:paraId="45230259" w14:textId="77777777" w:rsidR="00595FD3" w:rsidRDefault="00595FD3">
      <w:pPr>
        <w:ind w:firstLineChars="0" w:firstLine="0"/>
      </w:pPr>
    </w:p>
    <w:p w14:paraId="6B1DF2DC" w14:textId="77777777" w:rsidR="00595FD3" w:rsidRDefault="00595FD3">
      <w:pPr>
        <w:ind w:firstLineChars="0" w:firstLine="0"/>
      </w:pPr>
    </w:p>
    <w:p w14:paraId="76FADCA7" w14:textId="77777777" w:rsidR="00595FD3" w:rsidRDefault="00595FD3">
      <w:pPr>
        <w:ind w:firstLineChars="0" w:firstLine="0"/>
      </w:pPr>
    </w:p>
    <w:p w14:paraId="10EFE0E4" w14:textId="77777777" w:rsidR="00595FD3" w:rsidRDefault="00595FD3">
      <w:pPr>
        <w:ind w:firstLineChars="0" w:firstLine="0"/>
      </w:pPr>
    </w:p>
    <w:p w14:paraId="5D9345CC" w14:textId="77777777" w:rsidR="00595FD3" w:rsidRDefault="00595FD3">
      <w:pPr>
        <w:ind w:firstLineChars="0" w:firstLine="0"/>
      </w:pPr>
    </w:p>
    <w:p w14:paraId="75E97B12" w14:textId="77777777" w:rsidR="00595FD3" w:rsidRDefault="00595FD3">
      <w:pPr>
        <w:ind w:firstLineChars="0" w:firstLine="0"/>
      </w:pPr>
    </w:p>
    <w:p w14:paraId="19236B2F" w14:textId="77777777" w:rsidR="00595FD3" w:rsidRDefault="00595FD3">
      <w:pPr>
        <w:ind w:firstLineChars="0" w:firstLine="0"/>
      </w:pPr>
    </w:p>
    <w:p w14:paraId="7ED3B779" w14:textId="77777777" w:rsidR="00595FD3" w:rsidRDefault="00000000">
      <w:pPr>
        <w:ind w:firstLineChars="0" w:firstLine="0"/>
        <w:jc w:val="center"/>
        <w:rPr>
          <w:b/>
          <w:bCs/>
          <w:sz w:val="32"/>
          <w:szCs w:val="24"/>
        </w:rPr>
      </w:pPr>
      <w:r>
        <w:rPr>
          <w:b/>
          <w:bCs/>
          <w:sz w:val="32"/>
          <w:szCs w:val="24"/>
        </w:rPr>
        <w:t>二〇二</w:t>
      </w:r>
      <w:r>
        <w:rPr>
          <w:rFonts w:hint="eastAsia"/>
          <w:b/>
          <w:bCs/>
          <w:sz w:val="32"/>
          <w:szCs w:val="24"/>
        </w:rPr>
        <w:t>六</w:t>
      </w:r>
      <w:r>
        <w:rPr>
          <w:b/>
          <w:bCs/>
          <w:sz w:val="32"/>
          <w:szCs w:val="24"/>
        </w:rPr>
        <w:t>年</w:t>
      </w:r>
      <w:r>
        <w:rPr>
          <w:rFonts w:hint="eastAsia"/>
          <w:b/>
          <w:bCs/>
          <w:sz w:val="32"/>
          <w:szCs w:val="24"/>
        </w:rPr>
        <w:t>五</w:t>
      </w:r>
      <w:r>
        <w:rPr>
          <w:b/>
          <w:bCs/>
          <w:sz w:val="32"/>
          <w:szCs w:val="24"/>
        </w:rPr>
        <w:t>月</w:t>
      </w:r>
    </w:p>
    <w:p w14:paraId="1B328F26" w14:textId="3E3B9843" w:rsidR="00D96453" w:rsidRDefault="00D96453">
      <w:pPr>
        <w:ind w:firstLineChars="0" w:firstLine="0"/>
        <w:jc w:val="center"/>
        <w:rPr>
          <w:rFonts w:hint="eastAsia"/>
          <w:b/>
          <w:bCs/>
          <w:sz w:val="32"/>
          <w:szCs w:val="24"/>
        </w:rPr>
        <w:sectPr w:rsidR="00D9645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Pr>
          <w:rFonts w:hint="eastAsia"/>
          <w:b/>
          <w:bCs/>
          <w:sz w:val="32"/>
          <w:szCs w:val="24"/>
        </w:rPr>
        <w:t>编制组</w:t>
      </w:r>
    </w:p>
    <w:p w14:paraId="7DAA77BF" w14:textId="77777777" w:rsidR="00595FD3" w:rsidRDefault="00000000">
      <w:pPr>
        <w:pStyle w:val="TOC1"/>
        <w:tabs>
          <w:tab w:val="left" w:pos="440"/>
          <w:tab w:val="right" w:leader="dot" w:pos="8296"/>
        </w:tabs>
        <w:jc w:val="center"/>
        <w:rPr>
          <w:rFonts w:eastAsia="方正小标宋简体" w:cs="Times New Roman"/>
          <w:sz w:val="44"/>
          <w:szCs w:val="44"/>
        </w:rPr>
      </w:pPr>
      <w:bookmarkStart w:id="2" w:name="_Toc200716619"/>
      <w:bookmarkStart w:id="3" w:name="_Toc200716657"/>
      <w:bookmarkStart w:id="4" w:name="_Toc200717779"/>
      <w:bookmarkStart w:id="5" w:name="_Toc200716587"/>
      <w:bookmarkStart w:id="6" w:name="_Toc204026589"/>
      <w:bookmarkStart w:id="7" w:name="_Toc201157925"/>
      <w:bookmarkStart w:id="8" w:name="_Toc216104399"/>
      <w:bookmarkStart w:id="9" w:name="_Toc224892788"/>
      <w:bookmarkEnd w:id="1"/>
      <w:r>
        <w:rPr>
          <w:rFonts w:eastAsia="方正小标宋简体" w:cs="Times New Roman"/>
          <w:sz w:val="44"/>
          <w:szCs w:val="44"/>
        </w:rPr>
        <w:lastRenderedPageBreak/>
        <w:t>目</w:t>
      </w:r>
      <w:r>
        <w:rPr>
          <w:rFonts w:eastAsia="方正小标宋简体" w:cs="Times New Roman"/>
          <w:sz w:val="44"/>
          <w:szCs w:val="44"/>
        </w:rPr>
        <w:t xml:space="preserve"> </w:t>
      </w:r>
      <w:r>
        <w:rPr>
          <w:rFonts w:eastAsia="方正小标宋简体" w:cs="Times New Roman"/>
          <w:sz w:val="44"/>
          <w:szCs w:val="44"/>
        </w:rPr>
        <w:t>录</w:t>
      </w:r>
      <w:bookmarkEnd w:id="2"/>
      <w:bookmarkEnd w:id="3"/>
      <w:bookmarkEnd w:id="4"/>
      <w:bookmarkEnd w:id="5"/>
      <w:bookmarkEnd w:id="6"/>
      <w:bookmarkEnd w:id="7"/>
      <w:bookmarkEnd w:id="8"/>
      <w:bookmarkEnd w:id="9"/>
    </w:p>
    <w:p w14:paraId="0FC0DD84" w14:textId="27F5D8AB" w:rsidR="00595FD3" w:rsidRDefault="00000000">
      <w:pPr>
        <w:pStyle w:val="TOC1"/>
        <w:tabs>
          <w:tab w:val="left" w:pos="440"/>
          <w:tab w:val="right" w:leader="dot" w:pos="8296"/>
        </w:tabs>
        <w:rPr>
          <w:rFonts w:asciiTheme="minorHAnsi" w:eastAsiaTheme="minorEastAsia" w:hAnsiTheme="minorHAnsi" w:hint="eastAsia"/>
          <w:noProof/>
          <w:sz w:val="22"/>
          <w:szCs w:val="24"/>
          <w14:ligatures w14:val="standardContextual"/>
        </w:rPr>
      </w:pPr>
      <w:r>
        <w:rPr>
          <w:rFonts w:eastAsiaTheme="majorEastAsia" w:cs="Times New Roman"/>
          <w:spacing w:val="-10"/>
          <w:kern w:val="28"/>
          <w:sz w:val="56"/>
          <w:szCs w:val="56"/>
        </w:rPr>
        <w:fldChar w:fldCharType="begin"/>
      </w:r>
      <w:r>
        <w:rPr>
          <w:rFonts w:cs="Times New Roman"/>
        </w:rPr>
        <w:instrText xml:space="preserve"> TOC \o "1-2" \h \z \u </w:instrText>
      </w:r>
      <w:r>
        <w:rPr>
          <w:rFonts w:eastAsiaTheme="majorEastAsia" w:cs="Times New Roman"/>
          <w:spacing w:val="-10"/>
          <w:kern w:val="28"/>
          <w:sz w:val="56"/>
          <w:szCs w:val="56"/>
        </w:rPr>
        <w:fldChar w:fldCharType="separate"/>
      </w:r>
      <w:hyperlink w:anchor="_Toc230073406" w:history="1">
        <w:r w:rsidR="00595FD3">
          <w:rPr>
            <w:rStyle w:val="afc"/>
            <w:noProof/>
            <w14:scene3d>
              <w14:camera w14:prst="orthographicFront"/>
              <w14:lightRig w14:rig="threePt" w14:dir="t">
                <w14:rot w14:lat="0" w14:lon="0" w14:rev="0"/>
              </w14:lightRig>
            </w14:scene3d>
          </w:rPr>
          <w:t>1</w:t>
        </w:r>
        <w:r w:rsidR="00595FD3">
          <w:rPr>
            <w:rFonts w:asciiTheme="minorHAnsi" w:eastAsiaTheme="minorEastAsia" w:hAnsiTheme="minorHAnsi" w:hint="eastAsia"/>
            <w:noProof/>
            <w:sz w:val="22"/>
            <w:szCs w:val="24"/>
            <w14:ligatures w14:val="standardContextual"/>
          </w:rPr>
          <w:tab/>
        </w:r>
        <w:r w:rsidR="00595FD3">
          <w:rPr>
            <w:rStyle w:val="afc"/>
            <w:noProof/>
          </w:rPr>
          <w:t>项目背景</w:t>
        </w:r>
        <w:r w:rsidR="00595FD3">
          <w:rPr>
            <w:rFonts w:hint="eastAsia"/>
            <w:noProof/>
          </w:rPr>
          <w:tab/>
        </w:r>
        <w:r w:rsidR="00595FD3">
          <w:rPr>
            <w:rFonts w:hint="eastAsia"/>
            <w:noProof/>
          </w:rPr>
          <w:fldChar w:fldCharType="begin"/>
        </w:r>
        <w:r w:rsidR="00595FD3">
          <w:rPr>
            <w:rFonts w:hint="eastAsia"/>
            <w:noProof/>
          </w:rPr>
          <w:instrText xml:space="preserve"> </w:instrText>
        </w:r>
        <w:r w:rsidR="00595FD3">
          <w:rPr>
            <w:noProof/>
          </w:rPr>
          <w:instrText>PAGEREF _Toc230073406 \h</w:instrText>
        </w:r>
        <w:r w:rsidR="00595FD3">
          <w:rPr>
            <w:rFonts w:hint="eastAsia"/>
            <w:noProof/>
          </w:rPr>
          <w:instrText xml:space="preserve"> </w:instrText>
        </w:r>
        <w:r w:rsidR="00595FD3">
          <w:rPr>
            <w:rFonts w:hint="eastAsia"/>
            <w:noProof/>
          </w:rPr>
        </w:r>
        <w:r w:rsidR="00595FD3">
          <w:rPr>
            <w:rFonts w:hint="eastAsia"/>
            <w:noProof/>
          </w:rPr>
          <w:fldChar w:fldCharType="separate"/>
        </w:r>
        <w:r w:rsidR="00FB085A">
          <w:rPr>
            <w:noProof/>
          </w:rPr>
          <w:t>2</w:t>
        </w:r>
        <w:r w:rsidR="00595FD3">
          <w:rPr>
            <w:rFonts w:hint="eastAsia"/>
            <w:noProof/>
          </w:rPr>
          <w:fldChar w:fldCharType="end"/>
        </w:r>
      </w:hyperlink>
    </w:p>
    <w:p w14:paraId="74FEBFA1" w14:textId="52A7731E"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07" w:history="1">
        <w:r>
          <w:rPr>
            <w:rStyle w:val="afc"/>
            <w:rFonts w:eastAsia="华文细黑"/>
            <w:noProof/>
            <w14:scene3d>
              <w14:camera w14:prst="orthographicFront"/>
              <w14:lightRig w14:rig="threePt" w14:dir="t">
                <w14:rot w14:lat="0" w14:lon="0" w14:rev="0"/>
              </w14:lightRig>
            </w14:scene3d>
          </w:rPr>
          <w:t>1.1</w:t>
        </w:r>
        <w:r>
          <w:rPr>
            <w:rStyle w:val="afc"/>
            <w:noProof/>
          </w:rPr>
          <w:t xml:space="preserve"> </w:t>
        </w:r>
        <w:r>
          <w:rPr>
            <w:rStyle w:val="afc"/>
            <w:noProof/>
          </w:rPr>
          <w:t>起草背景</w:t>
        </w:r>
        <w:r>
          <w:rPr>
            <w:rFonts w:hint="eastAsia"/>
            <w:noProof/>
          </w:rPr>
          <w:tab/>
        </w:r>
        <w:r>
          <w:rPr>
            <w:rFonts w:hint="eastAsia"/>
            <w:noProof/>
          </w:rPr>
          <w:fldChar w:fldCharType="begin"/>
        </w:r>
        <w:r>
          <w:rPr>
            <w:rFonts w:hint="eastAsia"/>
            <w:noProof/>
          </w:rPr>
          <w:instrText xml:space="preserve"> </w:instrText>
        </w:r>
        <w:r>
          <w:rPr>
            <w:noProof/>
          </w:rPr>
          <w:instrText>PAGEREF _Toc230073407 \h</w:instrText>
        </w:r>
        <w:r>
          <w:rPr>
            <w:rFonts w:hint="eastAsia"/>
            <w:noProof/>
          </w:rPr>
          <w:instrText xml:space="preserve"> </w:instrText>
        </w:r>
        <w:r>
          <w:rPr>
            <w:rFonts w:hint="eastAsia"/>
            <w:noProof/>
          </w:rPr>
        </w:r>
        <w:r>
          <w:rPr>
            <w:rFonts w:hint="eastAsia"/>
            <w:noProof/>
          </w:rPr>
          <w:fldChar w:fldCharType="separate"/>
        </w:r>
        <w:r w:rsidR="00FB085A">
          <w:rPr>
            <w:noProof/>
          </w:rPr>
          <w:t>2</w:t>
        </w:r>
        <w:r>
          <w:rPr>
            <w:rFonts w:hint="eastAsia"/>
            <w:noProof/>
          </w:rPr>
          <w:fldChar w:fldCharType="end"/>
        </w:r>
      </w:hyperlink>
    </w:p>
    <w:p w14:paraId="6C0A89E8" w14:textId="456E2B66"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08" w:history="1">
        <w:r>
          <w:rPr>
            <w:rStyle w:val="afc"/>
            <w:rFonts w:eastAsia="华文细黑"/>
            <w:noProof/>
            <w14:scene3d>
              <w14:camera w14:prst="orthographicFront"/>
              <w14:lightRig w14:rig="threePt" w14:dir="t">
                <w14:rot w14:lat="0" w14:lon="0" w14:rev="0"/>
              </w14:lightRig>
            </w14:scene3d>
          </w:rPr>
          <w:t>1.2</w:t>
        </w:r>
        <w:r>
          <w:rPr>
            <w:rStyle w:val="afc"/>
            <w:noProof/>
          </w:rPr>
          <w:t xml:space="preserve"> </w:t>
        </w:r>
        <w:r>
          <w:rPr>
            <w:rStyle w:val="afc"/>
            <w:noProof/>
          </w:rPr>
          <w:t>制定标准的必要性</w:t>
        </w:r>
        <w:r>
          <w:rPr>
            <w:rFonts w:hint="eastAsia"/>
            <w:noProof/>
          </w:rPr>
          <w:tab/>
        </w:r>
        <w:r>
          <w:rPr>
            <w:rFonts w:hint="eastAsia"/>
            <w:noProof/>
          </w:rPr>
          <w:fldChar w:fldCharType="begin"/>
        </w:r>
        <w:r>
          <w:rPr>
            <w:rFonts w:hint="eastAsia"/>
            <w:noProof/>
          </w:rPr>
          <w:instrText xml:space="preserve"> </w:instrText>
        </w:r>
        <w:r>
          <w:rPr>
            <w:noProof/>
          </w:rPr>
          <w:instrText>PAGEREF _Toc230073408 \h</w:instrText>
        </w:r>
        <w:r>
          <w:rPr>
            <w:rFonts w:hint="eastAsia"/>
            <w:noProof/>
          </w:rPr>
          <w:instrText xml:space="preserve"> </w:instrText>
        </w:r>
        <w:r>
          <w:rPr>
            <w:rFonts w:hint="eastAsia"/>
            <w:noProof/>
          </w:rPr>
        </w:r>
        <w:r>
          <w:rPr>
            <w:rFonts w:hint="eastAsia"/>
            <w:noProof/>
          </w:rPr>
          <w:fldChar w:fldCharType="separate"/>
        </w:r>
        <w:r w:rsidR="00FB085A">
          <w:rPr>
            <w:noProof/>
          </w:rPr>
          <w:t>3</w:t>
        </w:r>
        <w:r>
          <w:rPr>
            <w:rFonts w:hint="eastAsia"/>
            <w:noProof/>
          </w:rPr>
          <w:fldChar w:fldCharType="end"/>
        </w:r>
      </w:hyperlink>
    </w:p>
    <w:p w14:paraId="6B598463" w14:textId="30E06D09"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09" w:history="1">
        <w:r>
          <w:rPr>
            <w:rStyle w:val="afc"/>
            <w:rFonts w:eastAsia="华文细黑"/>
            <w:noProof/>
            <w14:scene3d>
              <w14:camera w14:prst="orthographicFront"/>
              <w14:lightRig w14:rig="threePt" w14:dir="t">
                <w14:rot w14:lat="0" w14:lon="0" w14:rev="0"/>
              </w14:lightRig>
            </w14:scene3d>
          </w:rPr>
          <w:t>1.3</w:t>
        </w:r>
        <w:r>
          <w:rPr>
            <w:rStyle w:val="afc"/>
            <w:noProof/>
          </w:rPr>
          <w:t xml:space="preserve"> </w:t>
        </w:r>
        <w:r>
          <w:rPr>
            <w:rStyle w:val="afc"/>
            <w:noProof/>
          </w:rPr>
          <w:t>工作过程</w:t>
        </w:r>
        <w:r>
          <w:rPr>
            <w:rFonts w:hint="eastAsia"/>
            <w:noProof/>
          </w:rPr>
          <w:tab/>
        </w:r>
        <w:r>
          <w:rPr>
            <w:rFonts w:hint="eastAsia"/>
            <w:noProof/>
          </w:rPr>
          <w:fldChar w:fldCharType="begin"/>
        </w:r>
        <w:r>
          <w:rPr>
            <w:rFonts w:hint="eastAsia"/>
            <w:noProof/>
          </w:rPr>
          <w:instrText xml:space="preserve"> </w:instrText>
        </w:r>
        <w:r>
          <w:rPr>
            <w:noProof/>
          </w:rPr>
          <w:instrText>PAGEREF _Toc230073409 \h</w:instrText>
        </w:r>
        <w:r>
          <w:rPr>
            <w:rFonts w:hint="eastAsia"/>
            <w:noProof/>
          </w:rPr>
          <w:instrText xml:space="preserve"> </w:instrText>
        </w:r>
        <w:r>
          <w:rPr>
            <w:rFonts w:hint="eastAsia"/>
            <w:noProof/>
          </w:rPr>
        </w:r>
        <w:r>
          <w:rPr>
            <w:rFonts w:hint="eastAsia"/>
            <w:noProof/>
          </w:rPr>
          <w:fldChar w:fldCharType="separate"/>
        </w:r>
        <w:r w:rsidR="00FB085A">
          <w:rPr>
            <w:noProof/>
          </w:rPr>
          <w:t>5</w:t>
        </w:r>
        <w:r>
          <w:rPr>
            <w:rFonts w:hint="eastAsia"/>
            <w:noProof/>
          </w:rPr>
          <w:fldChar w:fldCharType="end"/>
        </w:r>
      </w:hyperlink>
    </w:p>
    <w:p w14:paraId="6438B496" w14:textId="1F68066B" w:rsidR="00595FD3" w:rsidRDefault="00595FD3">
      <w:pPr>
        <w:pStyle w:val="TOC1"/>
        <w:tabs>
          <w:tab w:val="left" w:pos="440"/>
          <w:tab w:val="right" w:leader="dot" w:pos="8296"/>
        </w:tabs>
        <w:rPr>
          <w:rFonts w:asciiTheme="minorHAnsi" w:eastAsiaTheme="minorEastAsia" w:hAnsiTheme="minorHAnsi" w:hint="eastAsia"/>
          <w:noProof/>
          <w:sz w:val="22"/>
          <w:szCs w:val="24"/>
          <w14:ligatures w14:val="standardContextual"/>
        </w:rPr>
      </w:pPr>
      <w:hyperlink w:anchor="_Toc230073411" w:history="1">
        <w:r>
          <w:rPr>
            <w:rStyle w:val="afc"/>
            <w:noProof/>
            <w14:scene3d>
              <w14:camera w14:prst="orthographicFront"/>
              <w14:lightRig w14:rig="threePt" w14:dir="t">
                <w14:rot w14:lat="0" w14:lon="0" w14:rev="0"/>
              </w14:lightRig>
            </w14:scene3d>
          </w:rPr>
          <w:t>2</w:t>
        </w:r>
        <w:r>
          <w:rPr>
            <w:rFonts w:asciiTheme="minorHAnsi" w:eastAsiaTheme="minorEastAsia" w:hAnsiTheme="minorHAnsi" w:hint="eastAsia"/>
            <w:noProof/>
            <w:sz w:val="22"/>
            <w:szCs w:val="24"/>
            <w14:ligatures w14:val="standardContextual"/>
          </w:rPr>
          <w:tab/>
        </w:r>
        <w:r>
          <w:rPr>
            <w:rStyle w:val="afc"/>
            <w:noProof/>
          </w:rPr>
          <w:t>编制原则与技术路线</w:t>
        </w:r>
        <w:r>
          <w:rPr>
            <w:rFonts w:hint="eastAsia"/>
            <w:noProof/>
          </w:rPr>
          <w:tab/>
        </w:r>
        <w:r>
          <w:rPr>
            <w:rFonts w:hint="eastAsia"/>
            <w:noProof/>
          </w:rPr>
          <w:fldChar w:fldCharType="begin"/>
        </w:r>
        <w:r>
          <w:rPr>
            <w:rFonts w:hint="eastAsia"/>
            <w:noProof/>
          </w:rPr>
          <w:instrText xml:space="preserve"> </w:instrText>
        </w:r>
        <w:r>
          <w:rPr>
            <w:noProof/>
          </w:rPr>
          <w:instrText>PAGEREF _Toc230073411 \h</w:instrText>
        </w:r>
        <w:r>
          <w:rPr>
            <w:rFonts w:hint="eastAsia"/>
            <w:noProof/>
          </w:rPr>
          <w:instrText xml:space="preserve"> </w:instrText>
        </w:r>
        <w:r>
          <w:rPr>
            <w:rFonts w:hint="eastAsia"/>
            <w:noProof/>
          </w:rPr>
        </w:r>
        <w:r>
          <w:rPr>
            <w:rFonts w:hint="eastAsia"/>
            <w:noProof/>
          </w:rPr>
          <w:fldChar w:fldCharType="separate"/>
        </w:r>
        <w:r w:rsidR="00FB085A">
          <w:rPr>
            <w:noProof/>
          </w:rPr>
          <w:t>6</w:t>
        </w:r>
        <w:r>
          <w:rPr>
            <w:rFonts w:hint="eastAsia"/>
            <w:noProof/>
          </w:rPr>
          <w:fldChar w:fldCharType="end"/>
        </w:r>
      </w:hyperlink>
    </w:p>
    <w:p w14:paraId="6E74CA9C" w14:textId="08E98F90"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12" w:history="1">
        <w:r>
          <w:rPr>
            <w:rStyle w:val="afc"/>
            <w:rFonts w:eastAsia="华文细黑"/>
            <w:noProof/>
            <w14:scene3d>
              <w14:camera w14:prst="orthographicFront"/>
              <w14:lightRig w14:rig="threePt" w14:dir="t">
                <w14:rot w14:lat="0" w14:lon="0" w14:rev="0"/>
              </w14:lightRig>
            </w14:scene3d>
          </w:rPr>
          <w:t>2.1</w:t>
        </w:r>
        <w:r>
          <w:rPr>
            <w:rStyle w:val="afc"/>
            <w:noProof/>
          </w:rPr>
          <w:t xml:space="preserve"> </w:t>
        </w:r>
        <w:r>
          <w:rPr>
            <w:rStyle w:val="afc"/>
            <w:noProof/>
          </w:rPr>
          <w:t>编制原则</w:t>
        </w:r>
        <w:r>
          <w:rPr>
            <w:rFonts w:hint="eastAsia"/>
            <w:noProof/>
          </w:rPr>
          <w:tab/>
        </w:r>
        <w:r>
          <w:rPr>
            <w:rFonts w:hint="eastAsia"/>
            <w:noProof/>
          </w:rPr>
          <w:fldChar w:fldCharType="begin"/>
        </w:r>
        <w:r>
          <w:rPr>
            <w:rFonts w:hint="eastAsia"/>
            <w:noProof/>
          </w:rPr>
          <w:instrText xml:space="preserve"> </w:instrText>
        </w:r>
        <w:r>
          <w:rPr>
            <w:noProof/>
          </w:rPr>
          <w:instrText>PAGEREF _Toc230073412 \h</w:instrText>
        </w:r>
        <w:r>
          <w:rPr>
            <w:rFonts w:hint="eastAsia"/>
            <w:noProof/>
          </w:rPr>
          <w:instrText xml:space="preserve"> </w:instrText>
        </w:r>
        <w:r>
          <w:rPr>
            <w:rFonts w:hint="eastAsia"/>
            <w:noProof/>
          </w:rPr>
        </w:r>
        <w:r>
          <w:rPr>
            <w:rFonts w:hint="eastAsia"/>
            <w:noProof/>
          </w:rPr>
          <w:fldChar w:fldCharType="separate"/>
        </w:r>
        <w:r w:rsidR="00FB085A">
          <w:rPr>
            <w:noProof/>
          </w:rPr>
          <w:t>6</w:t>
        </w:r>
        <w:r>
          <w:rPr>
            <w:rFonts w:hint="eastAsia"/>
            <w:noProof/>
          </w:rPr>
          <w:fldChar w:fldCharType="end"/>
        </w:r>
      </w:hyperlink>
    </w:p>
    <w:p w14:paraId="118DC700" w14:textId="1BFCA351"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13" w:history="1">
        <w:r>
          <w:rPr>
            <w:rStyle w:val="afc"/>
            <w:rFonts w:eastAsia="华文细黑"/>
            <w:noProof/>
            <w14:scene3d>
              <w14:camera w14:prst="orthographicFront"/>
              <w14:lightRig w14:rig="threePt" w14:dir="t">
                <w14:rot w14:lat="0" w14:lon="0" w14:rev="0"/>
              </w14:lightRig>
            </w14:scene3d>
          </w:rPr>
          <w:t>2.2</w:t>
        </w:r>
        <w:r>
          <w:rPr>
            <w:rStyle w:val="afc"/>
            <w:noProof/>
          </w:rPr>
          <w:t xml:space="preserve"> </w:t>
        </w:r>
        <w:r>
          <w:rPr>
            <w:rStyle w:val="afc"/>
            <w:noProof/>
          </w:rPr>
          <w:t>技术路线</w:t>
        </w:r>
        <w:r>
          <w:rPr>
            <w:rFonts w:hint="eastAsia"/>
            <w:noProof/>
          </w:rPr>
          <w:tab/>
        </w:r>
        <w:r>
          <w:rPr>
            <w:rFonts w:hint="eastAsia"/>
            <w:noProof/>
          </w:rPr>
          <w:fldChar w:fldCharType="begin"/>
        </w:r>
        <w:r>
          <w:rPr>
            <w:rFonts w:hint="eastAsia"/>
            <w:noProof/>
          </w:rPr>
          <w:instrText xml:space="preserve"> </w:instrText>
        </w:r>
        <w:r>
          <w:rPr>
            <w:noProof/>
          </w:rPr>
          <w:instrText>PAGEREF _Toc230073413 \h</w:instrText>
        </w:r>
        <w:r>
          <w:rPr>
            <w:rFonts w:hint="eastAsia"/>
            <w:noProof/>
          </w:rPr>
          <w:instrText xml:space="preserve"> </w:instrText>
        </w:r>
        <w:r>
          <w:rPr>
            <w:rFonts w:hint="eastAsia"/>
            <w:noProof/>
          </w:rPr>
        </w:r>
        <w:r>
          <w:rPr>
            <w:rFonts w:hint="eastAsia"/>
            <w:noProof/>
          </w:rPr>
          <w:fldChar w:fldCharType="separate"/>
        </w:r>
        <w:r w:rsidR="00FB085A">
          <w:rPr>
            <w:noProof/>
          </w:rPr>
          <w:t>7</w:t>
        </w:r>
        <w:r>
          <w:rPr>
            <w:rFonts w:hint="eastAsia"/>
            <w:noProof/>
          </w:rPr>
          <w:fldChar w:fldCharType="end"/>
        </w:r>
      </w:hyperlink>
    </w:p>
    <w:p w14:paraId="0717F616" w14:textId="7069C61B" w:rsidR="00595FD3" w:rsidRDefault="00595FD3">
      <w:pPr>
        <w:pStyle w:val="TOC1"/>
        <w:tabs>
          <w:tab w:val="left" w:pos="440"/>
          <w:tab w:val="right" w:leader="dot" w:pos="8296"/>
        </w:tabs>
        <w:rPr>
          <w:rFonts w:asciiTheme="minorHAnsi" w:eastAsiaTheme="minorEastAsia" w:hAnsiTheme="minorHAnsi" w:hint="eastAsia"/>
          <w:noProof/>
          <w:sz w:val="22"/>
          <w:szCs w:val="24"/>
          <w14:ligatures w14:val="standardContextual"/>
        </w:rPr>
      </w:pPr>
      <w:hyperlink w:anchor="_Toc230073414" w:history="1">
        <w:r>
          <w:rPr>
            <w:rStyle w:val="afc"/>
            <w:noProof/>
            <w14:scene3d>
              <w14:camera w14:prst="orthographicFront"/>
              <w14:lightRig w14:rig="threePt" w14:dir="t">
                <w14:rot w14:lat="0" w14:lon="0" w14:rev="0"/>
              </w14:lightRig>
            </w14:scene3d>
          </w:rPr>
          <w:t>3</w:t>
        </w:r>
        <w:r>
          <w:rPr>
            <w:rFonts w:asciiTheme="minorHAnsi" w:eastAsiaTheme="minorEastAsia" w:hAnsiTheme="minorHAnsi" w:hint="eastAsia"/>
            <w:noProof/>
            <w:sz w:val="22"/>
            <w:szCs w:val="24"/>
            <w14:ligatures w14:val="standardContextual"/>
          </w:rPr>
          <w:tab/>
        </w:r>
        <w:r>
          <w:rPr>
            <w:rStyle w:val="afc"/>
            <w:noProof/>
          </w:rPr>
          <w:t>国内相关标准对比情况</w:t>
        </w:r>
        <w:r>
          <w:rPr>
            <w:rFonts w:hint="eastAsia"/>
            <w:noProof/>
          </w:rPr>
          <w:tab/>
        </w:r>
        <w:r>
          <w:rPr>
            <w:rFonts w:hint="eastAsia"/>
            <w:noProof/>
          </w:rPr>
          <w:fldChar w:fldCharType="begin"/>
        </w:r>
        <w:r>
          <w:rPr>
            <w:rFonts w:hint="eastAsia"/>
            <w:noProof/>
          </w:rPr>
          <w:instrText xml:space="preserve"> </w:instrText>
        </w:r>
        <w:r>
          <w:rPr>
            <w:noProof/>
          </w:rPr>
          <w:instrText>PAGEREF _Toc230073414 \h</w:instrText>
        </w:r>
        <w:r>
          <w:rPr>
            <w:rFonts w:hint="eastAsia"/>
            <w:noProof/>
          </w:rPr>
          <w:instrText xml:space="preserve"> </w:instrText>
        </w:r>
        <w:r>
          <w:rPr>
            <w:rFonts w:hint="eastAsia"/>
            <w:noProof/>
          </w:rPr>
        </w:r>
        <w:r>
          <w:rPr>
            <w:rFonts w:hint="eastAsia"/>
            <w:noProof/>
          </w:rPr>
          <w:fldChar w:fldCharType="separate"/>
        </w:r>
        <w:r w:rsidR="00FB085A">
          <w:rPr>
            <w:noProof/>
          </w:rPr>
          <w:t>7</w:t>
        </w:r>
        <w:r>
          <w:rPr>
            <w:rFonts w:hint="eastAsia"/>
            <w:noProof/>
          </w:rPr>
          <w:fldChar w:fldCharType="end"/>
        </w:r>
      </w:hyperlink>
    </w:p>
    <w:p w14:paraId="3D486E7A" w14:textId="68840623"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15" w:history="1">
        <w:r>
          <w:rPr>
            <w:rStyle w:val="afc"/>
            <w:rFonts w:eastAsia="华文细黑"/>
            <w:noProof/>
            <w14:scene3d>
              <w14:camera w14:prst="orthographicFront"/>
              <w14:lightRig w14:rig="threePt" w14:dir="t">
                <w14:rot w14:lat="0" w14:lon="0" w14:rev="0"/>
              </w14:lightRig>
            </w14:scene3d>
          </w:rPr>
          <w:t>3.1</w:t>
        </w:r>
        <w:r>
          <w:rPr>
            <w:rStyle w:val="afc"/>
            <w:noProof/>
          </w:rPr>
          <w:t xml:space="preserve"> </w:t>
        </w:r>
        <w:r>
          <w:rPr>
            <w:rStyle w:val="afc"/>
            <w:noProof/>
          </w:rPr>
          <w:t>国家标准</w:t>
        </w:r>
        <w:r>
          <w:rPr>
            <w:rFonts w:hint="eastAsia"/>
            <w:noProof/>
          </w:rPr>
          <w:tab/>
        </w:r>
        <w:r>
          <w:rPr>
            <w:rFonts w:hint="eastAsia"/>
            <w:noProof/>
          </w:rPr>
          <w:fldChar w:fldCharType="begin"/>
        </w:r>
        <w:r>
          <w:rPr>
            <w:rFonts w:hint="eastAsia"/>
            <w:noProof/>
          </w:rPr>
          <w:instrText xml:space="preserve"> </w:instrText>
        </w:r>
        <w:r>
          <w:rPr>
            <w:noProof/>
          </w:rPr>
          <w:instrText>PAGEREF _Toc230073415 \h</w:instrText>
        </w:r>
        <w:r>
          <w:rPr>
            <w:rFonts w:hint="eastAsia"/>
            <w:noProof/>
          </w:rPr>
          <w:instrText xml:space="preserve"> </w:instrText>
        </w:r>
        <w:r>
          <w:rPr>
            <w:rFonts w:hint="eastAsia"/>
            <w:noProof/>
          </w:rPr>
        </w:r>
        <w:r>
          <w:rPr>
            <w:rFonts w:hint="eastAsia"/>
            <w:noProof/>
          </w:rPr>
          <w:fldChar w:fldCharType="separate"/>
        </w:r>
        <w:r w:rsidR="00FB085A">
          <w:rPr>
            <w:noProof/>
          </w:rPr>
          <w:t>7</w:t>
        </w:r>
        <w:r>
          <w:rPr>
            <w:rFonts w:hint="eastAsia"/>
            <w:noProof/>
          </w:rPr>
          <w:fldChar w:fldCharType="end"/>
        </w:r>
      </w:hyperlink>
    </w:p>
    <w:p w14:paraId="1EC318E9" w14:textId="60CC376A"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16" w:history="1">
        <w:r>
          <w:rPr>
            <w:rStyle w:val="afc"/>
            <w:rFonts w:eastAsia="华文细黑"/>
            <w:noProof/>
            <w14:scene3d>
              <w14:camera w14:prst="orthographicFront"/>
              <w14:lightRig w14:rig="threePt" w14:dir="t">
                <w14:rot w14:lat="0" w14:lon="0" w14:rev="0"/>
              </w14:lightRig>
            </w14:scene3d>
          </w:rPr>
          <w:t>3.2</w:t>
        </w:r>
        <w:r>
          <w:rPr>
            <w:rStyle w:val="afc"/>
            <w:noProof/>
          </w:rPr>
          <w:t xml:space="preserve"> </w:t>
        </w:r>
        <w:r>
          <w:rPr>
            <w:rStyle w:val="afc"/>
            <w:noProof/>
          </w:rPr>
          <w:t>行业标准</w:t>
        </w:r>
        <w:r>
          <w:rPr>
            <w:rFonts w:hint="eastAsia"/>
            <w:noProof/>
          </w:rPr>
          <w:tab/>
        </w:r>
        <w:r>
          <w:rPr>
            <w:rFonts w:hint="eastAsia"/>
            <w:noProof/>
          </w:rPr>
          <w:fldChar w:fldCharType="begin"/>
        </w:r>
        <w:r>
          <w:rPr>
            <w:rFonts w:hint="eastAsia"/>
            <w:noProof/>
          </w:rPr>
          <w:instrText xml:space="preserve"> </w:instrText>
        </w:r>
        <w:r>
          <w:rPr>
            <w:noProof/>
          </w:rPr>
          <w:instrText>PAGEREF _Toc230073416 \h</w:instrText>
        </w:r>
        <w:r>
          <w:rPr>
            <w:rFonts w:hint="eastAsia"/>
            <w:noProof/>
          </w:rPr>
          <w:instrText xml:space="preserve"> </w:instrText>
        </w:r>
        <w:r>
          <w:rPr>
            <w:rFonts w:hint="eastAsia"/>
            <w:noProof/>
          </w:rPr>
        </w:r>
        <w:r>
          <w:rPr>
            <w:rFonts w:hint="eastAsia"/>
            <w:noProof/>
          </w:rPr>
          <w:fldChar w:fldCharType="separate"/>
        </w:r>
        <w:r w:rsidR="00FB085A">
          <w:rPr>
            <w:noProof/>
          </w:rPr>
          <w:t>9</w:t>
        </w:r>
        <w:r>
          <w:rPr>
            <w:rFonts w:hint="eastAsia"/>
            <w:noProof/>
          </w:rPr>
          <w:fldChar w:fldCharType="end"/>
        </w:r>
      </w:hyperlink>
    </w:p>
    <w:p w14:paraId="3D9F6D46" w14:textId="09961388"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19" w:history="1">
        <w:r>
          <w:rPr>
            <w:rStyle w:val="afc"/>
            <w:rFonts w:eastAsia="华文细黑"/>
            <w:noProof/>
            <w14:scene3d>
              <w14:camera w14:prst="orthographicFront"/>
              <w14:lightRig w14:rig="threePt" w14:dir="t">
                <w14:rot w14:lat="0" w14:lon="0" w14:rev="0"/>
              </w14:lightRig>
            </w14:scene3d>
          </w:rPr>
          <w:t>3.3</w:t>
        </w:r>
        <w:r>
          <w:rPr>
            <w:rStyle w:val="afc"/>
            <w:noProof/>
          </w:rPr>
          <w:t xml:space="preserve"> </w:t>
        </w:r>
        <w:r>
          <w:rPr>
            <w:rStyle w:val="afc"/>
            <w:noProof/>
          </w:rPr>
          <w:t>地方标准</w:t>
        </w:r>
        <w:r>
          <w:rPr>
            <w:rFonts w:hint="eastAsia"/>
            <w:noProof/>
          </w:rPr>
          <w:tab/>
        </w:r>
        <w:r>
          <w:rPr>
            <w:rFonts w:hint="eastAsia"/>
            <w:noProof/>
          </w:rPr>
          <w:fldChar w:fldCharType="begin"/>
        </w:r>
        <w:r>
          <w:rPr>
            <w:rFonts w:hint="eastAsia"/>
            <w:noProof/>
          </w:rPr>
          <w:instrText xml:space="preserve"> </w:instrText>
        </w:r>
        <w:r>
          <w:rPr>
            <w:noProof/>
          </w:rPr>
          <w:instrText>PAGEREF _Toc230073419 \h</w:instrText>
        </w:r>
        <w:r>
          <w:rPr>
            <w:rFonts w:hint="eastAsia"/>
            <w:noProof/>
          </w:rPr>
          <w:instrText xml:space="preserve"> </w:instrText>
        </w:r>
        <w:r>
          <w:rPr>
            <w:rFonts w:hint="eastAsia"/>
            <w:noProof/>
          </w:rPr>
        </w:r>
        <w:r>
          <w:rPr>
            <w:rFonts w:hint="eastAsia"/>
            <w:noProof/>
          </w:rPr>
          <w:fldChar w:fldCharType="separate"/>
        </w:r>
        <w:r w:rsidR="00FB085A">
          <w:rPr>
            <w:noProof/>
          </w:rPr>
          <w:t>10</w:t>
        </w:r>
        <w:r>
          <w:rPr>
            <w:rFonts w:hint="eastAsia"/>
            <w:noProof/>
          </w:rPr>
          <w:fldChar w:fldCharType="end"/>
        </w:r>
      </w:hyperlink>
    </w:p>
    <w:p w14:paraId="282FECF9" w14:textId="20CC8F54" w:rsidR="00595FD3" w:rsidRDefault="00595FD3">
      <w:pPr>
        <w:pStyle w:val="TOC1"/>
        <w:tabs>
          <w:tab w:val="left" w:pos="440"/>
          <w:tab w:val="right" w:leader="dot" w:pos="8296"/>
        </w:tabs>
        <w:rPr>
          <w:rFonts w:asciiTheme="minorHAnsi" w:eastAsiaTheme="minorEastAsia" w:hAnsiTheme="minorHAnsi" w:hint="eastAsia"/>
          <w:noProof/>
          <w:sz w:val="22"/>
          <w:szCs w:val="24"/>
          <w14:ligatures w14:val="standardContextual"/>
        </w:rPr>
      </w:pPr>
      <w:hyperlink w:anchor="_Toc230073421" w:history="1">
        <w:r>
          <w:rPr>
            <w:rStyle w:val="afc"/>
            <w:noProof/>
            <w14:scene3d>
              <w14:camera w14:prst="orthographicFront"/>
              <w14:lightRig w14:rig="threePt" w14:dir="t">
                <w14:rot w14:lat="0" w14:lon="0" w14:rev="0"/>
              </w14:lightRig>
            </w14:scene3d>
          </w:rPr>
          <w:t>4</w:t>
        </w:r>
        <w:r>
          <w:rPr>
            <w:rFonts w:asciiTheme="minorHAnsi" w:eastAsiaTheme="minorEastAsia" w:hAnsiTheme="minorHAnsi" w:hint="eastAsia"/>
            <w:noProof/>
            <w:sz w:val="22"/>
            <w:szCs w:val="24"/>
            <w14:ligatures w14:val="standardContextual"/>
          </w:rPr>
          <w:tab/>
        </w:r>
        <w:r>
          <w:rPr>
            <w:rStyle w:val="afc"/>
            <w:noProof/>
          </w:rPr>
          <w:t>技术规范的主要内容及说明</w:t>
        </w:r>
        <w:r>
          <w:rPr>
            <w:rFonts w:hint="eastAsia"/>
            <w:noProof/>
          </w:rPr>
          <w:tab/>
        </w:r>
        <w:r>
          <w:rPr>
            <w:rFonts w:hint="eastAsia"/>
            <w:noProof/>
          </w:rPr>
          <w:fldChar w:fldCharType="begin"/>
        </w:r>
        <w:r>
          <w:rPr>
            <w:rFonts w:hint="eastAsia"/>
            <w:noProof/>
          </w:rPr>
          <w:instrText xml:space="preserve"> </w:instrText>
        </w:r>
        <w:r>
          <w:rPr>
            <w:noProof/>
          </w:rPr>
          <w:instrText>PAGEREF _Toc230073421 \h</w:instrText>
        </w:r>
        <w:r>
          <w:rPr>
            <w:rFonts w:hint="eastAsia"/>
            <w:noProof/>
          </w:rPr>
          <w:instrText xml:space="preserve"> </w:instrText>
        </w:r>
        <w:r>
          <w:rPr>
            <w:rFonts w:hint="eastAsia"/>
            <w:noProof/>
          </w:rPr>
        </w:r>
        <w:r>
          <w:rPr>
            <w:rFonts w:hint="eastAsia"/>
            <w:noProof/>
          </w:rPr>
          <w:fldChar w:fldCharType="separate"/>
        </w:r>
        <w:r w:rsidR="00FB085A">
          <w:rPr>
            <w:noProof/>
          </w:rPr>
          <w:t>12</w:t>
        </w:r>
        <w:r>
          <w:rPr>
            <w:rFonts w:hint="eastAsia"/>
            <w:noProof/>
          </w:rPr>
          <w:fldChar w:fldCharType="end"/>
        </w:r>
      </w:hyperlink>
    </w:p>
    <w:p w14:paraId="51A2DE6E" w14:textId="340546CB"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22" w:history="1">
        <w:r>
          <w:rPr>
            <w:rStyle w:val="afc"/>
            <w:rFonts w:eastAsia="华文细黑"/>
            <w:noProof/>
            <w14:scene3d>
              <w14:camera w14:prst="orthographicFront"/>
              <w14:lightRig w14:rig="threePt" w14:dir="t">
                <w14:rot w14:lat="0" w14:lon="0" w14:rev="0"/>
              </w14:lightRig>
            </w14:scene3d>
          </w:rPr>
          <w:t>4.1</w:t>
        </w:r>
        <w:r>
          <w:rPr>
            <w:rStyle w:val="afc"/>
            <w:noProof/>
          </w:rPr>
          <w:t xml:space="preserve"> </w:t>
        </w:r>
        <w:r>
          <w:rPr>
            <w:rStyle w:val="afc"/>
            <w:noProof/>
          </w:rPr>
          <w:t>技术规范内容框架</w:t>
        </w:r>
        <w:r>
          <w:rPr>
            <w:rFonts w:hint="eastAsia"/>
            <w:noProof/>
          </w:rPr>
          <w:tab/>
        </w:r>
        <w:r>
          <w:rPr>
            <w:rFonts w:hint="eastAsia"/>
            <w:noProof/>
          </w:rPr>
          <w:fldChar w:fldCharType="begin"/>
        </w:r>
        <w:r>
          <w:rPr>
            <w:rFonts w:hint="eastAsia"/>
            <w:noProof/>
          </w:rPr>
          <w:instrText xml:space="preserve"> </w:instrText>
        </w:r>
        <w:r>
          <w:rPr>
            <w:noProof/>
          </w:rPr>
          <w:instrText>PAGEREF _Toc230073422 \h</w:instrText>
        </w:r>
        <w:r>
          <w:rPr>
            <w:rFonts w:hint="eastAsia"/>
            <w:noProof/>
          </w:rPr>
          <w:instrText xml:space="preserve"> </w:instrText>
        </w:r>
        <w:r>
          <w:rPr>
            <w:rFonts w:hint="eastAsia"/>
            <w:noProof/>
          </w:rPr>
        </w:r>
        <w:r>
          <w:rPr>
            <w:rFonts w:hint="eastAsia"/>
            <w:noProof/>
          </w:rPr>
          <w:fldChar w:fldCharType="separate"/>
        </w:r>
        <w:r w:rsidR="00FB085A">
          <w:rPr>
            <w:noProof/>
          </w:rPr>
          <w:t>12</w:t>
        </w:r>
        <w:r>
          <w:rPr>
            <w:rFonts w:hint="eastAsia"/>
            <w:noProof/>
          </w:rPr>
          <w:fldChar w:fldCharType="end"/>
        </w:r>
      </w:hyperlink>
    </w:p>
    <w:p w14:paraId="703BF0DC" w14:textId="7BB27739"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23" w:history="1">
        <w:r>
          <w:rPr>
            <w:rStyle w:val="afc"/>
            <w:rFonts w:eastAsia="华文细黑"/>
            <w:noProof/>
            <w14:scene3d>
              <w14:camera w14:prst="orthographicFront"/>
              <w14:lightRig w14:rig="threePt" w14:dir="t">
                <w14:rot w14:lat="0" w14:lon="0" w14:rev="0"/>
              </w14:lightRig>
            </w14:scene3d>
          </w:rPr>
          <w:t>4.2</w:t>
        </w:r>
        <w:r>
          <w:rPr>
            <w:rStyle w:val="afc"/>
            <w:noProof/>
          </w:rPr>
          <w:t xml:space="preserve"> </w:t>
        </w:r>
        <w:r>
          <w:rPr>
            <w:rStyle w:val="afc"/>
            <w:noProof/>
          </w:rPr>
          <w:t>范围</w:t>
        </w:r>
        <w:r>
          <w:rPr>
            <w:rFonts w:hint="eastAsia"/>
            <w:noProof/>
          </w:rPr>
          <w:tab/>
        </w:r>
        <w:r>
          <w:rPr>
            <w:rFonts w:hint="eastAsia"/>
            <w:noProof/>
          </w:rPr>
          <w:fldChar w:fldCharType="begin"/>
        </w:r>
        <w:r>
          <w:rPr>
            <w:rFonts w:hint="eastAsia"/>
            <w:noProof/>
          </w:rPr>
          <w:instrText xml:space="preserve"> </w:instrText>
        </w:r>
        <w:r>
          <w:rPr>
            <w:noProof/>
          </w:rPr>
          <w:instrText>PAGEREF _Toc230073423 \h</w:instrText>
        </w:r>
        <w:r>
          <w:rPr>
            <w:rFonts w:hint="eastAsia"/>
            <w:noProof/>
          </w:rPr>
          <w:instrText xml:space="preserve"> </w:instrText>
        </w:r>
        <w:r>
          <w:rPr>
            <w:rFonts w:hint="eastAsia"/>
            <w:noProof/>
          </w:rPr>
        </w:r>
        <w:r>
          <w:rPr>
            <w:rFonts w:hint="eastAsia"/>
            <w:noProof/>
          </w:rPr>
          <w:fldChar w:fldCharType="separate"/>
        </w:r>
        <w:r w:rsidR="00FB085A">
          <w:rPr>
            <w:noProof/>
          </w:rPr>
          <w:t>12</w:t>
        </w:r>
        <w:r>
          <w:rPr>
            <w:rFonts w:hint="eastAsia"/>
            <w:noProof/>
          </w:rPr>
          <w:fldChar w:fldCharType="end"/>
        </w:r>
      </w:hyperlink>
    </w:p>
    <w:p w14:paraId="46940C07" w14:textId="6DE14F0F"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24" w:history="1">
        <w:r>
          <w:rPr>
            <w:rStyle w:val="afc"/>
            <w:rFonts w:eastAsia="华文细黑"/>
            <w:noProof/>
            <w14:scene3d>
              <w14:camera w14:prst="orthographicFront"/>
              <w14:lightRig w14:rig="threePt" w14:dir="t">
                <w14:rot w14:lat="0" w14:lon="0" w14:rev="0"/>
              </w14:lightRig>
            </w14:scene3d>
          </w:rPr>
          <w:t>4.3</w:t>
        </w:r>
        <w:r>
          <w:rPr>
            <w:rStyle w:val="afc"/>
            <w:noProof/>
          </w:rPr>
          <w:t xml:space="preserve"> </w:t>
        </w:r>
        <w:r>
          <w:rPr>
            <w:rStyle w:val="afc"/>
            <w:noProof/>
          </w:rPr>
          <w:t>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_Toc230073424 \h</w:instrText>
        </w:r>
        <w:r>
          <w:rPr>
            <w:rFonts w:hint="eastAsia"/>
            <w:noProof/>
          </w:rPr>
          <w:instrText xml:space="preserve"> </w:instrText>
        </w:r>
        <w:r>
          <w:rPr>
            <w:rFonts w:hint="eastAsia"/>
            <w:noProof/>
          </w:rPr>
        </w:r>
        <w:r>
          <w:rPr>
            <w:rFonts w:hint="eastAsia"/>
            <w:noProof/>
          </w:rPr>
          <w:fldChar w:fldCharType="separate"/>
        </w:r>
        <w:r w:rsidR="00FB085A">
          <w:rPr>
            <w:noProof/>
          </w:rPr>
          <w:t>13</w:t>
        </w:r>
        <w:r>
          <w:rPr>
            <w:rFonts w:hint="eastAsia"/>
            <w:noProof/>
          </w:rPr>
          <w:fldChar w:fldCharType="end"/>
        </w:r>
      </w:hyperlink>
    </w:p>
    <w:p w14:paraId="389E35CB" w14:textId="1DE88CF1"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25" w:history="1">
        <w:r>
          <w:rPr>
            <w:rStyle w:val="afc"/>
            <w:rFonts w:eastAsia="华文细黑"/>
            <w:noProof/>
            <w14:scene3d>
              <w14:camera w14:prst="orthographicFront"/>
              <w14:lightRig w14:rig="threePt" w14:dir="t">
                <w14:rot w14:lat="0" w14:lon="0" w14:rev="0"/>
              </w14:lightRig>
            </w14:scene3d>
          </w:rPr>
          <w:t>4.4</w:t>
        </w:r>
        <w:r>
          <w:rPr>
            <w:rStyle w:val="afc"/>
            <w:noProof/>
          </w:rPr>
          <w:t xml:space="preserve"> </w:t>
        </w:r>
        <w:r>
          <w:rPr>
            <w:rStyle w:val="afc"/>
            <w:noProof/>
          </w:rPr>
          <w:t>术语和定义</w:t>
        </w:r>
        <w:r>
          <w:rPr>
            <w:rFonts w:hint="eastAsia"/>
            <w:noProof/>
          </w:rPr>
          <w:tab/>
        </w:r>
        <w:r>
          <w:rPr>
            <w:rFonts w:hint="eastAsia"/>
            <w:noProof/>
          </w:rPr>
          <w:fldChar w:fldCharType="begin"/>
        </w:r>
        <w:r>
          <w:rPr>
            <w:rFonts w:hint="eastAsia"/>
            <w:noProof/>
          </w:rPr>
          <w:instrText xml:space="preserve"> </w:instrText>
        </w:r>
        <w:r>
          <w:rPr>
            <w:noProof/>
          </w:rPr>
          <w:instrText>PAGEREF _Toc230073425 \h</w:instrText>
        </w:r>
        <w:r>
          <w:rPr>
            <w:rFonts w:hint="eastAsia"/>
            <w:noProof/>
          </w:rPr>
          <w:instrText xml:space="preserve"> </w:instrText>
        </w:r>
        <w:r>
          <w:rPr>
            <w:rFonts w:hint="eastAsia"/>
            <w:noProof/>
          </w:rPr>
        </w:r>
        <w:r>
          <w:rPr>
            <w:rFonts w:hint="eastAsia"/>
            <w:noProof/>
          </w:rPr>
          <w:fldChar w:fldCharType="separate"/>
        </w:r>
        <w:r w:rsidR="00FB085A">
          <w:rPr>
            <w:noProof/>
          </w:rPr>
          <w:t>13</w:t>
        </w:r>
        <w:r>
          <w:rPr>
            <w:rFonts w:hint="eastAsia"/>
            <w:noProof/>
          </w:rPr>
          <w:fldChar w:fldCharType="end"/>
        </w:r>
      </w:hyperlink>
    </w:p>
    <w:p w14:paraId="28829100" w14:textId="43A1EF77"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26" w:history="1">
        <w:r>
          <w:rPr>
            <w:rStyle w:val="afc"/>
            <w:rFonts w:eastAsia="华文细黑"/>
            <w:noProof/>
            <w14:scene3d>
              <w14:camera w14:prst="orthographicFront"/>
              <w14:lightRig w14:rig="threePt" w14:dir="t">
                <w14:rot w14:lat="0" w14:lon="0" w14:rev="0"/>
              </w14:lightRig>
            </w14:scene3d>
          </w:rPr>
          <w:t>4.5</w:t>
        </w:r>
        <w:r>
          <w:rPr>
            <w:rStyle w:val="afc"/>
            <w:noProof/>
          </w:rPr>
          <w:t xml:space="preserve"> </w:t>
        </w:r>
        <w:r>
          <w:rPr>
            <w:rStyle w:val="afc"/>
            <w:noProof/>
          </w:rPr>
          <w:t>基本原则</w:t>
        </w:r>
        <w:r>
          <w:rPr>
            <w:rFonts w:hint="eastAsia"/>
            <w:noProof/>
          </w:rPr>
          <w:tab/>
        </w:r>
        <w:r>
          <w:rPr>
            <w:rFonts w:hint="eastAsia"/>
            <w:noProof/>
          </w:rPr>
          <w:fldChar w:fldCharType="begin"/>
        </w:r>
        <w:r>
          <w:rPr>
            <w:rFonts w:hint="eastAsia"/>
            <w:noProof/>
          </w:rPr>
          <w:instrText xml:space="preserve"> </w:instrText>
        </w:r>
        <w:r>
          <w:rPr>
            <w:noProof/>
          </w:rPr>
          <w:instrText>PAGEREF _Toc230073426 \h</w:instrText>
        </w:r>
        <w:r>
          <w:rPr>
            <w:rFonts w:hint="eastAsia"/>
            <w:noProof/>
          </w:rPr>
          <w:instrText xml:space="preserve"> </w:instrText>
        </w:r>
        <w:r>
          <w:rPr>
            <w:rFonts w:hint="eastAsia"/>
            <w:noProof/>
          </w:rPr>
        </w:r>
        <w:r>
          <w:rPr>
            <w:rFonts w:hint="eastAsia"/>
            <w:noProof/>
          </w:rPr>
          <w:fldChar w:fldCharType="separate"/>
        </w:r>
        <w:r w:rsidR="00FB085A">
          <w:rPr>
            <w:noProof/>
          </w:rPr>
          <w:t>13</w:t>
        </w:r>
        <w:r>
          <w:rPr>
            <w:rFonts w:hint="eastAsia"/>
            <w:noProof/>
          </w:rPr>
          <w:fldChar w:fldCharType="end"/>
        </w:r>
      </w:hyperlink>
    </w:p>
    <w:p w14:paraId="34018830" w14:textId="59BAF80E"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29" w:history="1">
        <w:r>
          <w:rPr>
            <w:rStyle w:val="afc"/>
            <w:rFonts w:eastAsia="华文细黑"/>
            <w:noProof/>
            <w14:scene3d>
              <w14:camera w14:prst="orthographicFront"/>
              <w14:lightRig w14:rig="threePt" w14:dir="t">
                <w14:rot w14:lat="0" w14:lon="0" w14:rev="0"/>
              </w14:lightRig>
            </w14:scene3d>
          </w:rPr>
          <w:t>4.6</w:t>
        </w:r>
        <w:r>
          <w:rPr>
            <w:rStyle w:val="afc"/>
            <w:noProof/>
          </w:rPr>
          <w:t xml:space="preserve"> </w:t>
        </w:r>
        <w:r>
          <w:rPr>
            <w:rStyle w:val="afc"/>
            <w:noProof/>
          </w:rPr>
          <w:t>回填场地基本要求</w:t>
        </w:r>
        <w:r>
          <w:rPr>
            <w:rFonts w:hint="eastAsia"/>
            <w:noProof/>
          </w:rPr>
          <w:tab/>
        </w:r>
        <w:r>
          <w:rPr>
            <w:rFonts w:hint="eastAsia"/>
            <w:noProof/>
          </w:rPr>
          <w:fldChar w:fldCharType="begin"/>
        </w:r>
        <w:r>
          <w:rPr>
            <w:rFonts w:hint="eastAsia"/>
            <w:noProof/>
          </w:rPr>
          <w:instrText xml:space="preserve"> </w:instrText>
        </w:r>
        <w:r>
          <w:rPr>
            <w:noProof/>
          </w:rPr>
          <w:instrText>PAGEREF _Toc230073429 \h</w:instrText>
        </w:r>
        <w:r>
          <w:rPr>
            <w:rFonts w:hint="eastAsia"/>
            <w:noProof/>
          </w:rPr>
          <w:instrText xml:space="preserve"> </w:instrText>
        </w:r>
        <w:r>
          <w:rPr>
            <w:rFonts w:hint="eastAsia"/>
            <w:noProof/>
          </w:rPr>
        </w:r>
        <w:r>
          <w:rPr>
            <w:rFonts w:hint="eastAsia"/>
            <w:noProof/>
          </w:rPr>
          <w:fldChar w:fldCharType="separate"/>
        </w:r>
        <w:r w:rsidR="00FB085A">
          <w:rPr>
            <w:noProof/>
          </w:rPr>
          <w:t>14</w:t>
        </w:r>
        <w:r>
          <w:rPr>
            <w:rFonts w:hint="eastAsia"/>
            <w:noProof/>
          </w:rPr>
          <w:fldChar w:fldCharType="end"/>
        </w:r>
      </w:hyperlink>
    </w:p>
    <w:p w14:paraId="39D27573" w14:textId="2D3ADF5B"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30" w:history="1">
        <w:r>
          <w:rPr>
            <w:rStyle w:val="afc"/>
            <w:rFonts w:eastAsia="华文细黑"/>
            <w:noProof/>
            <w14:scene3d>
              <w14:camera w14:prst="orthographicFront"/>
              <w14:lightRig w14:rig="threePt" w14:dir="t">
                <w14:rot w14:lat="0" w14:lon="0" w14:rev="0"/>
              </w14:lightRig>
            </w14:scene3d>
          </w:rPr>
          <w:t>4.7</w:t>
        </w:r>
        <w:r>
          <w:rPr>
            <w:rStyle w:val="afc"/>
            <w:noProof/>
          </w:rPr>
          <w:t xml:space="preserve"> </w:t>
        </w:r>
        <w:r>
          <w:rPr>
            <w:rStyle w:val="afc"/>
            <w:noProof/>
          </w:rPr>
          <w:t>回填物料要求</w:t>
        </w:r>
        <w:r>
          <w:rPr>
            <w:rFonts w:hint="eastAsia"/>
            <w:noProof/>
          </w:rPr>
          <w:tab/>
        </w:r>
        <w:r>
          <w:rPr>
            <w:rFonts w:hint="eastAsia"/>
            <w:noProof/>
          </w:rPr>
          <w:fldChar w:fldCharType="begin"/>
        </w:r>
        <w:r>
          <w:rPr>
            <w:rFonts w:hint="eastAsia"/>
            <w:noProof/>
          </w:rPr>
          <w:instrText xml:space="preserve"> </w:instrText>
        </w:r>
        <w:r>
          <w:rPr>
            <w:noProof/>
          </w:rPr>
          <w:instrText>PAGEREF _Toc230073430 \h</w:instrText>
        </w:r>
        <w:r>
          <w:rPr>
            <w:rFonts w:hint="eastAsia"/>
            <w:noProof/>
          </w:rPr>
          <w:instrText xml:space="preserve"> </w:instrText>
        </w:r>
        <w:r>
          <w:rPr>
            <w:rFonts w:hint="eastAsia"/>
            <w:noProof/>
          </w:rPr>
        </w:r>
        <w:r>
          <w:rPr>
            <w:rFonts w:hint="eastAsia"/>
            <w:noProof/>
          </w:rPr>
          <w:fldChar w:fldCharType="separate"/>
        </w:r>
        <w:r w:rsidR="00FB085A">
          <w:rPr>
            <w:noProof/>
          </w:rPr>
          <w:t>14</w:t>
        </w:r>
        <w:r>
          <w:rPr>
            <w:rFonts w:hint="eastAsia"/>
            <w:noProof/>
          </w:rPr>
          <w:fldChar w:fldCharType="end"/>
        </w:r>
      </w:hyperlink>
    </w:p>
    <w:p w14:paraId="59F098B7" w14:textId="409EABD4"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31" w:history="1">
        <w:r>
          <w:rPr>
            <w:rStyle w:val="afc"/>
            <w:rFonts w:eastAsia="华文细黑"/>
            <w:noProof/>
            <w14:scene3d>
              <w14:camera w14:prst="orthographicFront"/>
              <w14:lightRig w14:rig="threePt" w14:dir="t">
                <w14:rot w14:lat="0" w14:lon="0" w14:rev="0"/>
              </w14:lightRig>
            </w14:scene3d>
          </w:rPr>
          <w:t>4.8</w:t>
        </w:r>
        <w:r>
          <w:rPr>
            <w:rStyle w:val="afc"/>
            <w:noProof/>
          </w:rPr>
          <w:t xml:space="preserve"> </w:t>
        </w:r>
        <w:r>
          <w:rPr>
            <w:rStyle w:val="afc"/>
            <w:noProof/>
          </w:rPr>
          <w:t>环境本底调查</w:t>
        </w:r>
        <w:r>
          <w:rPr>
            <w:rFonts w:hint="eastAsia"/>
            <w:noProof/>
          </w:rPr>
          <w:tab/>
        </w:r>
        <w:r>
          <w:rPr>
            <w:rFonts w:hint="eastAsia"/>
            <w:noProof/>
          </w:rPr>
          <w:fldChar w:fldCharType="begin"/>
        </w:r>
        <w:r>
          <w:rPr>
            <w:rFonts w:hint="eastAsia"/>
            <w:noProof/>
          </w:rPr>
          <w:instrText xml:space="preserve"> </w:instrText>
        </w:r>
        <w:r>
          <w:rPr>
            <w:noProof/>
          </w:rPr>
          <w:instrText>PAGEREF _Toc230073431 \h</w:instrText>
        </w:r>
        <w:r>
          <w:rPr>
            <w:rFonts w:hint="eastAsia"/>
            <w:noProof/>
          </w:rPr>
          <w:instrText xml:space="preserve"> </w:instrText>
        </w:r>
        <w:r>
          <w:rPr>
            <w:rFonts w:hint="eastAsia"/>
            <w:noProof/>
          </w:rPr>
        </w:r>
        <w:r>
          <w:rPr>
            <w:rFonts w:hint="eastAsia"/>
            <w:noProof/>
          </w:rPr>
          <w:fldChar w:fldCharType="separate"/>
        </w:r>
        <w:r w:rsidR="00FB085A">
          <w:rPr>
            <w:noProof/>
          </w:rPr>
          <w:t>16</w:t>
        </w:r>
        <w:r>
          <w:rPr>
            <w:rFonts w:hint="eastAsia"/>
            <w:noProof/>
          </w:rPr>
          <w:fldChar w:fldCharType="end"/>
        </w:r>
      </w:hyperlink>
    </w:p>
    <w:p w14:paraId="7E1F7972" w14:textId="32BAE544"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32" w:history="1">
        <w:r>
          <w:rPr>
            <w:rStyle w:val="afc"/>
            <w:rFonts w:eastAsia="华文细黑"/>
            <w:noProof/>
            <w14:scene3d>
              <w14:camera w14:prst="orthographicFront"/>
              <w14:lightRig w14:rig="threePt" w14:dir="t">
                <w14:rot w14:lat="0" w14:lon="0" w14:rev="0"/>
              </w14:lightRig>
            </w14:scene3d>
          </w:rPr>
          <w:t>4.9</w:t>
        </w:r>
        <w:r>
          <w:rPr>
            <w:rStyle w:val="afc"/>
            <w:noProof/>
          </w:rPr>
          <w:t xml:space="preserve"> </w:t>
        </w:r>
        <w:r>
          <w:rPr>
            <w:rStyle w:val="afc"/>
            <w:noProof/>
          </w:rPr>
          <w:t>环境风险评估</w:t>
        </w:r>
        <w:r>
          <w:rPr>
            <w:rFonts w:hint="eastAsia"/>
            <w:noProof/>
          </w:rPr>
          <w:tab/>
        </w:r>
        <w:r>
          <w:rPr>
            <w:rFonts w:hint="eastAsia"/>
            <w:noProof/>
          </w:rPr>
          <w:fldChar w:fldCharType="begin"/>
        </w:r>
        <w:r>
          <w:rPr>
            <w:rFonts w:hint="eastAsia"/>
            <w:noProof/>
          </w:rPr>
          <w:instrText xml:space="preserve"> </w:instrText>
        </w:r>
        <w:r>
          <w:rPr>
            <w:noProof/>
          </w:rPr>
          <w:instrText>PAGEREF _Toc230073432 \h</w:instrText>
        </w:r>
        <w:r>
          <w:rPr>
            <w:rFonts w:hint="eastAsia"/>
            <w:noProof/>
          </w:rPr>
          <w:instrText xml:space="preserve"> </w:instrText>
        </w:r>
        <w:r>
          <w:rPr>
            <w:rFonts w:hint="eastAsia"/>
            <w:noProof/>
          </w:rPr>
        </w:r>
        <w:r>
          <w:rPr>
            <w:rFonts w:hint="eastAsia"/>
            <w:noProof/>
          </w:rPr>
          <w:fldChar w:fldCharType="separate"/>
        </w:r>
        <w:r w:rsidR="00FB085A">
          <w:rPr>
            <w:noProof/>
          </w:rPr>
          <w:t>17</w:t>
        </w:r>
        <w:r>
          <w:rPr>
            <w:rFonts w:hint="eastAsia"/>
            <w:noProof/>
          </w:rPr>
          <w:fldChar w:fldCharType="end"/>
        </w:r>
      </w:hyperlink>
    </w:p>
    <w:p w14:paraId="188309DF" w14:textId="5DC2E69B" w:rsidR="00595FD3" w:rsidRDefault="00595FD3">
      <w:pPr>
        <w:pStyle w:val="TOC2"/>
        <w:tabs>
          <w:tab w:val="right" w:leader="dot" w:pos="8296"/>
        </w:tabs>
        <w:ind w:left="480"/>
        <w:rPr>
          <w:rFonts w:asciiTheme="minorHAnsi" w:eastAsiaTheme="minorEastAsia" w:hAnsiTheme="minorHAnsi" w:hint="eastAsia"/>
          <w:noProof/>
          <w:sz w:val="22"/>
          <w:szCs w:val="24"/>
          <w14:ligatures w14:val="standardContextual"/>
        </w:rPr>
      </w:pPr>
      <w:hyperlink w:anchor="_Toc230073433" w:history="1">
        <w:r>
          <w:rPr>
            <w:rStyle w:val="afc"/>
            <w:rFonts w:eastAsia="华文细黑"/>
            <w:noProof/>
            <w14:scene3d>
              <w14:camera w14:prst="orthographicFront"/>
              <w14:lightRig w14:rig="threePt" w14:dir="t">
                <w14:rot w14:lat="0" w14:lon="0" w14:rev="0"/>
              </w14:lightRig>
            </w14:scene3d>
          </w:rPr>
          <w:t>4.10</w:t>
        </w:r>
        <w:r>
          <w:rPr>
            <w:rStyle w:val="afc"/>
            <w:noProof/>
          </w:rPr>
          <w:t xml:space="preserve"> </w:t>
        </w:r>
        <w:r>
          <w:rPr>
            <w:rStyle w:val="afc"/>
            <w:noProof/>
          </w:rPr>
          <w:t>回填利用工程实施</w:t>
        </w:r>
        <w:r>
          <w:rPr>
            <w:rFonts w:hint="eastAsia"/>
            <w:noProof/>
          </w:rPr>
          <w:tab/>
        </w:r>
        <w:r>
          <w:rPr>
            <w:rFonts w:hint="eastAsia"/>
            <w:noProof/>
          </w:rPr>
          <w:fldChar w:fldCharType="begin"/>
        </w:r>
        <w:r>
          <w:rPr>
            <w:rFonts w:hint="eastAsia"/>
            <w:noProof/>
          </w:rPr>
          <w:instrText xml:space="preserve"> </w:instrText>
        </w:r>
        <w:r>
          <w:rPr>
            <w:noProof/>
          </w:rPr>
          <w:instrText>PAGEREF _Toc230073433 \h</w:instrText>
        </w:r>
        <w:r>
          <w:rPr>
            <w:rFonts w:hint="eastAsia"/>
            <w:noProof/>
          </w:rPr>
          <w:instrText xml:space="preserve"> </w:instrText>
        </w:r>
        <w:r>
          <w:rPr>
            <w:rFonts w:hint="eastAsia"/>
            <w:noProof/>
          </w:rPr>
        </w:r>
        <w:r>
          <w:rPr>
            <w:rFonts w:hint="eastAsia"/>
            <w:noProof/>
          </w:rPr>
          <w:fldChar w:fldCharType="separate"/>
        </w:r>
        <w:r w:rsidR="00FB085A">
          <w:rPr>
            <w:noProof/>
          </w:rPr>
          <w:t>18</w:t>
        </w:r>
        <w:r>
          <w:rPr>
            <w:rFonts w:hint="eastAsia"/>
            <w:noProof/>
          </w:rPr>
          <w:fldChar w:fldCharType="end"/>
        </w:r>
      </w:hyperlink>
    </w:p>
    <w:p w14:paraId="761E626F" w14:textId="77777777" w:rsidR="00595FD3" w:rsidRDefault="00000000">
      <w:pPr>
        <w:ind w:firstLine="480"/>
        <w:rPr>
          <w:rFonts w:cs="Times New Roman"/>
        </w:rPr>
        <w:sectPr w:rsidR="00595FD3">
          <w:footerReference w:type="default" r:id="rId14"/>
          <w:pgSz w:w="11906" w:h="16838"/>
          <w:pgMar w:top="1440" w:right="1800" w:bottom="1440" w:left="1800" w:header="851" w:footer="992" w:gutter="0"/>
          <w:pgNumType w:fmt="upperRoman" w:start="1"/>
          <w:cols w:space="425"/>
          <w:docGrid w:type="lines" w:linePitch="312"/>
        </w:sectPr>
      </w:pPr>
      <w:r>
        <w:rPr>
          <w:rFonts w:cs="Times New Roman"/>
        </w:rPr>
        <w:fldChar w:fldCharType="end"/>
      </w:r>
    </w:p>
    <w:p w14:paraId="06B345E5" w14:textId="77777777" w:rsidR="00595FD3" w:rsidRDefault="00000000">
      <w:pPr>
        <w:pStyle w:val="1"/>
        <w:spacing w:before="0" w:after="0"/>
      </w:pPr>
      <w:bookmarkStart w:id="10" w:name="_Toc230073406"/>
      <w:r>
        <w:lastRenderedPageBreak/>
        <w:t>项目背景</w:t>
      </w:r>
      <w:bookmarkEnd w:id="10"/>
    </w:p>
    <w:p w14:paraId="268D288D" w14:textId="77777777" w:rsidR="00595FD3" w:rsidRDefault="00000000">
      <w:pPr>
        <w:pStyle w:val="2"/>
      </w:pPr>
      <w:bookmarkStart w:id="11" w:name="_Toc230073407"/>
      <w:r>
        <w:rPr>
          <w:rFonts w:hint="eastAsia"/>
        </w:rPr>
        <w:t>起草背景</w:t>
      </w:r>
      <w:bookmarkEnd w:id="11"/>
    </w:p>
    <w:p w14:paraId="10597235" w14:textId="77777777" w:rsidR="00595FD3" w:rsidRDefault="00000000">
      <w:pPr>
        <w:ind w:firstLine="480"/>
        <w:rPr>
          <w:rFonts w:cs="Times New Roman"/>
        </w:rPr>
      </w:pPr>
      <w:r>
        <w:rPr>
          <w:rFonts w:cs="Times New Roman" w:hint="eastAsia"/>
        </w:rPr>
        <w:t>大宗工业固体废物的规模化、规范化处置利用，是深入推进生态文明建设、助力实现“双碳”目标的重要举措，也是全域“无废城市”建设的核心任务与关键抓手。近年来，国家层面高度重视工业固体废物综合利用工作，先后出台多项政策文件，明确行业发展方向与核心技术路径，着力破解</w:t>
      </w:r>
      <w:proofErr w:type="gramStart"/>
      <w:r>
        <w:rPr>
          <w:rFonts w:cs="Times New Roman" w:hint="eastAsia"/>
        </w:rPr>
        <w:t>大宗固废</w:t>
      </w:r>
      <w:proofErr w:type="gramEnd"/>
      <w:r>
        <w:rPr>
          <w:rFonts w:cs="Times New Roman" w:hint="eastAsia"/>
        </w:rPr>
        <w:t>处置难题。《固体废物综合治理行动计划》（国发〔</w:t>
      </w:r>
      <w:r>
        <w:rPr>
          <w:rFonts w:cs="Times New Roman" w:hint="eastAsia"/>
        </w:rPr>
        <w:t>2025</w:t>
      </w:r>
      <w:r>
        <w:rPr>
          <w:rFonts w:cs="Times New Roman" w:hint="eastAsia"/>
        </w:rPr>
        <w:t>〕</w:t>
      </w:r>
      <w:r>
        <w:rPr>
          <w:rFonts w:cs="Times New Roman" w:hint="eastAsia"/>
        </w:rPr>
        <w:t>14</w:t>
      </w:r>
      <w:r>
        <w:rPr>
          <w:rFonts w:cs="Times New Roman" w:hint="eastAsia"/>
        </w:rPr>
        <w:t>号）明确提出，要稳妥有序探索大宗工业固体废物规模化消纳利用渠道，重点通过井下充填、矿坑回填、生态修复等多元化路径，规模化消纳利用大宗工业固体废物。《关于“十四五”大宗固体废弃物综合利用的指导意见》（</w:t>
      </w:r>
      <w:proofErr w:type="gramStart"/>
      <w:r>
        <w:rPr>
          <w:rFonts w:cs="Times New Roman" w:hint="eastAsia"/>
        </w:rPr>
        <w:t>发改环</w:t>
      </w:r>
      <w:proofErr w:type="gramEnd"/>
      <w:r>
        <w:rPr>
          <w:rFonts w:cs="Times New Roman" w:hint="eastAsia"/>
        </w:rPr>
        <w:t>资〔</w:t>
      </w:r>
      <w:r>
        <w:rPr>
          <w:rFonts w:cs="Times New Roman" w:hint="eastAsia"/>
        </w:rPr>
        <w:t>2021</w:t>
      </w:r>
      <w:r>
        <w:rPr>
          <w:rFonts w:cs="Times New Roman" w:hint="eastAsia"/>
        </w:rPr>
        <w:t>〕</w:t>
      </w:r>
      <w:r>
        <w:rPr>
          <w:rFonts w:cs="Times New Roman" w:hint="eastAsia"/>
        </w:rPr>
        <w:t>381</w:t>
      </w:r>
      <w:r>
        <w:rPr>
          <w:rFonts w:cs="Times New Roman" w:hint="eastAsia"/>
        </w:rPr>
        <w:t>号）指出，当前赤泥、磷石膏、钢渣等</w:t>
      </w:r>
      <w:proofErr w:type="gramStart"/>
      <w:r>
        <w:rPr>
          <w:rFonts w:cs="Times New Roman" w:hint="eastAsia"/>
        </w:rPr>
        <w:t>难利用大宗固废</w:t>
      </w:r>
      <w:proofErr w:type="gramEnd"/>
      <w:r>
        <w:rPr>
          <w:rFonts w:cs="Times New Roman" w:hint="eastAsia"/>
        </w:rPr>
        <w:t>综合利用率偏低，大量</w:t>
      </w:r>
      <w:proofErr w:type="gramStart"/>
      <w:r>
        <w:rPr>
          <w:rFonts w:cs="Times New Roman" w:hint="eastAsia"/>
        </w:rPr>
        <w:t>堆存既</w:t>
      </w:r>
      <w:proofErr w:type="gramEnd"/>
      <w:r>
        <w:rPr>
          <w:rFonts w:cs="Times New Roman" w:hint="eastAsia"/>
        </w:rPr>
        <w:t>占用宝贵土地资源，又存在突出的生态环境安全隐患，亟需推动</w:t>
      </w:r>
      <w:proofErr w:type="gramStart"/>
      <w:r>
        <w:rPr>
          <w:rFonts w:cs="Times New Roman" w:hint="eastAsia"/>
        </w:rPr>
        <w:t>大宗固废</w:t>
      </w:r>
      <w:proofErr w:type="gramEnd"/>
      <w:r>
        <w:rPr>
          <w:rFonts w:cs="Times New Roman" w:hint="eastAsia"/>
        </w:rPr>
        <w:t>综合利用技术创新与模式创新；同时要求在严守环境安全底线的前提下，煤炭行业重点推广“煤矸石井下充填</w:t>
      </w:r>
      <w:r>
        <w:rPr>
          <w:rFonts w:cs="Times New Roman" w:hint="eastAsia"/>
        </w:rPr>
        <w:t>+</w:t>
      </w:r>
      <w:r>
        <w:rPr>
          <w:rFonts w:cs="Times New Roman" w:hint="eastAsia"/>
        </w:rPr>
        <w:t>地面回填”模式，积极探索磷石膏在土壤改良、井下充填、路基材料等领域的资源化应用。</w:t>
      </w:r>
    </w:p>
    <w:p w14:paraId="527F0B95" w14:textId="77777777" w:rsidR="00595FD3" w:rsidRDefault="00000000">
      <w:pPr>
        <w:ind w:firstLine="480"/>
        <w:rPr>
          <w:rFonts w:cs="Times New Roman"/>
        </w:rPr>
      </w:pPr>
      <w:r>
        <w:rPr>
          <w:rFonts w:cs="Times New Roman" w:hint="eastAsia"/>
        </w:rPr>
        <w:t>重庆作为全国重要的先进制造业基地，同时肩负着长江上游重要生态屏障的生态保护重任，工业固体废物产生量大、处置利用压力突出。受建材市场需求收窄、传统消</w:t>
      </w:r>
      <w:proofErr w:type="gramStart"/>
      <w:r>
        <w:rPr>
          <w:rFonts w:cs="Times New Roman" w:hint="eastAsia"/>
        </w:rPr>
        <w:t>纳渠道</w:t>
      </w:r>
      <w:proofErr w:type="gramEnd"/>
      <w:r>
        <w:rPr>
          <w:rFonts w:cs="Times New Roman" w:hint="eastAsia"/>
        </w:rPr>
        <w:t>受阻、关键资源化技术突破不足等多重因素影响，全市工业固废综合利用率持续偏低，与《重庆市提质建设全域“无废城市”工作方案（</w:t>
      </w:r>
      <w:r>
        <w:rPr>
          <w:rFonts w:cs="Times New Roman" w:hint="eastAsia"/>
        </w:rPr>
        <w:t>2024</w:t>
      </w:r>
      <w:r>
        <w:rPr>
          <w:rFonts w:cs="Times New Roman" w:hint="eastAsia"/>
        </w:rPr>
        <w:t>—</w:t>
      </w:r>
      <w:r>
        <w:rPr>
          <w:rFonts w:cs="Times New Roman" w:hint="eastAsia"/>
        </w:rPr>
        <w:t>2027</w:t>
      </w:r>
      <w:r>
        <w:rPr>
          <w:rFonts w:cs="Times New Roman" w:hint="eastAsia"/>
        </w:rPr>
        <w:t>年）》明确的“</w:t>
      </w:r>
      <w:r>
        <w:rPr>
          <w:rFonts w:cs="Times New Roman" w:hint="eastAsia"/>
        </w:rPr>
        <w:t>2027</w:t>
      </w:r>
      <w:r>
        <w:rPr>
          <w:rFonts w:cs="Times New Roman" w:hint="eastAsia"/>
        </w:rPr>
        <w:t>年大宗固废综合利用率达到</w:t>
      </w:r>
      <w:r>
        <w:rPr>
          <w:rFonts w:cs="Times New Roman" w:hint="eastAsia"/>
        </w:rPr>
        <w:t>75%</w:t>
      </w:r>
      <w:r>
        <w:rPr>
          <w:rFonts w:cs="Times New Roman" w:hint="eastAsia"/>
        </w:rPr>
        <w:t>以上”目标存在差距。基于此，重庆将大宗工业固废综合利用列为全域“无废城市”建设重点攻坚任务，明确要求针对磷石膏、赤泥、煤矸石等本地典型</w:t>
      </w:r>
      <w:proofErr w:type="gramStart"/>
      <w:r>
        <w:rPr>
          <w:rFonts w:cs="Times New Roman" w:hint="eastAsia"/>
        </w:rPr>
        <w:t>难利用大宗固废</w:t>
      </w:r>
      <w:proofErr w:type="gramEnd"/>
      <w:r>
        <w:rPr>
          <w:rFonts w:cs="Times New Roman" w:hint="eastAsia"/>
        </w:rPr>
        <w:t>，专项制定针对性的利用处置技术标准，规范全过程管理。</w:t>
      </w:r>
    </w:p>
    <w:p w14:paraId="6EEC3309" w14:textId="409696DC" w:rsidR="00595FD3" w:rsidRDefault="00000000">
      <w:pPr>
        <w:ind w:firstLine="480"/>
        <w:rPr>
          <w:rFonts w:cs="Times New Roman"/>
        </w:rPr>
      </w:pPr>
      <w:r>
        <w:rPr>
          <w:rFonts w:cs="Times New Roman" w:hint="eastAsia"/>
        </w:rPr>
        <w:t>回填利用是实现大宗工业固废规模化消纳、破解堆存难题的有效途径，当前国内现有相关标准体系难以适配重庆本地产</w:t>
      </w:r>
      <w:proofErr w:type="gramStart"/>
      <w:r>
        <w:rPr>
          <w:rFonts w:cs="Times New Roman" w:hint="eastAsia"/>
        </w:rPr>
        <w:t>废特征</w:t>
      </w:r>
      <w:proofErr w:type="gramEnd"/>
      <w:r>
        <w:rPr>
          <w:rFonts w:cs="Times New Roman" w:hint="eastAsia"/>
        </w:rPr>
        <w:t>与生态环境管控要求，其规范化、标准化实施亟需地方专项技术标准提供支撑。据此，重庆市市场监督管理局</w:t>
      </w:r>
      <w:r>
        <w:rPr>
          <w:rFonts w:cs="Times New Roman" w:hint="eastAsia"/>
        </w:rPr>
        <w:lastRenderedPageBreak/>
        <w:t>于</w:t>
      </w:r>
      <w:r>
        <w:rPr>
          <w:rFonts w:cs="Times New Roman" w:hint="eastAsia"/>
        </w:rPr>
        <w:t>2025</w:t>
      </w:r>
      <w:r>
        <w:rPr>
          <w:rFonts w:cs="Times New Roman" w:hint="eastAsia"/>
        </w:rPr>
        <w:t>年</w:t>
      </w:r>
      <w:r>
        <w:rPr>
          <w:rFonts w:cs="Times New Roman" w:hint="eastAsia"/>
        </w:rPr>
        <w:t>4</w:t>
      </w:r>
      <w:r>
        <w:rPr>
          <w:rFonts w:cs="Times New Roman" w:hint="eastAsia"/>
        </w:rPr>
        <w:t>月</w:t>
      </w:r>
      <w:r>
        <w:rPr>
          <w:rFonts w:cs="Times New Roman" w:hint="eastAsia"/>
        </w:rPr>
        <w:t>29</w:t>
      </w:r>
      <w:r>
        <w:rPr>
          <w:rFonts w:cs="Times New Roman" w:hint="eastAsia"/>
        </w:rPr>
        <w:t>日印发《关于下达</w:t>
      </w:r>
      <w:r>
        <w:rPr>
          <w:rFonts w:cs="Times New Roman" w:hint="eastAsia"/>
        </w:rPr>
        <w:t>2025</w:t>
      </w:r>
      <w:r>
        <w:rPr>
          <w:rFonts w:cs="Times New Roman" w:hint="eastAsia"/>
        </w:rPr>
        <w:t>年第一批重庆市地方标准制修订计划项目的通知》（</w:t>
      </w:r>
      <w:proofErr w:type="gramStart"/>
      <w:r>
        <w:rPr>
          <w:rFonts w:cs="Times New Roman" w:hint="eastAsia"/>
        </w:rPr>
        <w:t>渝市监发</w:t>
      </w:r>
      <w:proofErr w:type="gramEnd"/>
      <w:r>
        <w:rPr>
          <w:rFonts w:cs="Times New Roman" w:hint="eastAsia"/>
        </w:rPr>
        <w:t>〔</w:t>
      </w:r>
      <w:r>
        <w:rPr>
          <w:rFonts w:cs="Times New Roman" w:hint="eastAsia"/>
        </w:rPr>
        <w:t>2025</w:t>
      </w:r>
      <w:r>
        <w:rPr>
          <w:rFonts w:cs="Times New Roman" w:hint="eastAsia"/>
        </w:rPr>
        <w:t>〕</w:t>
      </w:r>
      <w:r>
        <w:rPr>
          <w:rFonts w:cs="Times New Roman" w:hint="eastAsia"/>
        </w:rPr>
        <w:t>43</w:t>
      </w:r>
      <w:r>
        <w:rPr>
          <w:rFonts w:cs="Times New Roman" w:hint="eastAsia"/>
        </w:rPr>
        <w:t>号），将《一般工业固体废物用于回填和生态修复技术规范》纳入</w:t>
      </w:r>
      <w:r>
        <w:rPr>
          <w:rFonts w:cs="Times New Roman" w:hint="eastAsia"/>
        </w:rPr>
        <w:t>2025</w:t>
      </w:r>
      <w:r>
        <w:rPr>
          <w:rFonts w:cs="Times New Roman" w:hint="eastAsia"/>
        </w:rPr>
        <w:t>年第一批重庆市地方标准制修订项目计划，由重庆市生态环境科学研究院牵头开展标准编制工作。编制组紧扣重庆市工业固废处置利用实际需求，以“拓宽消纳渠道、严控环境风险”为核心目标，通过实地调研、企业座谈、专家咨询等多轮论证，最终编制形成《重庆市典型一般工业固体废物回填利用环境保护技术规范》（征求意见稿）</w:t>
      </w:r>
      <w:r>
        <w:rPr>
          <w:rFonts w:cs="Times New Roman"/>
        </w:rPr>
        <w:t>。</w:t>
      </w:r>
    </w:p>
    <w:p w14:paraId="766ECD4A" w14:textId="77777777" w:rsidR="00595FD3" w:rsidRDefault="00000000">
      <w:pPr>
        <w:pStyle w:val="2"/>
      </w:pPr>
      <w:bookmarkStart w:id="12" w:name="_Toc230073408"/>
      <w:r>
        <w:t>制定</w:t>
      </w:r>
      <w:r>
        <w:rPr>
          <w:rFonts w:hint="eastAsia"/>
        </w:rPr>
        <w:t>标准的必要性</w:t>
      </w:r>
      <w:bookmarkEnd w:id="12"/>
    </w:p>
    <w:p w14:paraId="13C674D0" w14:textId="77777777" w:rsidR="00595FD3" w:rsidRDefault="00000000">
      <w:pPr>
        <w:pStyle w:val="aff"/>
        <w:numPr>
          <w:ilvl w:val="0"/>
          <w:numId w:val="4"/>
        </w:numPr>
        <w:ind w:left="0" w:firstLine="480"/>
        <w:rPr>
          <w:rFonts w:cs="Times New Roman"/>
        </w:rPr>
      </w:pPr>
      <w:r>
        <w:rPr>
          <w:rFonts w:hint="eastAsia"/>
        </w:rPr>
        <w:t>响应</w:t>
      </w:r>
      <w:r>
        <w:t>大宗工业固体废物综合利用目标要求</w:t>
      </w:r>
      <w:bookmarkStart w:id="13" w:name="_Hlk201157586"/>
    </w:p>
    <w:p w14:paraId="3F7C1CD0" w14:textId="77777777" w:rsidR="00595FD3" w:rsidRDefault="00000000">
      <w:pPr>
        <w:ind w:firstLine="480"/>
      </w:pPr>
      <w:r>
        <w:t>国家近年多份政策文件明确工业固废综合利用目标：</w:t>
      </w:r>
      <w:r>
        <w:t>2022</w:t>
      </w:r>
      <w:r>
        <w:t>年《加快推动工业资源综合利用实施方案》（工信部联节〔</w:t>
      </w:r>
      <w:r>
        <w:t>2022</w:t>
      </w:r>
      <w:r>
        <w:t>〕</w:t>
      </w:r>
      <w:r>
        <w:t>9</w:t>
      </w:r>
      <w:r>
        <w:t>号）提出</w:t>
      </w:r>
      <w:proofErr w:type="gramStart"/>
      <w:r>
        <w:t>大宗固废</w:t>
      </w:r>
      <w:proofErr w:type="gramEnd"/>
      <w:r>
        <w:t>综合利用率达</w:t>
      </w:r>
      <w:r>
        <w:t>57%</w:t>
      </w:r>
      <w:r>
        <w:t>；</w:t>
      </w:r>
      <w:r>
        <w:t>2024</w:t>
      </w:r>
      <w:r>
        <w:t>年《关于加快构建废弃物循环利用体系的意见》将其提至</w:t>
      </w:r>
      <w:r>
        <w:t>60%</w:t>
      </w:r>
      <w:r>
        <w:t>；重庆</w:t>
      </w:r>
      <w:r>
        <w:t>2025</w:t>
      </w:r>
      <w:r>
        <w:t>年出台的</w:t>
      </w:r>
      <w:r>
        <w:t>“</w:t>
      </w:r>
      <w:r>
        <w:t>无废城市</w:t>
      </w:r>
      <w:r>
        <w:t>”</w:t>
      </w:r>
      <w:r>
        <w:t>工作方案，进一步明确</w:t>
      </w:r>
      <w:r>
        <w:t>2027</w:t>
      </w:r>
      <w:r>
        <w:t>年</w:t>
      </w:r>
      <w:r>
        <w:rPr>
          <w:rFonts w:hint="eastAsia"/>
        </w:rPr>
        <w:t>我市</w:t>
      </w:r>
      <w:proofErr w:type="gramStart"/>
      <w:r>
        <w:t>大宗固废综合利用率需超</w:t>
      </w:r>
      <w:proofErr w:type="gramEnd"/>
      <w:r>
        <w:t>75%</w:t>
      </w:r>
      <w:r>
        <w:t>。</w:t>
      </w:r>
    </w:p>
    <w:p w14:paraId="176A3BD2" w14:textId="77777777" w:rsidR="00595FD3" w:rsidRDefault="00000000">
      <w:pPr>
        <w:ind w:firstLine="480"/>
      </w:pPr>
      <w:r>
        <w:rPr>
          <w:rFonts w:hint="eastAsia"/>
        </w:rPr>
        <w:t>我市固废综合利用率下滑趋势明显，第三轮中央环保督察明确反馈指出，我市大宗工业固废综合利用率从</w:t>
      </w:r>
      <w:r>
        <w:rPr>
          <w:rFonts w:hint="eastAsia"/>
        </w:rPr>
        <w:t>2019</w:t>
      </w:r>
      <w:r>
        <w:rPr>
          <w:rFonts w:hint="eastAsia"/>
        </w:rPr>
        <w:t>年的</w:t>
      </w:r>
      <w:r>
        <w:rPr>
          <w:rFonts w:hint="eastAsia"/>
        </w:rPr>
        <w:t>84%</w:t>
      </w:r>
      <w:r>
        <w:rPr>
          <w:rFonts w:hint="eastAsia"/>
        </w:rPr>
        <w:t>下滑至</w:t>
      </w:r>
      <w:r>
        <w:rPr>
          <w:rFonts w:hint="eastAsia"/>
        </w:rPr>
        <w:t>2023</w:t>
      </w:r>
      <w:r>
        <w:rPr>
          <w:rFonts w:hint="eastAsia"/>
        </w:rPr>
        <w:t>年的</w:t>
      </w:r>
      <w:r>
        <w:rPr>
          <w:rFonts w:hint="eastAsia"/>
        </w:rPr>
        <w:t>74%</w:t>
      </w:r>
      <w:r>
        <w:rPr>
          <w:rFonts w:hint="eastAsia"/>
        </w:rPr>
        <w:t>，要求尽快扭转下降趋势。重庆正处于新型工业化关键期，“十五五”期间磷石膏、赤泥等较难利用的固</w:t>
      </w:r>
      <w:proofErr w:type="gramStart"/>
      <w:r>
        <w:rPr>
          <w:rFonts w:hint="eastAsia"/>
        </w:rPr>
        <w:t>废产生</w:t>
      </w:r>
      <w:proofErr w:type="gramEnd"/>
      <w:r>
        <w:rPr>
          <w:rFonts w:hint="eastAsia"/>
        </w:rPr>
        <w:t>量将持续增长，预计至</w:t>
      </w:r>
      <w:r>
        <w:rPr>
          <w:rFonts w:hint="eastAsia"/>
        </w:rPr>
        <w:t>2027</w:t>
      </w:r>
      <w:r>
        <w:rPr>
          <w:rFonts w:hint="eastAsia"/>
        </w:rPr>
        <w:t>年底，赤泥产生量占比上涨至</w:t>
      </w:r>
      <w:r>
        <w:rPr>
          <w:rFonts w:hint="eastAsia"/>
        </w:rPr>
        <w:t>32.1%</w:t>
      </w:r>
      <w:r>
        <w:rPr>
          <w:rFonts w:hint="eastAsia"/>
        </w:rPr>
        <w:t>，将导致全市新增</w:t>
      </w:r>
      <w:proofErr w:type="gramStart"/>
      <w:r>
        <w:rPr>
          <w:rFonts w:hint="eastAsia"/>
        </w:rPr>
        <w:t>大宗固废</w:t>
      </w:r>
      <w:proofErr w:type="gramEnd"/>
      <w:r>
        <w:rPr>
          <w:rFonts w:hint="eastAsia"/>
        </w:rPr>
        <w:t>综合利用率降至</w:t>
      </w:r>
      <w:r>
        <w:rPr>
          <w:rFonts w:hint="eastAsia"/>
        </w:rPr>
        <w:t>63%</w:t>
      </w:r>
      <w:r>
        <w:rPr>
          <w:rFonts w:hint="eastAsia"/>
        </w:rPr>
        <w:t>左右。同时，受建材行业市场下行影响，之前较易利用的粉煤灰、脱硫石膏等传统利用路径收窄（脱硫石膏利用率由</w:t>
      </w:r>
      <w:r>
        <w:rPr>
          <w:rFonts w:hint="eastAsia"/>
        </w:rPr>
        <w:t>2021</w:t>
      </w:r>
      <w:r>
        <w:rPr>
          <w:rFonts w:hint="eastAsia"/>
        </w:rPr>
        <w:t>年的</w:t>
      </w:r>
      <w:r>
        <w:rPr>
          <w:rFonts w:hint="eastAsia"/>
        </w:rPr>
        <w:t>100%</w:t>
      </w:r>
      <w:r>
        <w:rPr>
          <w:rFonts w:hint="eastAsia"/>
        </w:rPr>
        <w:t>下降至</w:t>
      </w:r>
      <w:r>
        <w:rPr>
          <w:rFonts w:hint="eastAsia"/>
        </w:rPr>
        <w:t>2024</w:t>
      </w:r>
      <w:r>
        <w:rPr>
          <w:rFonts w:hint="eastAsia"/>
        </w:rPr>
        <w:t>年的</w:t>
      </w:r>
      <w:r>
        <w:rPr>
          <w:rFonts w:hint="eastAsia"/>
        </w:rPr>
        <w:t>87.97%</w:t>
      </w:r>
      <w:r>
        <w:rPr>
          <w:rFonts w:hint="eastAsia"/>
        </w:rPr>
        <w:t>），进一步加剧了综合利用率下降风险。本标准的制定，可引导企业拓展回填利用新路径，为固废规模化、规范化利用提供技术支撑，是实现“无废城市”目标的重要举措。</w:t>
      </w:r>
    </w:p>
    <w:bookmarkEnd w:id="13"/>
    <w:p w14:paraId="61859C1D" w14:textId="77777777" w:rsidR="00595FD3" w:rsidRDefault="00000000">
      <w:pPr>
        <w:pStyle w:val="aff"/>
        <w:numPr>
          <w:ilvl w:val="0"/>
          <w:numId w:val="4"/>
        </w:numPr>
        <w:ind w:left="0" w:firstLine="480"/>
      </w:pPr>
      <w:r>
        <w:rPr>
          <w:rFonts w:hint="eastAsia"/>
        </w:rPr>
        <w:t>是对国家标准</w:t>
      </w:r>
      <w:r>
        <w:rPr>
          <w:rFonts w:hint="eastAsia"/>
        </w:rPr>
        <w:t>GB 18599</w:t>
      </w:r>
      <w:r>
        <w:rPr>
          <w:rFonts w:hint="eastAsia"/>
        </w:rPr>
        <w:t>的细化补充</w:t>
      </w:r>
    </w:p>
    <w:p w14:paraId="5DC2E08C" w14:textId="77777777" w:rsidR="00595FD3" w:rsidRDefault="00000000">
      <w:pPr>
        <w:ind w:firstLine="480"/>
      </w:pPr>
      <w:r>
        <w:rPr>
          <w:rFonts w:hint="eastAsia"/>
        </w:rPr>
        <w:t>《一般工业固体废物贮存和填埋污染控制标准》（</w:t>
      </w:r>
      <w:r>
        <w:rPr>
          <w:rFonts w:hint="eastAsia"/>
        </w:rPr>
        <w:t>GB 18599</w:t>
      </w:r>
      <w:r>
        <w:rPr>
          <w:rFonts w:hint="eastAsia"/>
        </w:rPr>
        <w:t>—</w:t>
      </w:r>
      <w:r>
        <w:rPr>
          <w:rFonts w:hint="eastAsia"/>
        </w:rPr>
        <w:t>2020</w:t>
      </w:r>
      <w:r>
        <w:rPr>
          <w:rFonts w:hint="eastAsia"/>
        </w:rPr>
        <w:t>）明确一般工业固体废物回填定义，</w:t>
      </w:r>
      <w:r>
        <w:t>对回填利用提出环境本底调查、环境风险评估、土地</w:t>
      </w:r>
      <w:r>
        <w:lastRenderedPageBreak/>
        <w:t>复垦等原则性管控要求。本标准在严格衔接国家标准管控框架基础上，立足重庆市工业固</w:t>
      </w:r>
      <w:proofErr w:type="gramStart"/>
      <w:r>
        <w:t>废</w:t>
      </w:r>
      <w:r>
        <w:rPr>
          <w:rFonts w:hint="eastAsia"/>
        </w:rPr>
        <w:t>污染</w:t>
      </w:r>
      <w:proofErr w:type="gramEnd"/>
      <w:r>
        <w:rPr>
          <w:rFonts w:hint="eastAsia"/>
        </w:rPr>
        <w:t>特性</w:t>
      </w:r>
      <w:r>
        <w:t>、喀斯特地貌水文地质条件及区域生态保护实际，对国</w:t>
      </w:r>
      <w:r>
        <w:rPr>
          <w:rFonts w:hint="eastAsia"/>
        </w:rPr>
        <w:t>家</w:t>
      </w:r>
      <w:r>
        <w:t>标</w:t>
      </w:r>
      <w:r>
        <w:rPr>
          <w:rFonts w:hint="eastAsia"/>
        </w:rPr>
        <w:t>准</w:t>
      </w:r>
      <w:r>
        <w:t>要求进行系统性细化</w:t>
      </w:r>
      <w:r>
        <w:rPr>
          <w:rFonts w:hint="eastAsia"/>
        </w:rPr>
        <w:t>补充</w:t>
      </w:r>
      <w:r>
        <w:t>。一是</w:t>
      </w:r>
      <w:r>
        <w:rPr>
          <w:rFonts w:hint="eastAsia"/>
        </w:rPr>
        <w:t>明确</w:t>
      </w:r>
      <w:r>
        <w:t>回填场地选址基本</w:t>
      </w:r>
      <w:r>
        <w:rPr>
          <w:rFonts w:hint="eastAsia"/>
        </w:rPr>
        <w:t>要求</w:t>
      </w:r>
      <w:r>
        <w:t>，划定禁止准入区域负面清单，落实</w:t>
      </w:r>
      <w:r>
        <w:t xml:space="preserve"> “</w:t>
      </w:r>
      <w:r>
        <w:t>一场</w:t>
      </w:r>
      <w:proofErr w:type="gramStart"/>
      <w:r>
        <w:t>一</w:t>
      </w:r>
      <w:proofErr w:type="gramEnd"/>
      <w:r>
        <w:t>废</w:t>
      </w:r>
      <w:r>
        <w:t xml:space="preserve">” </w:t>
      </w:r>
      <w:r>
        <w:t>管控原则；二是划定可开展回填利用的一般工业固体废物清单，结合本地典型固</w:t>
      </w:r>
      <w:proofErr w:type="gramStart"/>
      <w:r>
        <w:t>废污染</w:t>
      </w:r>
      <w:proofErr w:type="gramEnd"/>
      <w:r>
        <w:t>属性，制定通用入场管</w:t>
      </w:r>
      <w:proofErr w:type="gramStart"/>
      <w:r>
        <w:t>控要求</w:t>
      </w:r>
      <w:proofErr w:type="gramEnd"/>
      <w:r>
        <w:t>及特殊固废差异化准入条件；三是</w:t>
      </w:r>
      <w:r>
        <w:rPr>
          <w:rFonts w:hint="eastAsia"/>
        </w:rPr>
        <w:t>完善</w:t>
      </w:r>
      <w:r>
        <w:t>环境本底调查技术</w:t>
      </w:r>
      <w:r>
        <w:rPr>
          <w:rFonts w:hint="eastAsia"/>
        </w:rPr>
        <w:t>要点</w:t>
      </w:r>
      <w:r>
        <w:t>，从工程水文地质勘察、环境质量调查两方面，细化调查内容、技术方法与指标体系；四是</w:t>
      </w:r>
      <w:r>
        <w:rPr>
          <w:rFonts w:hint="eastAsia"/>
        </w:rPr>
        <w:t>以</w:t>
      </w:r>
      <w:r>
        <w:t>土壤、地下水、地表水环境安全</w:t>
      </w:r>
      <w:r>
        <w:rPr>
          <w:rFonts w:hint="eastAsia"/>
        </w:rPr>
        <w:t>为</w:t>
      </w:r>
      <w:r>
        <w:t>底线，优化环境风险评估技术路径，切实提升风险评估工作的科学性与可操作性</w:t>
      </w:r>
      <w:r>
        <w:rPr>
          <w:rFonts w:hint="eastAsia"/>
        </w:rPr>
        <w:t>。</w:t>
      </w:r>
    </w:p>
    <w:p w14:paraId="182D36CD" w14:textId="77777777" w:rsidR="00595FD3" w:rsidRDefault="00000000">
      <w:pPr>
        <w:pStyle w:val="aff"/>
        <w:numPr>
          <w:ilvl w:val="0"/>
          <w:numId w:val="4"/>
        </w:numPr>
        <w:ind w:left="0" w:firstLine="480"/>
        <w:rPr>
          <w:rFonts w:cs="Times New Roman"/>
          <w:szCs w:val="32"/>
        </w:rPr>
      </w:pPr>
      <w:bookmarkStart w:id="14" w:name="_Toc215652574"/>
      <w:r>
        <w:rPr>
          <w:rFonts w:hint="eastAsia"/>
        </w:rPr>
        <w:t>规范</w:t>
      </w:r>
      <w:r>
        <w:t>回填利用环境风险评估技术要求</w:t>
      </w:r>
      <w:bookmarkEnd w:id="14"/>
    </w:p>
    <w:p w14:paraId="199C0515" w14:textId="77777777" w:rsidR="00595FD3" w:rsidRDefault="00000000">
      <w:pPr>
        <w:ind w:firstLine="480"/>
      </w:pPr>
      <w:r>
        <w:rPr>
          <w:rFonts w:hint="eastAsia"/>
        </w:rPr>
        <w:t>《一般工业固体废物贮存和填埋污染控制标准》（</w:t>
      </w:r>
      <w:r>
        <w:rPr>
          <w:rFonts w:hint="eastAsia"/>
        </w:rPr>
        <w:t>GB 18599</w:t>
      </w:r>
      <w:r>
        <w:rPr>
          <w:rFonts w:hint="eastAsia"/>
        </w:rPr>
        <w:t>—</w:t>
      </w:r>
      <w:r>
        <w:rPr>
          <w:rFonts w:hint="eastAsia"/>
        </w:rPr>
        <w:t>2020</w:t>
      </w:r>
      <w:r>
        <w:rPr>
          <w:rFonts w:hint="eastAsia"/>
        </w:rPr>
        <w:t>）及生态环境部相关复函（</w:t>
      </w:r>
      <w:proofErr w:type="gramStart"/>
      <w:r>
        <w:rPr>
          <w:rFonts w:hint="eastAsia"/>
        </w:rPr>
        <w:t>环办便函</w:t>
      </w:r>
      <w:proofErr w:type="gramEnd"/>
      <w:r>
        <w:rPr>
          <w:rFonts w:hint="eastAsia"/>
        </w:rPr>
        <w:t>〔</w:t>
      </w:r>
      <w:r>
        <w:rPr>
          <w:rFonts w:hint="eastAsia"/>
        </w:rPr>
        <w:t>2025</w:t>
      </w:r>
      <w:r>
        <w:rPr>
          <w:rFonts w:hint="eastAsia"/>
        </w:rPr>
        <w:t>〕</w:t>
      </w:r>
      <w:r>
        <w:rPr>
          <w:rFonts w:hint="eastAsia"/>
        </w:rPr>
        <w:t>218</w:t>
      </w:r>
      <w:r>
        <w:rPr>
          <w:rFonts w:hint="eastAsia"/>
        </w:rPr>
        <w:t>号）均明确要求，固废回填工程实施前必须开展地下水、地表水及土壤环境风险评估</w:t>
      </w:r>
      <w:r>
        <w:t>。为进一步提升评估工作的针对性、适配性与实操性，贴合我市回填利用工程管控实际，本标准对现有评估</w:t>
      </w:r>
      <w:r>
        <w:rPr>
          <w:rFonts w:hint="eastAsia"/>
        </w:rPr>
        <w:t>技术</w:t>
      </w:r>
      <w:r>
        <w:t>进行优化完善。一是</w:t>
      </w:r>
      <w:r>
        <w:rPr>
          <w:rFonts w:hint="eastAsia"/>
        </w:rPr>
        <w:t>提出环境风险</w:t>
      </w:r>
      <w:r>
        <w:t>评估</w:t>
      </w:r>
      <w:r>
        <w:rPr>
          <w:rFonts w:hint="eastAsia"/>
        </w:rPr>
        <w:t>层次分析技术路径</w:t>
      </w:r>
      <w:r>
        <w:t>，</w:t>
      </w:r>
      <w:r>
        <w:rPr>
          <w:rFonts w:hint="eastAsia"/>
        </w:rPr>
        <w:t>回填物料浸出</w:t>
      </w:r>
      <w:proofErr w:type="gramStart"/>
      <w:r>
        <w:rPr>
          <w:rFonts w:hint="eastAsia"/>
        </w:rPr>
        <w:t>液特征</w:t>
      </w:r>
      <w:proofErr w:type="gramEnd"/>
      <w:r>
        <w:rPr>
          <w:rFonts w:hint="eastAsia"/>
        </w:rPr>
        <w:t>污染物浓度均满足</w:t>
      </w:r>
      <w:r>
        <w:t>《地下水质量标准》（</w:t>
      </w:r>
      <w:r>
        <w:t>GB/T 14848‑2017</w:t>
      </w:r>
      <w:r>
        <w:t>）</w:t>
      </w:r>
      <w:r>
        <w:rPr>
          <w:rFonts w:hint="eastAsia"/>
        </w:rPr>
        <w:t>中</w:t>
      </w:r>
      <w:r>
        <w:rPr>
          <w:rFonts w:hint="eastAsia"/>
          <w:color w:val="000000" w:themeColor="text1"/>
        </w:rPr>
        <w:t>Ⅲ类标准限值</w:t>
      </w:r>
      <w:r>
        <w:t>，</w:t>
      </w:r>
      <w:r>
        <w:rPr>
          <w:rFonts w:hint="eastAsia"/>
        </w:rPr>
        <w:t>经相关研究及管理实践验证其环境风险水平可接受，无需进一步开展环境风险定量评估；对于不满足上述要求的，应依据</w:t>
      </w:r>
      <w:r>
        <w:rPr>
          <w:rFonts w:hint="eastAsia"/>
        </w:rPr>
        <w:t>HJ 1091</w:t>
      </w:r>
      <w:r>
        <w:rPr>
          <w:rFonts w:hint="eastAsia"/>
        </w:rPr>
        <w:t>相关内容进行定量环境风险评估，全方位</w:t>
      </w:r>
      <w:r>
        <w:t>防控生态环境风险。二是明晰评估内容、规范实施流程，针对</w:t>
      </w:r>
      <w:r>
        <w:t xml:space="preserve"> HJ 25.3 </w:t>
      </w:r>
      <w:r>
        <w:t>侧重建设用地人体健康风险评估的局限性，</w:t>
      </w:r>
      <w:r>
        <w:rPr>
          <w:rFonts w:hint="eastAsia"/>
        </w:rPr>
        <w:t>本标准</w:t>
      </w:r>
      <w:r>
        <w:t>结合区域生态环境功能定位与长期累积性污染风险，在</w:t>
      </w:r>
      <w:r>
        <w:t xml:space="preserve">HJ 1091 </w:t>
      </w:r>
      <w:r>
        <w:t>定量评价基础上细化危害识别、暴露评价、风险表征、风险控制等核心环节，形成可落地的技术要求。三是强化与</w:t>
      </w:r>
      <w:proofErr w:type="gramStart"/>
      <w:r>
        <w:t>前端管</w:t>
      </w:r>
      <w:proofErr w:type="gramEnd"/>
      <w:r>
        <w:t>控闭环衔接，要求环境风险评估同步明确回填物料入场污染物控制要求、风险防控措施及长期监测方案，提升评估成果对工程实践的指导效能</w:t>
      </w:r>
      <w:r>
        <w:rPr>
          <w:rFonts w:hint="eastAsia"/>
        </w:rPr>
        <w:t>。</w:t>
      </w:r>
    </w:p>
    <w:p w14:paraId="117BA95C" w14:textId="77777777" w:rsidR="00595FD3" w:rsidRDefault="00000000">
      <w:pPr>
        <w:pStyle w:val="aff"/>
        <w:numPr>
          <w:ilvl w:val="0"/>
          <w:numId w:val="4"/>
        </w:numPr>
        <w:ind w:left="0" w:firstLine="480"/>
        <w:rPr>
          <w:rFonts w:cs="Times New Roman"/>
          <w:szCs w:val="32"/>
        </w:rPr>
      </w:pPr>
      <w:bookmarkStart w:id="15" w:name="_Toc215652575"/>
      <w:r>
        <w:t>完善回填利用全链条环境保护技术要求</w:t>
      </w:r>
      <w:bookmarkEnd w:id="15"/>
    </w:p>
    <w:p w14:paraId="501CE0C6" w14:textId="77777777" w:rsidR="00595FD3" w:rsidRDefault="00000000">
      <w:pPr>
        <w:ind w:firstLine="480"/>
      </w:pPr>
      <w:r>
        <w:rPr>
          <w:rFonts w:hint="eastAsia"/>
        </w:rPr>
        <w:t>固废回填利用涉及自然资源、农业、林业等多领域多部门，</w:t>
      </w:r>
      <w:r>
        <w:t>现行标准体系需</w:t>
      </w:r>
      <w:r>
        <w:lastRenderedPageBreak/>
        <w:t>进一步强化统筹衔接，提升系统性、管控流程完整性与落地执行效果。一是进一步完善关键管控环节，在</w:t>
      </w:r>
      <w:r>
        <w:t>GB 18599</w:t>
      </w:r>
      <w:r>
        <w:t>提出的环境本底调查、风险评估基础上，</w:t>
      </w:r>
      <w:r>
        <w:rPr>
          <w:rFonts w:hint="eastAsia"/>
        </w:rPr>
        <w:t>补充完善</w:t>
      </w:r>
      <w:r>
        <w:t>回填选址、工程设计、施工作业等核心环节的技术要求，强化标准的指导性与可操作性；二是优化专项标准适配性，针对《钛石膏综合利用技术规范》（</w:t>
      </w:r>
      <w:r>
        <w:t>GB/T 32134—2015</w:t>
      </w:r>
      <w:r>
        <w:t>）、《矿山修复用钢渣应用技术规范》（</w:t>
      </w:r>
      <w:r>
        <w:t>GB/T 38118—2019</w:t>
      </w:r>
      <w:r>
        <w:t>）等专项标准，结合重庆本地地形地貌与生态环境特点，整合优化相关技术要求，确保与整体管控体系衔接统一；三是聚焦地形重构、</w:t>
      </w:r>
      <w:r>
        <w:rPr>
          <w:rFonts w:hint="eastAsia"/>
        </w:rPr>
        <w:t>土地平整</w:t>
      </w:r>
      <w:r>
        <w:t>等回填场景，系统梳理现有标准条款，归并优化技术要求，形成覆盖选址、</w:t>
      </w:r>
      <w:r>
        <w:rPr>
          <w:rFonts w:hint="eastAsia"/>
        </w:rPr>
        <w:t>调查、评估、</w:t>
      </w:r>
      <w:r>
        <w:t>施工、</w:t>
      </w:r>
      <w:proofErr w:type="gramStart"/>
      <w:r>
        <w:t>管护全</w:t>
      </w:r>
      <w:proofErr w:type="gramEnd"/>
      <w:r>
        <w:t>流程的标准化规范，进一步提升标准的系统性与适配性</w:t>
      </w:r>
      <w:r>
        <w:rPr>
          <w:rFonts w:hint="eastAsia"/>
        </w:rPr>
        <w:t>。</w:t>
      </w:r>
    </w:p>
    <w:p w14:paraId="7EE7E82A" w14:textId="77777777" w:rsidR="00595FD3" w:rsidRDefault="00000000">
      <w:pPr>
        <w:ind w:firstLine="480"/>
      </w:pPr>
      <w:r>
        <w:t>综上所述，编制</w:t>
      </w:r>
      <w:r>
        <w:rPr>
          <w:rFonts w:hint="eastAsia"/>
        </w:rPr>
        <w:t>地方标准</w:t>
      </w:r>
      <w:r>
        <w:t>《</w:t>
      </w:r>
      <w:r>
        <w:rPr>
          <w:rFonts w:cs="Times New Roman"/>
        </w:rPr>
        <w:t>重庆市典型一般工业固体废物回填利用环境保护技术规范</w:t>
      </w:r>
      <w:r>
        <w:t>》，既是响应国家及地方固废综合利用政策目标的必然要求，也是破解当前标准短板、解决重庆本地固废处置难题的现实需要。</w:t>
      </w:r>
    </w:p>
    <w:p w14:paraId="21C2841A" w14:textId="77777777" w:rsidR="00595FD3" w:rsidRDefault="00000000">
      <w:pPr>
        <w:pStyle w:val="2"/>
      </w:pPr>
      <w:bookmarkStart w:id="16" w:name="_Toc230073409"/>
      <w:r>
        <w:t>工作过程</w:t>
      </w:r>
      <w:bookmarkEnd w:id="16"/>
    </w:p>
    <w:p w14:paraId="3E52A233" w14:textId="77777777" w:rsidR="00595FD3" w:rsidRDefault="00000000">
      <w:pPr>
        <w:ind w:firstLine="480"/>
        <w:rPr>
          <w:rFonts w:cs="Times New Roman"/>
        </w:rPr>
      </w:pPr>
      <w:bookmarkStart w:id="17" w:name="_Hlk201157660"/>
      <w:r>
        <w:rPr>
          <w:rFonts w:cs="Times New Roman"/>
        </w:rPr>
        <w:t>（</w:t>
      </w:r>
      <w:r>
        <w:rPr>
          <w:rFonts w:cs="Times New Roman"/>
        </w:rPr>
        <w:t>1</w:t>
      </w:r>
      <w:r>
        <w:rPr>
          <w:rFonts w:cs="Times New Roman"/>
        </w:rPr>
        <w:t>）</w:t>
      </w:r>
      <w:r>
        <w:rPr>
          <w:rFonts w:cs="Times New Roman" w:hint="eastAsia"/>
        </w:rPr>
        <w:t>立项阶段</w:t>
      </w:r>
    </w:p>
    <w:p w14:paraId="032566AF" w14:textId="77777777" w:rsidR="00595FD3" w:rsidRDefault="00000000">
      <w:pPr>
        <w:ind w:firstLine="480"/>
        <w:rPr>
          <w:rFonts w:cs="Times New Roman"/>
        </w:rPr>
      </w:pPr>
      <w:r>
        <w:t>2025</w:t>
      </w:r>
      <w:r>
        <w:t>年</w:t>
      </w:r>
      <w:r>
        <w:t>4</w:t>
      </w:r>
      <w:r>
        <w:t>月</w:t>
      </w:r>
      <w:r>
        <w:rPr>
          <w:rFonts w:hint="eastAsia"/>
        </w:rPr>
        <w:t>，</w:t>
      </w:r>
      <w:r>
        <w:rPr>
          <w:rFonts w:cs="Times New Roman" w:hint="eastAsia"/>
        </w:rPr>
        <w:t>《</w:t>
      </w:r>
      <w:r>
        <w:rPr>
          <w:color w:val="000000"/>
          <w:kern w:val="0"/>
          <w:szCs w:val="21"/>
          <w:lang w:bidi="ar"/>
        </w:rPr>
        <w:t>一般工业固体废物用于回填和生态修复技术规范</w:t>
      </w:r>
      <w:r>
        <w:rPr>
          <w:rFonts w:cs="Times New Roman" w:hint="eastAsia"/>
        </w:rPr>
        <w:t>》</w:t>
      </w:r>
      <w:r>
        <w:rPr>
          <w:rFonts w:hint="eastAsia"/>
        </w:rPr>
        <w:t>纳入地方标准计划</w:t>
      </w:r>
      <w:r>
        <w:t>（</w:t>
      </w:r>
      <w:proofErr w:type="gramStart"/>
      <w:r>
        <w:t>渝市监发</w:t>
      </w:r>
      <w:proofErr w:type="gramEnd"/>
      <w:r>
        <w:t>〔</w:t>
      </w:r>
      <w:r>
        <w:t>2025</w:t>
      </w:r>
      <w:r>
        <w:t>〕</w:t>
      </w:r>
      <w:r>
        <w:t>43</w:t>
      </w:r>
      <w:r>
        <w:t>号），</w:t>
      </w:r>
      <w:r>
        <w:rPr>
          <w:rFonts w:hint="eastAsia"/>
        </w:rPr>
        <w:t>市生态环境科学研究院</w:t>
      </w:r>
      <w:r>
        <w:t>成立技术规范编制工作组，确定参编单位及人员名单。</w:t>
      </w:r>
    </w:p>
    <w:p w14:paraId="4CE0E71E" w14:textId="77777777" w:rsidR="00595FD3" w:rsidRDefault="00000000">
      <w:pPr>
        <w:ind w:firstLine="480"/>
        <w:rPr>
          <w:rFonts w:cs="Times New Roman"/>
        </w:rPr>
      </w:pPr>
      <w:r>
        <w:rPr>
          <w:rFonts w:cs="Times New Roman" w:hint="eastAsia"/>
        </w:rPr>
        <w:t>（</w:t>
      </w:r>
      <w:r>
        <w:rPr>
          <w:rFonts w:cs="Times New Roman" w:hint="eastAsia"/>
        </w:rPr>
        <w:t>2</w:t>
      </w:r>
      <w:r>
        <w:rPr>
          <w:rFonts w:cs="Times New Roman" w:hint="eastAsia"/>
        </w:rPr>
        <w:t>）调研</w:t>
      </w:r>
      <w:r>
        <w:rPr>
          <w:rFonts w:cs="Times New Roman"/>
        </w:rPr>
        <w:t>研究阶段</w:t>
      </w:r>
    </w:p>
    <w:p w14:paraId="6B0F55CC" w14:textId="77777777" w:rsidR="00595FD3" w:rsidRDefault="00000000">
      <w:pPr>
        <w:ind w:firstLine="480"/>
        <w:rPr>
          <w:rFonts w:cs="Times New Roman"/>
        </w:rPr>
      </w:pPr>
      <w:r>
        <w:t>2025</w:t>
      </w:r>
      <w:r>
        <w:t>年</w:t>
      </w:r>
      <w:r>
        <w:rPr>
          <w:rFonts w:hint="eastAsia"/>
        </w:rPr>
        <w:t>5</w:t>
      </w:r>
      <w:r>
        <w:t>月</w:t>
      </w:r>
      <w:r>
        <w:rPr>
          <w:rFonts w:hint="eastAsia"/>
        </w:rPr>
        <w:t>，</w:t>
      </w:r>
      <w:r>
        <w:rPr>
          <w:rFonts w:cs="Times New Roman"/>
        </w:rPr>
        <w:t>根据任务要求，开展国内外一般工业固体废物用于回填和生态修复的各类规范、标准、指南等资料的收集、整理和分析工作，系统梳理一般工业固体废物回填和生态修复过程的环境风险评估以及污染控制技术的国内外现状与发展趋势。开展大宗工业固体废物矿坑、矿井回填及生态修复研究；在綦江、涪陵、南川等地区开展了前期工程现场调研，了解我市一般工业固废现状问题、企业与管理部门等需求，组织召开工业固废综合利用及生态修复座谈会。</w:t>
      </w:r>
    </w:p>
    <w:p w14:paraId="465B532B" w14:textId="77777777" w:rsidR="00595FD3" w:rsidRDefault="00000000">
      <w:pPr>
        <w:ind w:firstLine="480"/>
        <w:rPr>
          <w:rFonts w:cs="Times New Roman"/>
        </w:rPr>
      </w:pPr>
      <w:r>
        <w:rPr>
          <w:rFonts w:cs="Times New Roman"/>
        </w:rPr>
        <w:t>（</w:t>
      </w:r>
      <w:r>
        <w:rPr>
          <w:rFonts w:cs="Times New Roman" w:hint="eastAsia"/>
        </w:rPr>
        <w:t>3</w:t>
      </w:r>
      <w:r>
        <w:rPr>
          <w:rFonts w:cs="Times New Roman"/>
        </w:rPr>
        <w:t>）</w:t>
      </w:r>
      <w:r>
        <w:rPr>
          <w:rFonts w:cs="Times New Roman" w:hint="eastAsia"/>
        </w:rPr>
        <w:t>开题论证</w:t>
      </w:r>
    </w:p>
    <w:p w14:paraId="38926D5E" w14:textId="77777777" w:rsidR="00595FD3" w:rsidRDefault="00000000">
      <w:pPr>
        <w:ind w:firstLine="480"/>
        <w:rPr>
          <w:rFonts w:cs="Times New Roman"/>
        </w:rPr>
      </w:pPr>
      <w:r>
        <w:rPr>
          <w:rFonts w:cs="Times New Roman"/>
        </w:rPr>
        <w:t>2025</w:t>
      </w:r>
      <w:r>
        <w:rPr>
          <w:rFonts w:cs="Times New Roman"/>
        </w:rPr>
        <w:t>年</w:t>
      </w:r>
      <w:r>
        <w:rPr>
          <w:rFonts w:cs="Times New Roman"/>
        </w:rPr>
        <w:t>6</w:t>
      </w:r>
      <w:r>
        <w:rPr>
          <w:rFonts w:cs="Times New Roman"/>
        </w:rPr>
        <w:t>月，起草并确立标准大纲</w:t>
      </w:r>
      <w:r>
        <w:rPr>
          <w:rFonts w:cs="Times New Roman" w:hint="eastAsia"/>
        </w:rPr>
        <w:t>。</w:t>
      </w:r>
      <w:r>
        <w:rPr>
          <w:rFonts w:cs="Times New Roman"/>
        </w:rPr>
        <w:t>重庆市生态环境局主持召开地方标准</w:t>
      </w:r>
      <w:r>
        <w:rPr>
          <w:rFonts w:cs="Times New Roman"/>
        </w:rPr>
        <w:lastRenderedPageBreak/>
        <w:t>开题论证会，专家组对标准文本讨论稿从政策法规、环保、国土空间规划以及标准格式、文字表述、相关指标要求等内容进行严格审核，并建议</w:t>
      </w:r>
      <w:r>
        <w:rPr>
          <w:rFonts w:cs="Times New Roman" w:hint="eastAsia"/>
        </w:rPr>
        <w:t>地方标准</w:t>
      </w:r>
      <w:r>
        <w:rPr>
          <w:rFonts w:cs="Times New Roman"/>
        </w:rPr>
        <w:t>改名为《一般工业固体废物回填</w:t>
      </w:r>
      <w:r>
        <w:rPr>
          <w:rFonts w:cs="Times New Roman" w:hint="eastAsia"/>
        </w:rPr>
        <w:t>利用环境保护</w:t>
      </w:r>
      <w:r>
        <w:rPr>
          <w:rFonts w:cs="Times New Roman"/>
        </w:rPr>
        <w:t>技术规范》。</w:t>
      </w:r>
    </w:p>
    <w:p w14:paraId="647A7355" w14:textId="77777777" w:rsidR="00595FD3" w:rsidRDefault="00000000">
      <w:pPr>
        <w:ind w:firstLine="480"/>
        <w:rPr>
          <w:rFonts w:cs="Times New Roman"/>
        </w:rPr>
      </w:pPr>
      <w:r>
        <w:rPr>
          <w:rFonts w:cs="Times New Roman"/>
        </w:rPr>
        <w:t>（</w:t>
      </w:r>
      <w:r>
        <w:rPr>
          <w:rFonts w:cs="Times New Roman"/>
        </w:rPr>
        <w:t>3</w:t>
      </w:r>
      <w:r>
        <w:rPr>
          <w:rFonts w:cs="Times New Roman"/>
        </w:rPr>
        <w:t>）规范起草阶段</w:t>
      </w:r>
    </w:p>
    <w:p w14:paraId="48A768F5" w14:textId="77777777" w:rsidR="00595FD3" w:rsidRDefault="00000000">
      <w:pPr>
        <w:ind w:firstLine="480"/>
        <w:rPr>
          <w:rFonts w:cs="Times New Roman"/>
        </w:rPr>
      </w:pPr>
      <w:r>
        <w:rPr>
          <w:rFonts w:cs="Times New Roman"/>
        </w:rPr>
        <w:t>2025</w:t>
      </w:r>
      <w:r>
        <w:rPr>
          <w:rFonts w:cs="Times New Roman"/>
        </w:rPr>
        <w:t>年</w:t>
      </w:r>
      <w:r>
        <w:rPr>
          <w:rFonts w:cs="Times New Roman"/>
        </w:rPr>
        <w:t>6</w:t>
      </w:r>
      <w:r>
        <w:rPr>
          <w:rFonts w:cs="Times New Roman"/>
        </w:rPr>
        <w:t>月</w:t>
      </w:r>
      <w:r>
        <w:rPr>
          <w:rFonts w:cs="Times New Roman" w:hint="eastAsia"/>
        </w:rPr>
        <w:t>—</w:t>
      </w:r>
      <w:r>
        <w:rPr>
          <w:rFonts w:cs="Times New Roman" w:hint="eastAsia"/>
        </w:rPr>
        <w:t>2025</w:t>
      </w:r>
      <w:r>
        <w:rPr>
          <w:rFonts w:cs="Times New Roman" w:hint="eastAsia"/>
        </w:rPr>
        <w:t>年</w:t>
      </w:r>
      <w:r>
        <w:rPr>
          <w:rFonts w:cs="Times New Roman" w:hint="eastAsia"/>
        </w:rPr>
        <w:t>10</w:t>
      </w:r>
      <w:r>
        <w:rPr>
          <w:rFonts w:cs="Times New Roman" w:hint="eastAsia"/>
        </w:rPr>
        <w:t>月，</w:t>
      </w:r>
      <w:r>
        <w:rPr>
          <w:rFonts w:cs="Times New Roman"/>
        </w:rPr>
        <w:t>召开标准制定工作启动会，将项目的立项背景以及项目的主要任务和目标进行了说明，确定标准编写的总体思路，合理设计技术规范的章节结构，梳理规范性引用文件目录，明确各项条款的指导性内容，形成《一般工业固体废物回填</w:t>
      </w:r>
      <w:r>
        <w:rPr>
          <w:rFonts w:cs="Times New Roman" w:hint="eastAsia"/>
        </w:rPr>
        <w:t>利用环境保护</w:t>
      </w:r>
      <w:r>
        <w:rPr>
          <w:rFonts w:cs="Times New Roman"/>
        </w:rPr>
        <w:t>技术规范》（初稿）。</w:t>
      </w:r>
    </w:p>
    <w:bookmarkEnd w:id="17"/>
    <w:p w14:paraId="59725A1E" w14:textId="77777777" w:rsidR="00595FD3" w:rsidRDefault="00000000">
      <w:pPr>
        <w:ind w:firstLine="480"/>
        <w:rPr>
          <w:rFonts w:cs="Times New Roman"/>
        </w:rPr>
      </w:pPr>
      <w:r>
        <w:rPr>
          <w:rFonts w:cs="Times New Roman" w:hint="eastAsia"/>
        </w:rPr>
        <w:t>（</w:t>
      </w:r>
      <w:r>
        <w:rPr>
          <w:rFonts w:cs="Times New Roman" w:hint="eastAsia"/>
        </w:rPr>
        <w:t>5</w:t>
      </w:r>
      <w:r>
        <w:rPr>
          <w:rFonts w:cs="Times New Roman" w:hint="eastAsia"/>
        </w:rPr>
        <w:t>）专家咨询论证</w:t>
      </w:r>
    </w:p>
    <w:p w14:paraId="12F805F2" w14:textId="77777777" w:rsidR="00595FD3" w:rsidRDefault="00000000">
      <w:pPr>
        <w:ind w:firstLine="480"/>
        <w:rPr>
          <w:rFonts w:cs="Times New Roman"/>
        </w:rPr>
      </w:pPr>
      <w:r>
        <w:rPr>
          <w:rFonts w:cs="Times New Roman" w:hint="eastAsia"/>
        </w:rPr>
        <w:t>2025</w:t>
      </w:r>
      <w:r>
        <w:rPr>
          <w:rFonts w:cs="Times New Roman" w:hint="eastAsia"/>
        </w:rPr>
        <w:t>年</w:t>
      </w:r>
      <w:r>
        <w:rPr>
          <w:rFonts w:cs="Times New Roman" w:hint="eastAsia"/>
        </w:rPr>
        <w:t>10</w:t>
      </w:r>
      <w:r>
        <w:rPr>
          <w:rFonts w:cs="Times New Roman" w:hint="eastAsia"/>
        </w:rPr>
        <w:t>月—</w:t>
      </w:r>
      <w:r>
        <w:rPr>
          <w:rFonts w:cs="Times New Roman" w:hint="eastAsia"/>
        </w:rPr>
        <w:t>2026</w:t>
      </w:r>
      <w:r>
        <w:rPr>
          <w:rFonts w:cs="Times New Roman" w:hint="eastAsia"/>
        </w:rPr>
        <w:t>年</w:t>
      </w:r>
      <w:r>
        <w:rPr>
          <w:rFonts w:cs="Times New Roman" w:hint="eastAsia"/>
        </w:rPr>
        <w:t>3</w:t>
      </w:r>
      <w:r>
        <w:rPr>
          <w:rFonts w:cs="Times New Roman" w:hint="eastAsia"/>
        </w:rPr>
        <w:t>月，</w:t>
      </w:r>
      <w:r>
        <w:rPr>
          <w:rFonts w:cs="Times New Roman"/>
        </w:rPr>
        <w:t>编制组</w:t>
      </w:r>
      <w:r>
        <w:rPr>
          <w:rFonts w:cs="Times New Roman" w:hint="eastAsia"/>
        </w:rPr>
        <w:t>多次邀请了国内、重庆市内专家咨询和讨论，</w:t>
      </w:r>
      <w:r>
        <w:rPr>
          <w:rFonts w:cs="Times New Roman"/>
        </w:rPr>
        <w:t>广泛征求</w:t>
      </w:r>
      <w:r>
        <w:rPr>
          <w:rFonts w:cs="Times New Roman" w:hint="eastAsia"/>
        </w:rPr>
        <w:t>管理部门和专家</w:t>
      </w:r>
      <w:r>
        <w:rPr>
          <w:rFonts w:cs="Times New Roman"/>
        </w:rPr>
        <w:t>意见，反复论证和研究所征求的意见并进行相应处理，修改完善技术规范内容，形成了</w:t>
      </w:r>
      <w:r>
        <w:rPr>
          <w:rFonts w:cs="Times New Roman" w:hint="eastAsia"/>
        </w:rPr>
        <w:t>征求意见稿。</w:t>
      </w:r>
      <w:r>
        <w:rPr>
          <w:rFonts w:cs="Times New Roman" w:hint="eastAsia"/>
        </w:rPr>
        <w:t>2026</w:t>
      </w:r>
      <w:r>
        <w:rPr>
          <w:rFonts w:cs="Times New Roman" w:hint="eastAsia"/>
        </w:rPr>
        <w:t>年</w:t>
      </w:r>
      <w:r>
        <w:rPr>
          <w:rFonts w:cs="Times New Roman" w:hint="eastAsia"/>
        </w:rPr>
        <w:t>5</w:t>
      </w:r>
      <w:r>
        <w:rPr>
          <w:rFonts w:cs="Times New Roman" w:hint="eastAsia"/>
        </w:rPr>
        <w:t>月，重庆市生态环境局组织召开本标准征求意见</w:t>
      </w:r>
      <w:proofErr w:type="gramStart"/>
      <w:r>
        <w:rPr>
          <w:rFonts w:cs="Times New Roman" w:hint="eastAsia"/>
        </w:rPr>
        <w:t>稿技术</w:t>
      </w:r>
      <w:proofErr w:type="gramEnd"/>
      <w:r>
        <w:rPr>
          <w:rFonts w:cs="Times New Roman" w:hint="eastAsia"/>
        </w:rPr>
        <w:t>审查会，会后根据专家组意见形成</w:t>
      </w:r>
      <w:r>
        <w:rPr>
          <w:rFonts w:cs="Times New Roman"/>
        </w:rPr>
        <w:t>《重庆市典型一般工业固体废物回填利用环境保护技术规范》</w:t>
      </w:r>
      <w:r>
        <w:rPr>
          <w:rFonts w:cs="Times New Roman" w:hint="eastAsia"/>
        </w:rPr>
        <w:t>（征求意见稿）。</w:t>
      </w:r>
    </w:p>
    <w:p w14:paraId="5008CE9C" w14:textId="77777777" w:rsidR="00595FD3" w:rsidRDefault="00000000">
      <w:pPr>
        <w:pStyle w:val="1"/>
        <w:spacing w:after="0"/>
      </w:pPr>
      <w:bookmarkStart w:id="18" w:name="_Toc230073410"/>
      <w:bookmarkStart w:id="19" w:name="_Toc230073411"/>
      <w:bookmarkEnd w:id="18"/>
      <w:r>
        <w:t>编制原则与技术路线</w:t>
      </w:r>
      <w:bookmarkEnd w:id="19"/>
    </w:p>
    <w:p w14:paraId="7CEB0B43" w14:textId="77777777" w:rsidR="00595FD3" w:rsidRDefault="00000000">
      <w:pPr>
        <w:pStyle w:val="2"/>
      </w:pPr>
      <w:bookmarkStart w:id="20" w:name="_Toc230073412"/>
      <w:r>
        <w:t>编制原则</w:t>
      </w:r>
      <w:bookmarkEnd w:id="20"/>
    </w:p>
    <w:p w14:paraId="601C0C50" w14:textId="77777777" w:rsidR="00595FD3" w:rsidRDefault="00000000">
      <w:pPr>
        <w:ind w:firstLine="482"/>
        <w:rPr>
          <w:rFonts w:cs="Times New Roman"/>
        </w:rPr>
      </w:pPr>
      <w:r>
        <w:rPr>
          <w:rFonts w:cs="Times New Roman"/>
          <w:b/>
          <w:bCs/>
        </w:rPr>
        <w:t>需求导向，科学回填。</w:t>
      </w:r>
      <w:r>
        <w:rPr>
          <w:rFonts w:cs="Times New Roman"/>
        </w:rPr>
        <w:t>以满足土地资源利用开发需求和改善生态环境为核心目标，充分考虑区域地质条件和环境敏感性及生态承载力等因素，结合</w:t>
      </w:r>
      <w:r>
        <w:rPr>
          <w:rFonts w:cs="Times New Roman" w:hint="eastAsia"/>
        </w:rPr>
        <w:t>一般</w:t>
      </w:r>
      <w:r>
        <w:rPr>
          <w:rFonts w:cs="Times New Roman"/>
        </w:rPr>
        <w:t>工业固体废物利用量和污染特性，科学合理制定回填利用方案，确保资源的高效利用和环境的安全保护，因地制宜开展回填利用，提高工作的科学性和针对性。</w:t>
      </w:r>
    </w:p>
    <w:p w14:paraId="2F114662" w14:textId="77777777" w:rsidR="00595FD3" w:rsidRDefault="00000000">
      <w:pPr>
        <w:ind w:firstLine="482"/>
        <w:rPr>
          <w:rFonts w:cs="Times New Roman"/>
        </w:rPr>
      </w:pPr>
      <w:r>
        <w:rPr>
          <w:rFonts w:cs="Times New Roman"/>
          <w:b/>
          <w:bCs/>
        </w:rPr>
        <w:t>风险可控，先进适用。</w:t>
      </w:r>
      <w:r>
        <w:rPr>
          <w:rFonts w:cs="Times New Roman"/>
        </w:rPr>
        <w:t>通过全面的环境本底调查和风险评估，识别回填物料的污染特征及潜在环境影响，提出科学合理的污染控制、风险防范措施，保障回填过程中的环境风险水平可接受。结合目前我国生态修复与污染物控制的先进技术、管理水平的发展趋势，充分借鉴国内一般工业固体废物回填的实际应用经验，提出符合重庆市</w:t>
      </w:r>
      <w:r>
        <w:rPr>
          <w:rFonts w:cs="Times New Roman" w:hint="eastAsia"/>
        </w:rPr>
        <w:t>一般</w:t>
      </w:r>
      <w:r>
        <w:rPr>
          <w:rFonts w:cs="Times New Roman"/>
        </w:rPr>
        <w:t>工业固体废物用于回填的技术方法，规范指导回填活动的实施，推动资源的高效利用与生态环境的持续改善，实现经济效益与生态效益的有</w:t>
      </w:r>
      <w:r>
        <w:rPr>
          <w:rFonts w:cs="Times New Roman"/>
        </w:rPr>
        <w:lastRenderedPageBreak/>
        <w:t>机统一。</w:t>
      </w:r>
    </w:p>
    <w:p w14:paraId="44C5F7F7" w14:textId="77777777" w:rsidR="00595FD3" w:rsidRDefault="00000000">
      <w:pPr>
        <w:ind w:firstLine="482"/>
        <w:rPr>
          <w:rFonts w:cs="Times New Roman"/>
        </w:rPr>
      </w:pPr>
      <w:r>
        <w:rPr>
          <w:rFonts w:cs="Times New Roman" w:hint="eastAsia"/>
          <w:b/>
          <w:bCs/>
        </w:rPr>
        <w:t>统筹衔接，协调统一。</w:t>
      </w:r>
      <w:r>
        <w:rPr>
          <w:rFonts w:cs="Times New Roman"/>
        </w:rPr>
        <w:t>立足重庆市喀斯特地貌、山地丘陵为主的地域特征与产业固</w:t>
      </w:r>
      <w:proofErr w:type="gramStart"/>
      <w:r>
        <w:rPr>
          <w:rFonts w:cs="Times New Roman"/>
        </w:rPr>
        <w:t>废产排</w:t>
      </w:r>
      <w:proofErr w:type="gramEnd"/>
      <w:r>
        <w:rPr>
          <w:rFonts w:cs="Times New Roman"/>
        </w:rPr>
        <w:t>特点，统筹衔接国家、行业现行标准规范及地方生态环境管控要求，覆盖回填选址、物料准入、风险评估、工程实施、后期</w:t>
      </w:r>
      <w:proofErr w:type="gramStart"/>
      <w:r>
        <w:rPr>
          <w:rFonts w:cs="Times New Roman"/>
        </w:rPr>
        <w:t>管护全</w:t>
      </w:r>
      <w:proofErr w:type="gramEnd"/>
      <w:r>
        <w:rPr>
          <w:rFonts w:cs="Times New Roman"/>
        </w:rPr>
        <w:t>流程关键环节，构建系统完整、协调统一的技术管控体系，保障标准适用的整体性与</w:t>
      </w:r>
      <w:r>
        <w:rPr>
          <w:rFonts w:cs="Times New Roman" w:hint="eastAsia"/>
        </w:rPr>
        <w:t>全面</w:t>
      </w:r>
      <w:r>
        <w:rPr>
          <w:rFonts w:cs="Times New Roman"/>
        </w:rPr>
        <w:t>性</w:t>
      </w:r>
      <w:r>
        <w:rPr>
          <w:rFonts w:cs="Times New Roman" w:hint="eastAsia"/>
        </w:rPr>
        <w:t>。</w:t>
      </w:r>
    </w:p>
    <w:p w14:paraId="79C69AD0" w14:textId="77777777" w:rsidR="00595FD3" w:rsidRDefault="00000000">
      <w:pPr>
        <w:pStyle w:val="2"/>
      </w:pPr>
      <w:bookmarkStart w:id="21" w:name="_Toc230073413"/>
      <w:r>
        <w:t>技术路线</w:t>
      </w:r>
      <w:bookmarkEnd w:id="21"/>
    </w:p>
    <w:p w14:paraId="532E26D5" w14:textId="77777777" w:rsidR="00595FD3" w:rsidRDefault="00000000">
      <w:pPr>
        <w:ind w:firstLineChars="0" w:firstLine="0"/>
        <w:jc w:val="center"/>
        <w:rPr>
          <w:rFonts w:cs="Times New Roman"/>
        </w:rPr>
      </w:pPr>
      <w:r>
        <w:rPr>
          <w:noProof/>
        </w:rPr>
        <w:drawing>
          <wp:inline distT="0" distB="0" distL="0" distR="0" wp14:anchorId="074C66EF" wp14:editId="19158C29">
            <wp:extent cx="4046220" cy="4796790"/>
            <wp:effectExtent l="0" t="0" r="0" b="3810"/>
            <wp:docPr id="3734582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58255"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60187" cy="4813467"/>
                    </a:xfrm>
                    <a:prstGeom prst="rect">
                      <a:avLst/>
                    </a:prstGeom>
                    <a:noFill/>
                    <a:ln>
                      <a:noFill/>
                    </a:ln>
                  </pic:spPr>
                </pic:pic>
              </a:graphicData>
            </a:graphic>
          </wp:inline>
        </w:drawing>
      </w:r>
    </w:p>
    <w:p w14:paraId="2C948A3A" w14:textId="77777777" w:rsidR="00595FD3" w:rsidRDefault="00000000">
      <w:pPr>
        <w:pStyle w:val="6"/>
        <w:spacing w:afterLines="0" w:after="0"/>
      </w:pPr>
      <w:r>
        <w:t>技术路线</w:t>
      </w:r>
    </w:p>
    <w:p w14:paraId="5987AC89" w14:textId="77777777" w:rsidR="00595FD3" w:rsidRDefault="00000000">
      <w:pPr>
        <w:pStyle w:val="1"/>
        <w:spacing w:after="0"/>
      </w:pPr>
      <w:bookmarkStart w:id="22" w:name="_Toc230073414"/>
      <w:r>
        <w:t>国内相关标准</w:t>
      </w:r>
      <w:r>
        <w:rPr>
          <w:rFonts w:hint="eastAsia"/>
        </w:rPr>
        <w:t>对比</w:t>
      </w:r>
      <w:r>
        <w:t>情况</w:t>
      </w:r>
      <w:bookmarkEnd w:id="22"/>
    </w:p>
    <w:p w14:paraId="44F2D8F7" w14:textId="77777777" w:rsidR="00595FD3" w:rsidRDefault="00000000">
      <w:pPr>
        <w:pStyle w:val="2"/>
      </w:pPr>
      <w:bookmarkStart w:id="23" w:name="_Toc230073415"/>
      <w:r>
        <w:t>国家标准</w:t>
      </w:r>
      <w:bookmarkEnd w:id="23"/>
    </w:p>
    <w:p w14:paraId="337A435D" w14:textId="77777777" w:rsidR="00595FD3" w:rsidRDefault="00000000">
      <w:pPr>
        <w:ind w:firstLine="480"/>
      </w:pPr>
      <w:r>
        <w:rPr>
          <w:rFonts w:hint="eastAsia"/>
        </w:rPr>
        <w:t>目前，我国已发布的一般工业固体废物回填相关国家技术标准共</w:t>
      </w:r>
      <w:r>
        <w:rPr>
          <w:rFonts w:hint="eastAsia"/>
        </w:rPr>
        <w:t>3</w:t>
      </w:r>
      <w:r>
        <w:rPr>
          <w:rFonts w:hint="eastAsia"/>
        </w:rPr>
        <w:t>项，分别为《一般工业固体废物贮存和填埋污染控制标准》（</w:t>
      </w:r>
      <w:r>
        <w:rPr>
          <w:rFonts w:hint="eastAsia"/>
        </w:rPr>
        <w:t>GB 18599</w:t>
      </w:r>
      <w:r>
        <w:rPr>
          <w:rFonts w:hint="eastAsia"/>
        </w:rPr>
        <w:t>—</w:t>
      </w:r>
      <w:r>
        <w:rPr>
          <w:rFonts w:hint="eastAsia"/>
        </w:rPr>
        <w:t>2020</w:t>
      </w:r>
      <w:r>
        <w:rPr>
          <w:rFonts w:hint="eastAsia"/>
        </w:rPr>
        <w:t>）、《钛石</w:t>
      </w:r>
      <w:r>
        <w:rPr>
          <w:rFonts w:hint="eastAsia"/>
        </w:rPr>
        <w:lastRenderedPageBreak/>
        <w:t>膏综合利用技术规范》（</w:t>
      </w:r>
      <w:r>
        <w:rPr>
          <w:rFonts w:hint="eastAsia"/>
        </w:rPr>
        <w:t>GB/T 45015</w:t>
      </w:r>
      <w:r>
        <w:rPr>
          <w:rFonts w:hint="eastAsia"/>
        </w:rPr>
        <w:t>—</w:t>
      </w:r>
      <w:r>
        <w:rPr>
          <w:rFonts w:hint="eastAsia"/>
        </w:rPr>
        <w:t>2024</w:t>
      </w:r>
      <w:r>
        <w:rPr>
          <w:rFonts w:hint="eastAsia"/>
        </w:rPr>
        <w:t>）、《煤矸石回填塌陷区复垦技术规程》（</w:t>
      </w:r>
      <w:r>
        <w:rPr>
          <w:rFonts w:hint="eastAsia"/>
        </w:rPr>
        <w:t>GB/T 45610</w:t>
      </w:r>
      <w:r>
        <w:rPr>
          <w:rFonts w:hint="eastAsia"/>
        </w:rPr>
        <w:t>—</w:t>
      </w:r>
      <w:r>
        <w:rPr>
          <w:rFonts w:hint="eastAsia"/>
        </w:rPr>
        <w:t>2025</w:t>
      </w:r>
      <w:r>
        <w:rPr>
          <w:rFonts w:hint="eastAsia"/>
        </w:rPr>
        <w:t>）《矿山修复回填用钢渣应用技术规范》（</w:t>
      </w:r>
      <w:r>
        <w:t>GB/T 47193-2026</w:t>
      </w:r>
      <w:r>
        <w:rPr>
          <w:rFonts w:hint="eastAsia"/>
        </w:rPr>
        <w:t>）；另有</w:t>
      </w:r>
      <w:r>
        <w:rPr>
          <w:rFonts w:hint="eastAsia"/>
        </w:rPr>
        <w:t>1</w:t>
      </w:r>
      <w:r>
        <w:rPr>
          <w:rFonts w:hint="eastAsia"/>
        </w:rPr>
        <w:t>项处于征求意见阶段，即《煤化工气化渣污染控制标准》（征求意见稿）。</w:t>
      </w:r>
    </w:p>
    <w:p w14:paraId="74771322" w14:textId="77777777" w:rsidR="00595FD3" w:rsidRDefault="00000000">
      <w:pPr>
        <w:pStyle w:val="5"/>
        <w:contextualSpacing/>
      </w:pPr>
      <w:r>
        <w:t>一般工业固体废物回填</w:t>
      </w:r>
      <w:r>
        <w:rPr>
          <w:rFonts w:hint="eastAsia"/>
        </w:rPr>
        <w:t>利用</w:t>
      </w:r>
      <w:r>
        <w:t>有关国家</w:t>
      </w:r>
      <w:r>
        <w:rPr>
          <w:rFonts w:hint="eastAsia"/>
        </w:rPr>
        <w:t>标准</w:t>
      </w:r>
    </w:p>
    <w:tbl>
      <w:tblPr>
        <w:tblStyle w:val="afa"/>
        <w:tblW w:w="5000" w:type="pct"/>
        <w:jc w:val="center"/>
        <w:tblLayout w:type="fixed"/>
        <w:tblLook w:val="04A0" w:firstRow="1" w:lastRow="0" w:firstColumn="1" w:lastColumn="0" w:noHBand="0" w:noVBand="1"/>
      </w:tblPr>
      <w:tblGrid>
        <w:gridCol w:w="661"/>
        <w:gridCol w:w="1655"/>
        <w:gridCol w:w="1208"/>
        <w:gridCol w:w="4772"/>
      </w:tblGrid>
      <w:tr w:rsidR="00595FD3" w14:paraId="170C3E61" w14:textId="77777777">
        <w:trPr>
          <w:trHeight w:val="397"/>
          <w:tblHeader/>
          <w:jc w:val="center"/>
        </w:trPr>
        <w:tc>
          <w:tcPr>
            <w:tcW w:w="661" w:type="dxa"/>
            <w:vAlign w:val="center"/>
          </w:tcPr>
          <w:p w14:paraId="17260314"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序号</w:t>
            </w:r>
          </w:p>
        </w:tc>
        <w:tc>
          <w:tcPr>
            <w:tcW w:w="1655" w:type="dxa"/>
            <w:vAlign w:val="center"/>
          </w:tcPr>
          <w:p w14:paraId="2850D655"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时间</w:t>
            </w:r>
          </w:p>
        </w:tc>
        <w:tc>
          <w:tcPr>
            <w:tcW w:w="1208" w:type="dxa"/>
            <w:vAlign w:val="center"/>
          </w:tcPr>
          <w:p w14:paraId="403B39F8"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类型</w:t>
            </w:r>
          </w:p>
        </w:tc>
        <w:tc>
          <w:tcPr>
            <w:tcW w:w="4772" w:type="dxa"/>
            <w:vAlign w:val="center"/>
          </w:tcPr>
          <w:p w14:paraId="3B2BB6AF"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名称</w:t>
            </w:r>
          </w:p>
        </w:tc>
      </w:tr>
      <w:tr w:rsidR="00595FD3" w14:paraId="1516C2F4" w14:textId="77777777">
        <w:trPr>
          <w:trHeight w:val="397"/>
          <w:jc w:val="center"/>
        </w:trPr>
        <w:tc>
          <w:tcPr>
            <w:tcW w:w="661" w:type="dxa"/>
            <w:vAlign w:val="center"/>
          </w:tcPr>
          <w:p w14:paraId="4BC1CACE"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1</w:t>
            </w:r>
          </w:p>
        </w:tc>
        <w:tc>
          <w:tcPr>
            <w:tcW w:w="1655" w:type="dxa"/>
            <w:vAlign w:val="center"/>
          </w:tcPr>
          <w:p w14:paraId="648E2A2F"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2020</w:t>
            </w:r>
            <w:r>
              <w:rPr>
                <w:rFonts w:cs="Times New Roman" w:hint="eastAsia"/>
                <w:kern w:val="0"/>
                <w:sz w:val="21"/>
                <w:szCs w:val="21"/>
              </w:rPr>
              <w:t>年</w:t>
            </w:r>
            <w:r>
              <w:rPr>
                <w:rFonts w:cs="Times New Roman"/>
                <w:kern w:val="0"/>
                <w:sz w:val="21"/>
                <w:szCs w:val="21"/>
              </w:rPr>
              <w:t>12</w:t>
            </w:r>
            <w:r>
              <w:rPr>
                <w:rFonts w:cs="Times New Roman" w:hint="eastAsia"/>
                <w:kern w:val="0"/>
                <w:sz w:val="21"/>
                <w:szCs w:val="21"/>
              </w:rPr>
              <w:t>月</w:t>
            </w:r>
          </w:p>
        </w:tc>
        <w:tc>
          <w:tcPr>
            <w:tcW w:w="1208" w:type="dxa"/>
            <w:vAlign w:val="center"/>
          </w:tcPr>
          <w:p w14:paraId="3CF535C0"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国家标准</w:t>
            </w:r>
          </w:p>
        </w:tc>
        <w:tc>
          <w:tcPr>
            <w:tcW w:w="4772" w:type="dxa"/>
            <w:vAlign w:val="center"/>
          </w:tcPr>
          <w:p w14:paraId="261BD713" w14:textId="77777777" w:rsidR="00595FD3" w:rsidRDefault="00000000">
            <w:pPr>
              <w:spacing w:line="240" w:lineRule="auto"/>
              <w:ind w:firstLineChars="0" w:firstLine="0"/>
              <w:rPr>
                <w:rFonts w:cs="Times New Roman"/>
                <w:kern w:val="0"/>
                <w:sz w:val="21"/>
                <w:szCs w:val="21"/>
              </w:rPr>
            </w:pPr>
            <w:r>
              <w:rPr>
                <w:rFonts w:cs="Times New Roman" w:hint="eastAsia"/>
                <w:kern w:val="0"/>
                <w:sz w:val="21"/>
                <w:szCs w:val="21"/>
              </w:rPr>
              <w:t>《一般工业固体废物贮存和填埋污染控制标准》（</w:t>
            </w:r>
            <w:r>
              <w:rPr>
                <w:rFonts w:cs="Times New Roman"/>
                <w:kern w:val="0"/>
                <w:sz w:val="21"/>
                <w:szCs w:val="21"/>
              </w:rPr>
              <w:t>GB 18599</w:t>
            </w:r>
            <w:r>
              <w:rPr>
                <w:rFonts w:cs="Times New Roman" w:hint="eastAsia"/>
                <w:kern w:val="0"/>
                <w:sz w:val="21"/>
                <w:szCs w:val="21"/>
              </w:rPr>
              <w:t>—</w:t>
            </w:r>
            <w:r>
              <w:rPr>
                <w:rFonts w:cs="Times New Roman"/>
                <w:kern w:val="0"/>
                <w:sz w:val="21"/>
                <w:szCs w:val="21"/>
              </w:rPr>
              <w:t>2020</w:t>
            </w:r>
            <w:r>
              <w:rPr>
                <w:rFonts w:cs="Times New Roman" w:hint="eastAsia"/>
                <w:kern w:val="0"/>
                <w:sz w:val="21"/>
                <w:szCs w:val="21"/>
              </w:rPr>
              <w:t>）</w:t>
            </w:r>
          </w:p>
        </w:tc>
      </w:tr>
      <w:tr w:rsidR="00595FD3" w14:paraId="7E2E535F" w14:textId="77777777">
        <w:trPr>
          <w:trHeight w:val="397"/>
          <w:jc w:val="center"/>
        </w:trPr>
        <w:tc>
          <w:tcPr>
            <w:tcW w:w="661" w:type="dxa"/>
            <w:vAlign w:val="center"/>
          </w:tcPr>
          <w:p w14:paraId="2541D652"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2</w:t>
            </w:r>
          </w:p>
        </w:tc>
        <w:tc>
          <w:tcPr>
            <w:tcW w:w="1655" w:type="dxa"/>
            <w:vAlign w:val="center"/>
          </w:tcPr>
          <w:p w14:paraId="69C7CCCC"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2024</w:t>
            </w:r>
            <w:r>
              <w:rPr>
                <w:rFonts w:cs="Times New Roman" w:hint="eastAsia"/>
                <w:kern w:val="0"/>
                <w:sz w:val="21"/>
                <w:szCs w:val="21"/>
              </w:rPr>
              <w:t>年</w:t>
            </w:r>
            <w:r>
              <w:rPr>
                <w:rFonts w:cs="Times New Roman"/>
                <w:kern w:val="0"/>
                <w:sz w:val="21"/>
                <w:szCs w:val="21"/>
              </w:rPr>
              <w:t>11</w:t>
            </w:r>
            <w:r>
              <w:rPr>
                <w:rFonts w:cs="Times New Roman" w:hint="eastAsia"/>
                <w:kern w:val="0"/>
                <w:sz w:val="21"/>
                <w:szCs w:val="21"/>
              </w:rPr>
              <w:t>月</w:t>
            </w:r>
          </w:p>
        </w:tc>
        <w:tc>
          <w:tcPr>
            <w:tcW w:w="1208" w:type="dxa"/>
            <w:vAlign w:val="center"/>
          </w:tcPr>
          <w:p w14:paraId="3108931D"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国家标准</w:t>
            </w:r>
          </w:p>
        </w:tc>
        <w:tc>
          <w:tcPr>
            <w:tcW w:w="4772" w:type="dxa"/>
            <w:vAlign w:val="center"/>
          </w:tcPr>
          <w:p w14:paraId="310093AE" w14:textId="77777777" w:rsidR="00595FD3" w:rsidRDefault="00000000">
            <w:pPr>
              <w:spacing w:line="240" w:lineRule="auto"/>
              <w:ind w:firstLineChars="0" w:firstLine="0"/>
              <w:rPr>
                <w:rFonts w:cs="Times New Roman"/>
                <w:kern w:val="0"/>
                <w:sz w:val="21"/>
                <w:szCs w:val="21"/>
              </w:rPr>
            </w:pPr>
            <w:r>
              <w:rPr>
                <w:rFonts w:cs="Times New Roman" w:hint="eastAsia"/>
                <w:kern w:val="0"/>
                <w:sz w:val="21"/>
                <w:szCs w:val="21"/>
              </w:rPr>
              <w:t>《钛石膏综合利用技术规范》（</w:t>
            </w:r>
            <w:r>
              <w:rPr>
                <w:rFonts w:cs="Times New Roman"/>
                <w:kern w:val="0"/>
                <w:sz w:val="21"/>
                <w:szCs w:val="21"/>
              </w:rPr>
              <w:t>GB/T 45015</w:t>
            </w:r>
            <w:r>
              <w:rPr>
                <w:rFonts w:cs="Times New Roman" w:hint="eastAsia"/>
                <w:kern w:val="0"/>
                <w:sz w:val="21"/>
                <w:szCs w:val="21"/>
              </w:rPr>
              <w:t>—</w:t>
            </w:r>
            <w:r>
              <w:rPr>
                <w:rFonts w:cs="Times New Roman"/>
                <w:kern w:val="0"/>
                <w:sz w:val="21"/>
                <w:szCs w:val="21"/>
              </w:rPr>
              <w:t>2024</w:t>
            </w:r>
            <w:r>
              <w:rPr>
                <w:rFonts w:cs="Times New Roman" w:hint="eastAsia"/>
                <w:kern w:val="0"/>
                <w:sz w:val="21"/>
                <w:szCs w:val="21"/>
              </w:rPr>
              <w:t>）</w:t>
            </w:r>
          </w:p>
        </w:tc>
      </w:tr>
      <w:tr w:rsidR="00595FD3" w14:paraId="19834716" w14:textId="77777777">
        <w:trPr>
          <w:trHeight w:val="397"/>
          <w:jc w:val="center"/>
        </w:trPr>
        <w:tc>
          <w:tcPr>
            <w:tcW w:w="661" w:type="dxa"/>
            <w:vAlign w:val="center"/>
          </w:tcPr>
          <w:p w14:paraId="5241698F"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3</w:t>
            </w:r>
          </w:p>
        </w:tc>
        <w:tc>
          <w:tcPr>
            <w:tcW w:w="1655" w:type="dxa"/>
            <w:vAlign w:val="center"/>
          </w:tcPr>
          <w:p w14:paraId="327B6B24"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2025</w:t>
            </w:r>
            <w:r>
              <w:rPr>
                <w:rFonts w:cs="Times New Roman" w:hint="eastAsia"/>
                <w:kern w:val="0"/>
                <w:sz w:val="21"/>
                <w:szCs w:val="21"/>
              </w:rPr>
              <w:t>年</w:t>
            </w:r>
            <w:r>
              <w:rPr>
                <w:rFonts w:cs="Times New Roman"/>
                <w:kern w:val="0"/>
                <w:sz w:val="21"/>
                <w:szCs w:val="21"/>
              </w:rPr>
              <w:t>4</w:t>
            </w:r>
            <w:r>
              <w:rPr>
                <w:rFonts w:cs="Times New Roman" w:hint="eastAsia"/>
                <w:kern w:val="0"/>
                <w:sz w:val="21"/>
                <w:szCs w:val="21"/>
              </w:rPr>
              <w:t>月</w:t>
            </w:r>
          </w:p>
        </w:tc>
        <w:tc>
          <w:tcPr>
            <w:tcW w:w="1208" w:type="dxa"/>
            <w:vAlign w:val="center"/>
          </w:tcPr>
          <w:p w14:paraId="43CA15E6"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国家标准</w:t>
            </w:r>
          </w:p>
        </w:tc>
        <w:tc>
          <w:tcPr>
            <w:tcW w:w="4772" w:type="dxa"/>
            <w:vAlign w:val="center"/>
          </w:tcPr>
          <w:p w14:paraId="3AB6FFE2" w14:textId="77777777" w:rsidR="00595FD3" w:rsidRDefault="00000000">
            <w:pPr>
              <w:spacing w:line="240" w:lineRule="auto"/>
              <w:ind w:firstLineChars="0" w:firstLine="0"/>
              <w:rPr>
                <w:rFonts w:cs="Times New Roman"/>
                <w:kern w:val="0"/>
                <w:sz w:val="21"/>
                <w:szCs w:val="21"/>
              </w:rPr>
            </w:pPr>
            <w:r>
              <w:rPr>
                <w:rFonts w:cs="Times New Roman" w:hint="eastAsia"/>
                <w:kern w:val="0"/>
                <w:sz w:val="21"/>
                <w:szCs w:val="21"/>
              </w:rPr>
              <w:t>《煤矸石回填塌陷区复垦技术规程》（</w:t>
            </w:r>
            <w:r>
              <w:rPr>
                <w:rFonts w:cs="Times New Roman"/>
                <w:kern w:val="0"/>
                <w:sz w:val="21"/>
                <w:szCs w:val="21"/>
              </w:rPr>
              <w:t>GB/T 45610</w:t>
            </w:r>
            <w:r>
              <w:rPr>
                <w:rFonts w:cs="Times New Roman" w:hint="eastAsia"/>
                <w:kern w:val="0"/>
                <w:sz w:val="21"/>
                <w:szCs w:val="21"/>
              </w:rPr>
              <w:t>—</w:t>
            </w:r>
            <w:r>
              <w:rPr>
                <w:rFonts w:cs="Times New Roman"/>
                <w:kern w:val="0"/>
                <w:sz w:val="21"/>
                <w:szCs w:val="21"/>
              </w:rPr>
              <w:t>2025</w:t>
            </w:r>
            <w:r>
              <w:rPr>
                <w:rFonts w:cs="Times New Roman" w:hint="eastAsia"/>
                <w:kern w:val="0"/>
                <w:sz w:val="21"/>
                <w:szCs w:val="21"/>
              </w:rPr>
              <w:t>）</w:t>
            </w:r>
          </w:p>
        </w:tc>
      </w:tr>
      <w:tr w:rsidR="00595FD3" w14:paraId="01B2DFEA" w14:textId="77777777">
        <w:trPr>
          <w:trHeight w:val="397"/>
          <w:jc w:val="center"/>
        </w:trPr>
        <w:tc>
          <w:tcPr>
            <w:tcW w:w="661" w:type="dxa"/>
            <w:vAlign w:val="center"/>
          </w:tcPr>
          <w:p w14:paraId="5C4AE37E"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4</w:t>
            </w:r>
          </w:p>
        </w:tc>
        <w:tc>
          <w:tcPr>
            <w:tcW w:w="1655" w:type="dxa"/>
            <w:vAlign w:val="center"/>
          </w:tcPr>
          <w:p w14:paraId="40064412"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2026</w:t>
            </w:r>
            <w:r>
              <w:rPr>
                <w:rFonts w:cs="Times New Roman" w:hint="eastAsia"/>
                <w:kern w:val="0"/>
                <w:sz w:val="21"/>
                <w:szCs w:val="21"/>
              </w:rPr>
              <w:t>年</w:t>
            </w:r>
            <w:r>
              <w:rPr>
                <w:rFonts w:cs="Times New Roman"/>
                <w:kern w:val="0"/>
                <w:sz w:val="21"/>
                <w:szCs w:val="21"/>
              </w:rPr>
              <w:t>2</w:t>
            </w:r>
            <w:r>
              <w:rPr>
                <w:rFonts w:cs="Times New Roman" w:hint="eastAsia"/>
                <w:kern w:val="0"/>
                <w:sz w:val="21"/>
                <w:szCs w:val="21"/>
              </w:rPr>
              <w:t>月</w:t>
            </w:r>
          </w:p>
        </w:tc>
        <w:tc>
          <w:tcPr>
            <w:tcW w:w="1208" w:type="dxa"/>
            <w:vAlign w:val="center"/>
          </w:tcPr>
          <w:p w14:paraId="4B6E4493"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国家标准</w:t>
            </w:r>
          </w:p>
        </w:tc>
        <w:tc>
          <w:tcPr>
            <w:tcW w:w="4772" w:type="dxa"/>
            <w:vAlign w:val="center"/>
          </w:tcPr>
          <w:p w14:paraId="604993AB" w14:textId="77777777" w:rsidR="00595FD3" w:rsidRDefault="00000000">
            <w:pPr>
              <w:spacing w:line="240" w:lineRule="auto"/>
              <w:ind w:firstLineChars="0" w:firstLine="0"/>
              <w:rPr>
                <w:rFonts w:cs="Times New Roman"/>
                <w:kern w:val="0"/>
                <w:sz w:val="21"/>
                <w:szCs w:val="21"/>
              </w:rPr>
            </w:pPr>
            <w:r>
              <w:rPr>
                <w:rFonts w:cs="Times New Roman" w:hint="eastAsia"/>
                <w:kern w:val="0"/>
                <w:sz w:val="21"/>
                <w:szCs w:val="21"/>
              </w:rPr>
              <w:t>《矿山修复回填用钢渣应用技术规范》（</w:t>
            </w:r>
            <w:r>
              <w:rPr>
                <w:rFonts w:cs="Times New Roman"/>
                <w:kern w:val="0"/>
                <w:sz w:val="21"/>
                <w:szCs w:val="21"/>
              </w:rPr>
              <w:t>GB/T 47193-2026</w:t>
            </w:r>
            <w:r>
              <w:rPr>
                <w:rFonts w:cs="Times New Roman" w:hint="eastAsia"/>
                <w:kern w:val="0"/>
                <w:sz w:val="21"/>
                <w:szCs w:val="21"/>
              </w:rPr>
              <w:t>）</w:t>
            </w:r>
          </w:p>
        </w:tc>
      </w:tr>
      <w:tr w:rsidR="00595FD3" w14:paraId="7338347D" w14:textId="77777777">
        <w:trPr>
          <w:trHeight w:val="397"/>
          <w:jc w:val="center"/>
        </w:trPr>
        <w:tc>
          <w:tcPr>
            <w:tcW w:w="661" w:type="dxa"/>
            <w:vAlign w:val="center"/>
          </w:tcPr>
          <w:p w14:paraId="4644D0D9"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5</w:t>
            </w:r>
          </w:p>
        </w:tc>
        <w:tc>
          <w:tcPr>
            <w:tcW w:w="1655" w:type="dxa"/>
            <w:vAlign w:val="center"/>
          </w:tcPr>
          <w:p w14:paraId="590D018E"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w:t>
            </w:r>
          </w:p>
        </w:tc>
        <w:tc>
          <w:tcPr>
            <w:tcW w:w="1208" w:type="dxa"/>
            <w:vAlign w:val="center"/>
          </w:tcPr>
          <w:p w14:paraId="63018491" w14:textId="77777777" w:rsidR="00595FD3" w:rsidRDefault="00000000">
            <w:pPr>
              <w:spacing w:line="240" w:lineRule="auto"/>
              <w:ind w:firstLineChars="0" w:firstLine="0"/>
              <w:jc w:val="center"/>
              <w:rPr>
                <w:rFonts w:cs="Times New Roman"/>
                <w:kern w:val="0"/>
                <w:sz w:val="21"/>
                <w:szCs w:val="21"/>
              </w:rPr>
            </w:pPr>
            <w:r>
              <w:rPr>
                <w:rFonts w:cs="Times New Roman" w:hint="eastAsia"/>
                <w:kern w:val="0"/>
                <w:sz w:val="21"/>
                <w:szCs w:val="21"/>
              </w:rPr>
              <w:t>国家标准</w:t>
            </w:r>
          </w:p>
        </w:tc>
        <w:tc>
          <w:tcPr>
            <w:tcW w:w="4772" w:type="dxa"/>
            <w:vAlign w:val="center"/>
          </w:tcPr>
          <w:p w14:paraId="4C47A2AA" w14:textId="77777777" w:rsidR="00595FD3" w:rsidRDefault="00000000">
            <w:pPr>
              <w:spacing w:line="240" w:lineRule="auto"/>
              <w:ind w:firstLineChars="0" w:firstLine="0"/>
              <w:rPr>
                <w:rFonts w:cs="Times New Roman"/>
                <w:kern w:val="0"/>
                <w:sz w:val="21"/>
                <w:szCs w:val="21"/>
              </w:rPr>
            </w:pPr>
            <w:r>
              <w:rPr>
                <w:rFonts w:cs="Times New Roman" w:hint="eastAsia"/>
                <w:kern w:val="0"/>
                <w:sz w:val="21"/>
                <w:szCs w:val="21"/>
              </w:rPr>
              <w:t>《煤化工气化渣污染控制标准》（征求意见稿）</w:t>
            </w:r>
          </w:p>
        </w:tc>
      </w:tr>
    </w:tbl>
    <w:p w14:paraId="4E428C5B" w14:textId="77777777" w:rsidR="00595FD3" w:rsidRDefault="00595FD3">
      <w:pPr>
        <w:ind w:firstLine="480"/>
        <w:rPr>
          <w:rFonts w:cs="Times New Roman"/>
          <w:szCs w:val="32"/>
        </w:rPr>
      </w:pPr>
    </w:p>
    <w:p w14:paraId="6A0F5D17" w14:textId="77777777" w:rsidR="00595FD3" w:rsidRDefault="00000000">
      <w:pPr>
        <w:ind w:firstLine="480"/>
        <w:rPr>
          <w:rFonts w:cs="Times New Roman"/>
        </w:rPr>
      </w:pPr>
      <w:r>
        <w:rPr>
          <w:rFonts w:cs="Times New Roman" w:hint="eastAsia"/>
        </w:rPr>
        <w:t>与上述国家标准相比，本技术标准在制定目的和适用范围上存在差异性，具体如下：</w:t>
      </w:r>
    </w:p>
    <w:p w14:paraId="6A7339FB" w14:textId="77777777" w:rsidR="00595FD3" w:rsidRDefault="00000000">
      <w:pPr>
        <w:ind w:firstLine="480"/>
        <w:rPr>
          <w:rFonts w:cs="Times New Roman"/>
        </w:rPr>
      </w:pPr>
      <w:r>
        <w:rPr>
          <w:rFonts w:cs="Times New Roman" w:hint="eastAsia"/>
        </w:rPr>
        <w:t>在制定目的方面，</w:t>
      </w:r>
      <w:r>
        <w:rPr>
          <w:rFonts w:cs="Times New Roman" w:hint="eastAsia"/>
        </w:rPr>
        <w:t>GB 18599</w:t>
      </w:r>
      <w:r>
        <w:rPr>
          <w:rFonts w:cs="Times New Roman" w:hint="eastAsia"/>
        </w:rPr>
        <w:t>核心是为推动一般工业固体废物贮存、填埋技术进步而修订，回填</w:t>
      </w:r>
      <w:proofErr w:type="gramStart"/>
      <w:r>
        <w:rPr>
          <w:rFonts w:cs="Times New Roman" w:hint="eastAsia"/>
        </w:rPr>
        <w:t>利用仅</w:t>
      </w:r>
      <w:proofErr w:type="gramEnd"/>
      <w:r>
        <w:rPr>
          <w:rFonts w:cs="Times New Roman" w:hint="eastAsia"/>
        </w:rPr>
        <w:t>为其中专项章节内容，主要涵盖了环境本底调查、环境风险评估及土地复垦的原则性要求；</w:t>
      </w:r>
      <w:r>
        <w:rPr>
          <w:rFonts w:cs="Times New Roman" w:hint="eastAsia"/>
        </w:rPr>
        <w:t>GB/T 45015</w:t>
      </w:r>
      <w:r>
        <w:rPr>
          <w:rFonts w:cs="Times New Roman" w:hint="eastAsia"/>
        </w:rPr>
        <w:t>、</w:t>
      </w:r>
      <w:r>
        <w:rPr>
          <w:rFonts w:cs="Times New Roman" w:hint="eastAsia"/>
        </w:rPr>
        <w:t>GB/T 45610</w:t>
      </w:r>
      <w:r>
        <w:rPr>
          <w:rFonts w:cs="Times New Roman" w:hint="eastAsia"/>
        </w:rPr>
        <w:t>、</w:t>
      </w:r>
      <w:r>
        <w:rPr>
          <w:rFonts w:cs="Times New Roman"/>
        </w:rPr>
        <w:t>GB/T 47193</w:t>
      </w:r>
      <w:r>
        <w:rPr>
          <w:rFonts w:cs="Times New Roman" w:hint="eastAsia"/>
        </w:rPr>
        <w:t>及《煤化工气化渣污染控制标准》（征求意见稿）则分别聚焦钛石膏、煤矸石、钢渣、煤化工气化渣</w:t>
      </w:r>
      <w:proofErr w:type="gramStart"/>
      <w:r>
        <w:rPr>
          <w:rFonts w:cs="Times New Roman" w:hint="eastAsia"/>
        </w:rPr>
        <w:t>单一固废</w:t>
      </w:r>
      <w:proofErr w:type="gramEnd"/>
      <w:r>
        <w:rPr>
          <w:rFonts w:cs="Times New Roman" w:hint="eastAsia"/>
        </w:rPr>
        <w:t>类型，侧重推动此类固废资源化高效利用。</w:t>
      </w:r>
      <w:r>
        <w:rPr>
          <w:rFonts w:cs="Times New Roman"/>
        </w:rPr>
        <w:t>本标准立足重庆实际，以优化土地利用、改善生态环境、提高固废综合利用水平为核心，聚焦多品类固废回填利用的引导与规范，明确回填原则并</w:t>
      </w:r>
      <w:proofErr w:type="gramStart"/>
      <w:r>
        <w:rPr>
          <w:rFonts w:cs="Times New Roman"/>
        </w:rPr>
        <w:t>构建全</w:t>
      </w:r>
      <w:proofErr w:type="gramEnd"/>
      <w:r>
        <w:rPr>
          <w:rFonts w:cs="Times New Roman"/>
        </w:rPr>
        <w:t>流程管控体系</w:t>
      </w:r>
      <w:r>
        <w:rPr>
          <w:rFonts w:cs="Times New Roman" w:hint="eastAsia"/>
        </w:rPr>
        <w:t>。</w:t>
      </w:r>
    </w:p>
    <w:p w14:paraId="61845156" w14:textId="77777777" w:rsidR="00595FD3" w:rsidRDefault="00000000">
      <w:pPr>
        <w:ind w:firstLine="480"/>
        <w:rPr>
          <w:rFonts w:cs="Times New Roman"/>
        </w:rPr>
      </w:pPr>
      <w:r>
        <w:rPr>
          <w:rFonts w:cs="Times New Roman" w:hint="eastAsia"/>
        </w:rPr>
        <w:t>在适用范围方面，</w:t>
      </w:r>
      <w:r>
        <w:rPr>
          <w:rFonts w:cs="Times New Roman" w:hint="eastAsia"/>
        </w:rPr>
        <w:t>GB/T 45015</w:t>
      </w:r>
      <w:r>
        <w:rPr>
          <w:rFonts w:cs="Times New Roman" w:hint="eastAsia"/>
        </w:rPr>
        <w:t>、</w:t>
      </w:r>
      <w:r>
        <w:rPr>
          <w:rFonts w:cs="Times New Roman" w:hint="eastAsia"/>
        </w:rPr>
        <w:t>GB/T 45610</w:t>
      </w:r>
      <w:r>
        <w:rPr>
          <w:rFonts w:cs="Times New Roman" w:hint="eastAsia"/>
        </w:rPr>
        <w:t>、</w:t>
      </w:r>
      <w:r>
        <w:rPr>
          <w:rFonts w:cs="Times New Roman"/>
        </w:rPr>
        <w:t>GB/T 47193</w:t>
      </w:r>
      <w:r>
        <w:rPr>
          <w:rFonts w:cs="Times New Roman" w:hint="eastAsia"/>
        </w:rPr>
        <w:t>主要涉及选址、回填作业及污染防治等基础技术要求。本标准在全面衔接上位国家标准管控框架的前提下，结合重庆市产业布局、固</w:t>
      </w:r>
      <w:proofErr w:type="gramStart"/>
      <w:r>
        <w:rPr>
          <w:rFonts w:cs="Times New Roman" w:hint="eastAsia"/>
        </w:rPr>
        <w:t>废产排特点</w:t>
      </w:r>
      <w:proofErr w:type="gramEnd"/>
      <w:r>
        <w:rPr>
          <w:rFonts w:cs="Times New Roman" w:hint="eastAsia"/>
        </w:rPr>
        <w:t>及喀斯特地貌水文地质条件，进一步细化完善。一是规定</w:t>
      </w:r>
      <w:r>
        <w:rPr>
          <w:rFonts w:cs="Times New Roman" w:hint="eastAsia"/>
        </w:rPr>
        <w:t>8</w:t>
      </w:r>
      <w:r>
        <w:rPr>
          <w:rFonts w:cs="Times New Roman" w:hint="eastAsia"/>
        </w:rPr>
        <w:t>类典型一般工业固体废物可用于回填利用；二是贴合地域环境特点，细化回填选址、环境本底调查等关键环节技术要求，适配重庆特殊地形地质条件；三是基于本地固</w:t>
      </w:r>
      <w:proofErr w:type="gramStart"/>
      <w:r>
        <w:rPr>
          <w:rFonts w:cs="Times New Roman" w:hint="eastAsia"/>
        </w:rPr>
        <w:t>废污染</w:t>
      </w:r>
      <w:proofErr w:type="gramEnd"/>
      <w:r>
        <w:rPr>
          <w:rFonts w:cs="Times New Roman" w:hint="eastAsia"/>
        </w:rPr>
        <w:t>特征研究成果，明确回填物料入场通用要</w:t>
      </w:r>
      <w:r>
        <w:rPr>
          <w:rFonts w:cs="Times New Roman" w:hint="eastAsia"/>
        </w:rPr>
        <w:lastRenderedPageBreak/>
        <w:t>求与差异化管控措施，建立特征污染物识别清单；四是细化完善环境风险评估技术路径，提升评估工作的科学性与实操性；五是完善回填工程全过程技术规范，细化回填设计、施工组织、防渗措施、地下水保护等工程实施要求，增强标准的地域针对性与落地适用性。</w:t>
      </w:r>
    </w:p>
    <w:p w14:paraId="2C313373" w14:textId="77777777" w:rsidR="00595FD3" w:rsidRDefault="00000000">
      <w:pPr>
        <w:pStyle w:val="2"/>
      </w:pPr>
      <w:bookmarkStart w:id="24" w:name="_Toc224892798"/>
      <w:bookmarkStart w:id="25" w:name="_Toc230073416"/>
      <w:bookmarkEnd w:id="24"/>
      <w:r>
        <w:t>行业标准</w:t>
      </w:r>
      <w:bookmarkEnd w:id="25"/>
    </w:p>
    <w:p w14:paraId="768F8922" w14:textId="77777777" w:rsidR="00595FD3" w:rsidRDefault="00000000">
      <w:pPr>
        <w:ind w:firstLine="480"/>
      </w:pPr>
      <w:bookmarkStart w:id="26" w:name="OLE_LINK8"/>
      <w:r>
        <w:rPr>
          <w:rFonts w:hint="eastAsia"/>
        </w:rPr>
        <w:t>目前，我国已发布实施的一般工业固体废物回填相关行业技术标准共</w:t>
      </w:r>
      <w:r>
        <w:rPr>
          <w:rFonts w:hint="eastAsia"/>
        </w:rPr>
        <w:t>3</w:t>
      </w:r>
      <w:r>
        <w:rPr>
          <w:rFonts w:hint="eastAsia"/>
        </w:rPr>
        <w:t>项，分别为</w:t>
      </w:r>
      <w:r>
        <w:rPr>
          <w:rFonts w:cs="Times New Roman" w:hint="eastAsia"/>
        </w:rPr>
        <w:t>《磷石膏利用和无害化贮存污染控制技术规范》（</w:t>
      </w:r>
      <w:r>
        <w:rPr>
          <w:rFonts w:cs="Times New Roman" w:hint="eastAsia"/>
        </w:rPr>
        <w:t>HJ 1415</w:t>
      </w:r>
      <w:r>
        <w:rPr>
          <w:rFonts w:cs="Times New Roman" w:hint="eastAsia"/>
        </w:rPr>
        <w:t>—</w:t>
      </w:r>
      <w:r>
        <w:rPr>
          <w:rFonts w:cs="Times New Roman" w:hint="eastAsia"/>
        </w:rPr>
        <w:t>2025</w:t>
      </w:r>
      <w:r>
        <w:rPr>
          <w:rFonts w:cs="Times New Roman" w:hint="eastAsia"/>
        </w:rPr>
        <w:t>）、《土地整治煤矸石回填技术规范》（</w:t>
      </w:r>
      <w:r>
        <w:rPr>
          <w:rFonts w:cs="Times New Roman" w:hint="eastAsia"/>
        </w:rPr>
        <w:t>NB/T 11431</w:t>
      </w:r>
      <w:r>
        <w:rPr>
          <w:rFonts w:cs="Times New Roman" w:hint="eastAsia"/>
        </w:rPr>
        <w:t>—</w:t>
      </w:r>
      <w:r>
        <w:rPr>
          <w:rFonts w:cs="Times New Roman" w:hint="eastAsia"/>
        </w:rPr>
        <w:t>2023</w:t>
      </w:r>
      <w:r>
        <w:rPr>
          <w:rFonts w:cs="Times New Roman" w:hint="eastAsia"/>
        </w:rPr>
        <w:t>）《</w:t>
      </w:r>
      <w:r>
        <w:rPr>
          <w:rFonts w:cs="Times New Roman"/>
        </w:rPr>
        <w:t>石油天然气开采业固体废物污染控制技术规范（试行）</w:t>
      </w:r>
      <w:r>
        <w:rPr>
          <w:rFonts w:cs="Times New Roman" w:hint="eastAsia"/>
        </w:rPr>
        <w:t>》</w:t>
      </w:r>
      <w:r>
        <w:rPr>
          <w:rFonts w:cs="Times New Roman"/>
        </w:rPr>
        <w:t>（</w:t>
      </w:r>
      <w:r>
        <w:rPr>
          <w:rFonts w:cs="Times New Roman"/>
        </w:rPr>
        <w:t>HJ 1461-2026</w:t>
      </w:r>
      <w:r>
        <w:rPr>
          <w:rFonts w:cs="Times New Roman"/>
        </w:rPr>
        <w:t>）</w:t>
      </w:r>
      <w:r>
        <w:rPr>
          <w:rFonts w:hint="eastAsia"/>
        </w:rPr>
        <w:t>；另有</w:t>
      </w:r>
      <w:r>
        <w:rPr>
          <w:rFonts w:hint="eastAsia"/>
        </w:rPr>
        <w:t>1</w:t>
      </w:r>
      <w:r>
        <w:rPr>
          <w:rFonts w:hint="eastAsia"/>
        </w:rPr>
        <w:t>项处于征求意见阶段，即《赤泥利用污染控制技术规范（征求意见稿）》</w:t>
      </w:r>
      <w:r>
        <w:rPr>
          <w:rFonts w:cs="Times New Roman" w:hint="eastAsia"/>
        </w:rPr>
        <w:t>。</w:t>
      </w:r>
      <w:bookmarkEnd w:id="26"/>
    </w:p>
    <w:p w14:paraId="7B8CCCB1" w14:textId="77777777" w:rsidR="00595FD3" w:rsidRDefault="00000000">
      <w:pPr>
        <w:pStyle w:val="5"/>
        <w:contextualSpacing/>
        <w:rPr>
          <w:szCs w:val="32"/>
        </w:rPr>
      </w:pPr>
      <w:r>
        <w:t>一般工业固体废物回填</w:t>
      </w:r>
      <w:r>
        <w:rPr>
          <w:rFonts w:hint="eastAsia"/>
        </w:rPr>
        <w:t>利用</w:t>
      </w:r>
      <w:r>
        <w:t>有关</w:t>
      </w:r>
      <w:r>
        <w:rPr>
          <w:rFonts w:hint="eastAsia"/>
        </w:rPr>
        <w:t>行业标准</w:t>
      </w:r>
    </w:p>
    <w:tbl>
      <w:tblPr>
        <w:tblStyle w:val="afa"/>
        <w:tblW w:w="5000" w:type="pct"/>
        <w:jc w:val="center"/>
        <w:tblLayout w:type="fixed"/>
        <w:tblLook w:val="04A0" w:firstRow="1" w:lastRow="0" w:firstColumn="1" w:lastColumn="0" w:noHBand="0" w:noVBand="1"/>
      </w:tblPr>
      <w:tblGrid>
        <w:gridCol w:w="824"/>
        <w:gridCol w:w="1612"/>
        <w:gridCol w:w="1313"/>
        <w:gridCol w:w="4547"/>
      </w:tblGrid>
      <w:tr w:rsidR="00595FD3" w14:paraId="44B04A33" w14:textId="77777777">
        <w:trPr>
          <w:trHeight w:val="397"/>
          <w:tblHeader/>
          <w:jc w:val="center"/>
        </w:trPr>
        <w:tc>
          <w:tcPr>
            <w:tcW w:w="824" w:type="dxa"/>
            <w:vAlign w:val="center"/>
          </w:tcPr>
          <w:p w14:paraId="63959F81" w14:textId="77777777" w:rsidR="00595FD3" w:rsidRDefault="00000000">
            <w:pPr>
              <w:spacing w:line="240" w:lineRule="auto"/>
              <w:ind w:firstLineChars="0" w:firstLine="0"/>
              <w:jc w:val="center"/>
              <w:rPr>
                <w:rFonts w:cs="Times New Roman"/>
                <w:b/>
                <w:bCs/>
                <w:kern w:val="0"/>
                <w:sz w:val="21"/>
                <w:szCs w:val="21"/>
              </w:rPr>
            </w:pPr>
            <w:r>
              <w:rPr>
                <w:rFonts w:cs="Times New Roman" w:hint="eastAsia"/>
                <w:b/>
                <w:bCs/>
                <w:sz w:val="21"/>
                <w:szCs w:val="21"/>
              </w:rPr>
              <w:t>序号</w:t>
            </w:r>
          </w:p>
        </w:tc>
        <w:tc>
          <w:tcPr>
            <w:tcW w:w="1612" w:type="dxa"/>
            <w:vAlign w:val="center"/>
          </w:tcPr>
          <w:p w14:paraId="7E1505C8" w14:textId="77777777" w:rsidR="00595FD3" w:rsidRDefault="00000000">
            <w:pPr>
              <w:spacing w:line="240" w:lineRule="auto"/>
              <w:ind w:firstLineChars="0" w:firstLine="0"/>
              <w:jc w:val="center"/>
              <w:rPr>
                <w:rFonts w:cs="Times New Roman"/>
                <w:b/>
                <w:bCs/>
                <w:kern w:val="0"/>
                <w:sz w:val="21"/>
                <w:szCs w:val="21"/>
              </w:rPr>
            </w:pPr>
            <w:r>
              <w:rPr>
                <w:rFonts w:cs="Times New Roman" w:hint="eastAsia"/>
                <w:b/>
                <w:bCs/>
                <w:sz w:val="21"/>
                <w:szCs w:val="21"/>
              </w:rPr>
              <w:t>发布时间</w:t>
            </w:r>
          </w:p>
        </w:tc>
        <w:tc>
          <w:tcPr>
            <w:tcW w:w="1313" w:type="dxa"/>
            <w:vAlign w:val="center"/>
          </w:tcPr>
          <w:p w14:paraId="078BB568" w14:textId="77777777" w:rsidR="00595FD3" w:rsidRDefault="00000000">
            <w:pPr>
              <w:spacing w:line="240" w:lineRule="auto"/>
              <w:ind w:firstLineChars="0" w:firstLine="0"/>
              <w:jc w:val="center"/>
              <w:rPr>
                <w:rFonts w:cs="Times New Roman"/>
                <w:b/>
                <w:bCs/>
                <w:kern w:val="0"/>
                <w:sz w:val="21"/>
                <w:szCs w:val="21"/>
              </w:rPr>
            </w:pPr>
            <w:r>
              <w:rPr>
                <w:rFonts w:cs="Times New Roman" w:hint="eastAsia"/>
                <w:b/>
                <w:bCs/>
                <w:sz w:val="21"/>
                <w:szCs w:val="21"/>
              </w:rPr>
              <w:t>类型</w:t>
            </w:r>
          </w:p>
        </w:tc>
        <w:tc>
          <w:tcPr>
            <w:tcW w:w="4547" w:type="dxa"/>
            <w:vAlign w:val="center"/>
          </w:tcPr>
          <w:p w14:paraId="15BB120D" w14:textId="77777777" w:rsidR="00595FD3" w:rsidRDefault="00000000">
            <w:pPr>
              <w:spacing w:line="240" w:lineRule="auto"/>
              <w:ind w:firstLineChars="0" w:firstLine="0"/>
              <w:jc w:val="center"/>
              <w:rPr>
                <w:rFonts w:cs="Times New Roman"/>
                <w:b/>
                <w:bCs/>
                <w:kern w:val="0"/>
                <w:sz w:val="21"/>
                <w:szCs w:val="21"/>
              </w:rPr>
            </w:pPr>
            <w:r>
              <w:rPr>
                <w:rFonts w:cs="Times New Roman" w:hint="eastAsia"/>
                <w:b/>
                <w:bCs/>
                <w:sz w:val="21"/>
                <w:szCs w:val="21"/>
              </w:rPr>
              <w:t>名称</w:t>
            </w:r>
          </w:p>
        </w:tc>
      </w:tr>
      <w:tr w:rsidR="00595FD3" w14:paraId="3024B8C1" w14:textId="77777777">
        <w:trPr>
          <w:trHeight w:val="397"/>
          <w:jc w:val="center"/>
        </w:trPr>
        <w:tc>
          <w:tcPr>
            <w:tcW w:w="824" w:type="dxa"/>
            <w:vAlign w:val="center"/>
          </w:tcPr>
          <w:p w14:paraId="3A1B5953" w14:textId="77777777" w:rsidR="00595FD3" w:rsidRDefault="00000000">
            <w:pPr>
              <w:spacing w:line="240" w:lineRule="auto"/>
              <w:ind w:firstLineChars="0" w:firstLine="0"/>
              <w:jc w:val="center"/>
              <w:rPr>
                <w:rFonts w:cs="Times New Roman"/>
                <w:sz w:val="21"/>
                <w:szCs w:val="21"/>
              </w:rPr>
            </w:pPr>
            <w:r>
              <w:rPr>
                <w:rFonts w:cs="Times New Roman"/>
                <w:sz w:val="21"/>
                <w:szCs w:val="21"/>
              </w:rPr>
              <w:t>1</w:t>
            </w:r>
          </w:p>
        </w:tc>
        <w:tc>
          <w:tcPr>
            <w:tcW w:w="1612" w:type="dxa"/>
            <w:vAlign w:val="center"/>
          </w:tcPr>
          <w:p w14:paraId="463E93FA" w14:textId="77777777" w:rsidR="00595FD3" w:rsidRDefault="00000000">
            <w:pPr>
              <w:spacing w:line="240" w:lineRule="auto"/>
              <w:ind w:firstLineChars="0" w:firstLine="0"/>
              <w:jc w:val="center"/>
              <w:rPr>
                <w:rFonts w:cs="Times New Roman"/>
                <w:sz w:val="21"/>
                <w:szCs w:val="21"/>
              </w:rPr>
            </w:pPr>
            <w:r>
              <w:rPr>
                <w:rFonts w:cs="Times New Roman"/>
                <w:sz w:val="21"/>
                <w:szCs w:val="21"/>
              </w:rPr>
              <w:t>2026</w:t>
            </w:r>
            <w:r>
              <w:rPr>
                <w:rFonts w:cs="Times New Roman" w:hint="eastAsia"/>
                <w:sz w:val="21"/>
                <w:szCs w:val="21"/>
              </w:rPr>
              <w:t>年</w:t>
            </w:r>
            <w:r>
              <w:rPr>
                <w:rFonts w:cs="Times New Roman"/>
                <w:sz w:val="21"/>
                <w:szCs w:val="21"/>
              </w:rPr>
              <w:t>1</w:t>
            </w:r>
            <w:r>
              <w:rPr>
                <w:rFonts w:cs="Times New Roman" w:hint="eastAsia"/>
                <w:sz w:val="21"/>
                <w:szCs w:val="21"/>
              </w:rPr>
              <w:t>月</w:t>
            </w:r>
          </w:p>
        </w:tc>
        <w:tc>
          <w:tcPr>
            <w:tcW w:w="1313" w:type="dxa"/>
            <w:vAlign w:val="center"/>
          </w:tcPr>
          <w:p w14:paraId="69BFBAF4" w14:textId="77777777" w:rsidR="00595FD3" w:rsidRDefault="00000000">
            <w:pPr>
              <w:spacing w:line="240" w:lineRule="auto"/>
              <w:ind w:firstLineChars="0" w:firstLine="0"/>
              <w:jc w:val="center"/>
              <w:rPr>
                <w:rFonts w:cs="Times New Roman"/>
                <w:sz w:val="21"/>
                <w:szCs w:val="21"/>
              </w:rPr>
            </w:pPr>
            <w:r>
              <w:rPr>
                <w:rFonts w:cs="Times New Roman" w:hint="eastAsia"/>
                <w:sz w:val="21"/>
                <w:szCs w:val="21"/>
              </w:rPr>
              <w:t>行业标准</w:t>
            </w:r>
          </w:p>
        </w:tc>
        <w:tc>
          <w:tcPr>
            <w:tcW w:w="4547" w:type="dxa"/>
            <w:vAlign w:val="center"/>
          </w:tcPr>
          <w:p w14:paraId="7B741A5F" w14:textId="77777777" w:rsidR="00595FD3" w:rsidRDefault="00000000">
            <w:pPr>
              <w:spacing w:line="240" w:lineRule="auto"/>
              <w:ind w:firstLineChars="0" w:firstLine="0"/>
              <w:rPr>
                <w:rFonts w:cs="Times New Roman"/>
                <w:sz w:val="21"/>
                <w:szCs w:val="21"/>
              </w:rPr>
            </w:pPr>
            <w:r>
              <w:rPr>
                <w:rFonts w:cs="Times New Roman" w:hint="eastAsia"/>
                <w:sz w:val="21"/>
                <w:szCs w:val="21"/>
              </w:rPr>
              <w:t>《石油天然气开采业固体废物污染控制技术规范（试行）》（</w:t>
            </w:r>
            <w:r>
              <w:rPr>
                <w:rFonts w:cs="Times New Roman"/>
                <w:sz w:val="21"/>
                <w:szCs w:val="21"/>
              </w:rPr>
              <w:t>HJ 1461-2026</w:t>
            </w:r>
            <w:r>
              <w:rPr>
                <w:rFonts w:cs="Times New Roman" w:hint="eastAsia"/>
                <w:sz w:val="21"/>
                <w:szCs w:val="21"/>
              </w:rPr>
              <w:t>）</w:t>
            </w:r>
          </w:p>
        </w:tc>
      </w:tr>
      <w:tr w:rsidR="00595FD3" w14:paraId="0329F542" w14:textId="77777777">
        <w:trPr>
          <w:trHeight w:val="397"/>
          <w:jc w:val="center"/>
        </w:trPr>
        <w:tc>
          <w:tcPr>
            <w:tcW w:w="824" w:type="dxa"/>
            <w:vAlign w:val="center"/>
          </w:tcPr>
          <w:p w14:paraId="0BD0A2E7" w14:textId="77777777" w:rsidR="00595FD3" w:rsidRDefault="00000000">
            <w:pPr>
              <w:spacing w:line="240" w:lineRule="auto"/>
              <w:ind w:firstLineChars="0" w:firstLine="0"/>
              <w:jc w:val="center"/>
              <w:rPr>
                <w:rFonts w:cs="Times New Roman"/>
                <w:kern w:val="0"/>
                <w:sz w:val="21"/>
                <w:szCs w:val="21"/>
              </w:rPr>
            </w:pPr>
            <w:r>
              <w:rPr>
                <w:rFonts w:cs="Times New Roman"/>
                <w:kern w:val="0"/>
                <w:sz w:val="21"/>
                <w:szCs w:val="21"/>
              </w:rPr>
              <w:t>2</w:t>
            </w:r>
          </w:p>
        </w:tc>
        <w:tc>
          <w:tcPr>
            <w:tcW w:w="1612" w:type="dxa"/>
            <w:vAlign w:val="center"/>
          </w:tcPr>
          <w:p w14:paraId="5E0622C7" w14:textId="77777777" w:rsidR="00595FD3" w:rsidRDefault="00000000">
            <w:pPr>
              <w:spacing w:line="240" w:lineRule="auto"/>
              <w:ind w:firstLineChars="0" w:firstLine="0"/>
              <w:jc w:val="center"/>
              <w:rPr>
                <w:rFonts w:cs="Times New Roman"/>
                <w:kern w:val="0"/>
                <w:sz w:val="21"/>
                <w:szCs w:val="21"/>
              </w:rPr>
            </w:pPr>
            <w:r>
              <w:rPr>
                <w:rFonts w:cs="Times New Roman"/>
                <w:sz w:val="21"/>
                <w:szCs w:val="21"/>
              </w:rPr>
              <w:t>2025</w:t>
            </w:r>
            <w:r>
              <w:rPr>
                <w:rFonts w:cs="Times New Roman" w:hint="eastAsia"/>
                <w:sz w:val="21"/>
                <w:szCs w:val="21"/>
              </w:rPr>
              <w:t>年</w:t>
            </w:r>
            <w:r>
              <w:rPr>
                <w:rFonts w:cs="Times New Roman"/>
                <w:sz w:val="21"/>
                <w:szCs w:val="21"/>
              </w:rPr>
              <w:t>5</w:t>
            </w:r>
            <w:r>
              <w:rPr>
                <w:rFonts w:cs="Times New Roman" w:hint="eastAsia"/>
                <w:sz w:val="21"/>
                <w:szCs w:val="21"/>
              </w:rPr>
              <w:t>月</w:t>
            </w:r>
          </w:p>
        </w:tc>
        <w:tc>
          <w:tcPr>
            <w:tcW w:w="1313" w:type="dxa"/>
            <w:vAlign w:val="center"/>
          </w:tcPr>
          <w:p w14:paraId="2C71023D" w14:textId="77777777" w:rsidR="00595FD3" w:rsidRDefault="00000000">
            <w:pPr>
              <w:spacing w:line="240" w:lineRule="auto"/>
              <w:ind w:firstLineChars="0" w:firstLine="0"/>
              <w:jc w:val="center"/>
              <w:rPr>
                <w:rFonts w:cs="Times New Roman"/>
                <w:kern w:val="0"/>
                <w:sz w:val="21"/>
                <w:szCs w:val="21"/>
              </w:rPr>
            </w:pPr>
            <w:r>
              <w:rPr>
                <w:rFonts w:cs="Times New Roman" w:hint="eastAsia"/>
                <w:sz w:val="21"/>
                <w:szCs w:val="21"/>
              </w:rPr>
              <w:t>行业标准</w:t>
            </w:r>
          </w:p>
        </w:tc>
        <w:tc>
          <w:tcPr>
            <w:tcW w:w="4547" w:type="dxa"/>
            <w:vAlign w:val="center"/>
          </w:tcPr>
          <w:p w14:paraId="066F9EC1" w14:textId="77777777" w:rsidR="00595FD3" w:rsidRDefault="00000000">
            <w:pPr>
              <w:spacing w:line="240" w:lineRule="auto"/>
              <w:ind w:firstLineChars="0" w:firstLine="0"/>
              <w:rPr>
                <w:rFonts w:cs="Times New Roman"/>
                <w:kern w:val="0"/>
                <w:sz w:val="21"/>
                <w:szCs w:val="21"/>
              </w:rPr>
            </w:pPr>
            <w:r>
              <w:rPr>
                <w:rFonts w:cs="Times New Roman" w:hint="eastAsia"/>
                <w:sz w:val="21"/>
                <w:szCs w:val="21"/>
              </w:rPr>
              <w:t>《磷石膏利用和无害化贮存污染控制技术规范》（</w:t>
            </w:r>
            <w:r>
              <w:rPr>
                <w:rFonts w:cs="Times New Roman"/>
                <w:sz w:val="21"/>
                <w:szCs w:val="21"/>
              </w:rPr>
              <w:t>HJ 1415—2025</w:t>
            </w:r>
            <w:r>
              <w:rPr>
                <w:rFonts w:cs="Times New Roman" w:hint="eastAsia"/>
                <w:sz w:val="21"/>
                <w:szCs w:val="21"/>
              </w:rPr>
              <w:t>）</w:t>
            </w:r>
          </w:p>
        </w:tc>
      </w:tr>
      <w:tr w:rsidR="00595FD3" w14:paraId="625C08A0" w14:textId="77777777">
        <w:trPr>
          <w:trHeight w:val="397"/>
          <w:jc w:val="center"/>
        </w:trPr>
        <w:tc>
          <w:tcPr>
            <w:tcW w:w="824" w:type="dxa"/>
            <w:vAlign w:val="center"/>
          </w:tcPr>
          <w:p w14:paraId="7BB29FB8" w14:textId="77777777" w:rsidR="00595FD3" w:rsidRDefault="00000000">
            <w:pPr>
              <w:spacing w:line="240" w:lineRule="auto"/>
              <w:ind w:firstLineChars="0" w:firstLine="0"/>
              <w:jc w:val="center"/>
              <w:rPr>
                <w:rFonts w:cs="Times New Roman"/>
                <w:kern w:val="0"/>
                <w:sz w:val="21"/>
                <w:szCs w:val="21"/>
              </w:rPr>
            </w:pPr>
            <w:r>
              <w:rPr>
                <w:rFonts w:cs="Times New Roman"/>
                <w:sz w:val="21"/>
                <w:szCs w:val="21"/>
              </w:rPr>
              <w:t>3</w:t>
            </w:r>
          </w:p>
        </w:tc>
        <w:tc>
          <w:tcPr>
            <w:tcW w:w="1612" w:type="dxa"/>
            <w:vAlign w:val="center"/>
          </w:tcPr>
          <w:p w14:paraId="0EA63F46" w14:textId="77777777" w:rsidR="00595FD3" w:rsidRDefault="00000000">
            <w:pPr>
              <w:spacing w:line="240" w:lineRule="auto"/>
              <w:ind w:firstLineChars="0" w:firstLine="0"/>
              <w:jc w:val="center"/>
              <w:rPr>
                <w:rFonts w:cs="Times New Roman"/>
                <w:kern w:val="0"/>
                <w:sz w:val="21"/>
                <w:szCs w:val="21"/>
              </w:rPr>
            </w:pPr>
            <w:r>
              <w:rPr>
                <w:rFonts w:cs="Times New Roman"/>
                <w:sz w:val="21"/>
                <w:szCs w:val="21"/>
              </w:rPr>
              <w:t>2023</w:t>
            </w:r>
            <w:r>
              <w:rPr>
                <w:rFonts w:cs="Times New Roman" w:hint="eastAsia"/>
                <w:sz w:val="21"/>
                <w:szCs w:val="21"/>
              </w:rPr>
              <w:t>年</w:t>
            </w:r>
            <w:r>
              <w:rPr>
                <w:rFonts w:cs="Times New Roman"/>
                <w:sz w:val="21"/>
                <w:szCs w:val="21"/>
              </w:rPr>
              <w:t>12</w:t>
            </w:r>
            <w:r>
              <w:rPr>
                <w:rFonts w:cs="Times New Roman" w:hint="eastAsia"/>
                <w:sz w:val="21"/>
                <w:szCs w:val="21"/>
              </w:rPr>
              <w:t>月</w:t>
            </w:r>
          </w:p>
        </w:tc>
        <w:tc>
          <w:tcPr>
            <w:tcW w:w="1313" w:type="dxa"/>
            <w:vAlign w:val="center"/>
          </w:tcPr>
          <w:p w14:paraId="1AD61A5A" w14:textId="77777777" w:rsidR="00595FD3" w:rsidRDefault="00000000">
            <w:pPr>
              <w:spacing w:line="240" w:lineRule="auto"/>
              <w:ind w:firstLineChars="0" w:firstLine="0"/>
              <w:jc w:val="center"/>
              <w:rPr>
                <w:rFonts w:cs="Times New Roman"/>
                <w:kern w:val="0"/>
                <w:sz w:val="21"/>
                <w:szCs w:val="21"/>
              </w:rPr>
            </w:pPr>
            <w:r>
              <w:rPr>
                <w:rFonts w:cs="Times New Roman" w:hint="eastAsia"/>
                <w:sz w:val="21"/>
                <w:szCs w:val="21"/>
              </w:rPr>
              <w:t>行业标准</w:t>
            </w:r>
          </w:p>
        </w:tc>
        <w:tc>
          <w:tcPr>
            <w:tcW w:w="4547" w:type="dxa"/>
            <w:vAlign w:val="center"/>
          </w:tcPr>
          <w:p w14:paraId="22BDB1D5" w14:textId="77777777" w:rsidR="00595FD3" w:rsidRDefault="00000000">
            <w:pPr>
              <w:spacing w:line="240" w:lineRule="auto"/>
              <w:ind w:firstLineChars="0" w:firstLine="0"/>
              <w:rPr>
                <w:rFonts w:cs="Times New Roman"/>
                <w:kern w:val="0"/>
                <w:sz w:val="21"/>
                <w:szCs w:val="21"/>
              </w:rPr>
            </w:pPr>
            <w:r>
              <w:rPr>
                <w:rFonts w:cs="Times New Roman" w:hint="eastAsia"/>
                <w:sz w:val="21"/>
                <w:szCs w:val="21"/>
              </w:rPr>
              <w:t>《土地整治煤矸石回填技术规范》（</w:t>
            </w:r>
            <w:r>
              <w:rPr>
                <w:rFonts w:cs="Times New Roman"/>
                <w:sz w:val="21"/>
                <w:szCs w:val="21"/>
              </w:rPr>
              <w:t>NB/T 11431</w:t>
            </w:r>
            <w:r>
              <w:rPr>
                <w:rFonts w:cs="Times New Roman" w:hint="eastAsia"/>
                <w:sz w:val="21"/>
                <w:szCs w:val="21"/>
              </w:rPr>
              <w:t>—</w:t>
            </w:r>
            <w:r>
              <w:rPr>
                <w:rFonts w:cs="Times New Roman"/>
                <w:sz w:val="21"/>
                <w:szCs w:val="21"/>
              </w:rPr>
              <w:t>2023</w:t>
            </w:r>
            <w:r>
              <w:rPr>
                <w:rFonts w:cs="Times New Roman" w:hint="eastAsia"/>
                <w:sz w:val="21"/>
                <w:szCs w:val="21"/>
              </w:rPr>
              <w:t>）</w:t>
            </w:r>
          </w:p>
        </w:tc>
      </w:tr>
      <w:tr w:rsidR="00595FD3" w14:paraId="5F2EE8B7" w14:textId="77777777">
        <w:trPr>
          <w:trHeight w:val="397"/>
          <w:jc w:val="center"/>
        </w:trPr>
        <w:tc>
          <w:tcPr>
            <w:tcW w:w="824" w:type="dxa"/>
            <w:vAlign w:val="center"/>
          </w:tcPr>
          <w:p w14:paraId="7FC3D091" w14:textId="77777777" w:rsidR="00595FD3" w:rsidRDefault="00000000">
            <w:pPr>
              <w:spacing w:line="240" w:lineRule="auto"/>
              <w:ind w:firstLineChars="0" w:firstLine="0"/>
              <w:jc w:val="center"/>
              <w:rPr>
                <w:rFonts w:cs="Times New Roman"/>
                <w:sz w:val="21"/>
                <w:szCs w:val="21"/>
              </w:rPr>
            </w:pPr>
            <w:r>
              <w:rPr>
                <w:rFonts w:cs="Times New Roman"/>
                <w:kern w:val="0"/>
                <w:sz w:val="21"/>
                <w:szCs w:val="21"/>
              </w:rPr>
              <w:t>4</w:t>
            </w:r>
          </w:p>
        </w:tc>
        <w:tc>
          <w:tcPr>
            <w:tcW w:w="1612" w:type="dxa"/>
            <w:vAlign w:val="center"/>
          </w:tcPr>
          <w:p w14:paraId="162540D7" w14:textId="77777777" w:rsidR="00595FD3" w:rsidRDefault="00000000">
            <w:pPr>
              <w:spacing w:line="240" w:lineRule="auto"/>
              <w:ind w:firstLineChars="0" w:firstLine="0"/>
              <w:jc w:val="center"/>
              <w:rPr>
                <w:rFonts w:cs="Times New Roman"/>
                <w:sz w:val="21"/>
                <w:szCs w:val="21"/>
              </w:rPr>
            </w:pPr>
            <w:r>
              <w:rPr>
                <w:rFonts w:cs="Times New Roman"/>
                <w:kern w:val="0"/>
                <w:sz w:val="21"/>
                <w:szCs w:val="21"/>
              </w:rPr>
              <w:t>/</w:t>
            </w:r>
          </w:p>
        </w:tc>
        <w:tc>
          <w:tcPr>
            <w:tcW w:w="1313" w:type="dxa"/>
            <w:vAlign w:val="center"/>
          </w:tcPr>
          <w:p w14:paraId="2E353CD1" w14:textId="2CA1EB87" w:rsidR="00595FD3" w:rsidRDefault="006D1BCE">
            <w:pPr>
              <w:spacing w:line="240" w:lineRule="auto"/>
              <w:ind w:firstLineChars="0" w:firstLine="0"/>
              <w:jc w:val="center"/>
              <w:rPr>
                <w:rFonts w:cs="Times New Roman"/>
                <w:sz w:val="21"/>
                <w:szCs w:val="21"/>
              </w:rPr>
            </w:pPr>
            <w:r>
              <w:rPr>
                <w:rFonts w:cs="Times New Roman" w:hint="eastAsia"/>
                <w:kern w:val="0"/>
                <w:sz w:val="21"/>
                <w:szCs w:val="21"/>
              </w:rPr>
              <w:t>行业</w:t>
            </w:r>
            <w:r w:rsidR="00000000">
              <w:rPr>
                <w:rFonts w:cs="Times New Roman" w:hint="eastAsia"/>
                <w:kern w:val="0"/>
                <w:sz w:val="21"/>
                <w:szCs w:val="21"/>
              </w:rPr>
              <w:t>标准</w:t>
            </w:r>
          </w:p>
        </w:tc>
        <w:tc>
          <w:tcPr>
            <w:tcW w:w="4547" w:type="dxa"/>
            <w:vAlign w:val="center"/>
          </w:tcPr>
          <w:p w14:paraId="4B6AE70E" w14:textId="77777777" w:rsidR="00595FD3" w:rsidRDefault="00000000">
            <w:pPr>
              <w:spacing w:line="240" w:lineRule="auto"/>
              <w:ind w:firstLineChars="0" w:firstLine="0"/>
              <w:rPr>
                <w:rFonts w:cs="Times New Roman"/>
                <w:sz w:val="21"/>
                <w:szCs w:val="21"/>
              </w:rPr>
            </w:pPr>
            <w:r>
              <w:rPr>
                <w:rFonts w:cs="Times New Roman" w:hint="eastAsia"/>
                <w:kern w:val="0"/>
                <w:sz w:val="21"/>
                <w:szCs w:val="21"/>
              </w:rPr>
              <w:t>《赤泥利用污染控制技术规范（征求意见稿）》</w:t>
            </w:r>
          </w:p>
        </w:tc>
      </w:tr>
    </w:tbl>
    <w:p w14:paraId="25A28C26" w14:textId="77777777" w:rsidR="00595FD3" w:rsidRDefault="00595FD3">
      <w:pPr>
        <w:ind w:firstLine="480"/>
        <w:rPr>
          <w:rFonts w:cs="Times New Roman"/>
        </w:rPr>
      </w:pPr>
    </w:p>
    <w:p w14:paraId="67E75536" w14:textId="77777777" w:rsidR="00595FD3" w:rsidRDefault="00000000">
      <w:pPr>
        <w:ind w:firstLine="480"/>
        <w:rPr>
          <w:rFonts w:cs="Times New Roman"/>
        </w:rPr>
      </w:pPr>
      <w:r>
        <w:rPr>
          <w:rFonts w:cs="Times New Roman" w:hint="eastAsia"/>
        </w:rPr>
        <w:t>经对比分析，本标准与上述</w:t>
      </w:r>
      <w:proofErr w:type="gramStart"/>
      <w:r>
        <w:rPr>
          <w:rFonts w:cs="Times New Roman" w:hint="eastAsia"/>
        </w:rPr>
        <w:t>现行行业</w:t>
      </w:r>
      <w:proofErr w:type="gramEnd"/>
      <w:r>
        <w:rPr>
          <w:rFonts w:cs="Times New Roman" w:hint="eastAsia"/>
        </w:rPr>
        <w:t>标准的差异性，主要体现在固废适用类型</w:t>
      </w:r>
      <w:r>
        <w:rPr>
          <w:rFonts w:cs="Times New Roman"/>
        </w:rPr>
        <w:t>、回填场景覆盖</w:t>
      </w:r>
      <w:r>
        <w:rPr>
          <w:rFonts w:cs="Times New Roman" w:hint="eastAsia"/>
        </w:rPr>
        <w:t>与技术要求细化程度三个核心层面，具体如下：</w:t>
      </w:r>
    </w:p>
    <w:p w14:paraId="30BCD66E" w14:textId="77777777" w:rsidR="00595FD3" w:rsidRDefault="00000000">
      <w:pPr>
        <w:ind w:firstLine="480"/>
        <w:rPr>
          <w:rFonts w:cs="Times New Roman"/>
        </w:rPr>
      </w:pPr>
      <w:r>
        <w:rPr>
          <w:rFonts w:cs="Times New Roman"/>
        </w:rPr>
        <w:t>一是固废适用类型更具广泛性。</w:t>
      </w:r>
      <w:r>
        <w:rPr>
          <w:rFonts w:cs="Times New Roman" w:hint="eastAsia"/>
        </w:rPr>
        <w:t>现行</w:t>
      </w:r>
      <w:r>
        <w:rPr>
          <w:rFonts w:cs="Times New Roman"/>
        </w:rPr>
        <w:t>3</w:t>
      </w:r>
      <w:r>
        <w:rPr>
          <w:rFonts w:cs="Times New Roman"/>
        </w:rPr>
        <w:t>项行业标准</w:t>
      </w:r>
      <w:r>
        <w:rPr>
          <w:rFonts w:cs="Times New Roman" w:hint="eastAsia"/>
        </w:rPr>
        <w:t>及赤泥征求</w:t>
      </w:r>
      <w:proofErr w:type="gramStart"/>
      <w:r>
        <w:rPr>
          <w:rFonts w:cs="Times New Roman" w:hint="eastAsia"/>
        </w:rPr>
        <w:t>意见稿</w:t>
      </w:r>
      <w:r>
        <w:rPr>
          <w:rFonts w:cs="Times New Roman"/>
        </w:rPr>
        <w:t>均局限</w:t>
      </w:r>
      <w:proofErr w:type="gramEnd"/>
      <w:r>
        <w:rPr>
          <w:rFonts w:cs="Times New Roman"/>
        </w:rPr>
        <w:t>于</w:t>
      </w:r>
      <w:proofErr w:type="gramStart"/>
      <w:r>
        <w:rPr>
          <w:rFonts w:cs="Times New Roman"/>
        </w:rPr>
        <w:t>单一固</w:t>
      </w:r>
      <w:proofErr w:type="gramEnd"/>
      <w:r>
        <w:rPr>
          <w:rFonts w:cs="Times New Roman"/>
        </w:rPr>
        <w:t>废品种的专项管控，适用范围针对性单一，仅能满足单一种类固废的回填技术需求</w:t>
      </w:r>
      <w:r>
        <w:rPr>
          <w:rFonts w:cs="Times New Roman" w:hint="eastAsia"/>
        </w:rPr>
        <w:t>。</w:t>
      </w:r>
      <w:r>
        <w:rPr>
          <w:rFonts w:cs="Times New Roman"/>
        </w:rPr>
        <w:t>其中，</w:t>
      </w:r>
      <w:r>
        <w:rPr>
          <w:rFonts w:cs="Times New Roman"/>
        </w:rPr>
        <w:t>HJ 1461</w:t>
      </w:r>
      <w:r>
        <w:rPr>
          <w:rFonts w:cs="Times New Roman" w:hint="eastAsia"/>
        </w:rPr>
        <w:t>规范</w:t>
      </w:r>
      <w:r>
        <w:rPr>
          <w:rFonts w:cs="Times New Roman"/>
        </w:rPr>
        <w:t>水基岩屑</w:t>
      </w:r>
      <w:r>
        <w:rPr>
          <w:rFonts w:cs="Times New Roman" w:hint="eastAsia"/>
        </w:rPr>
        <w:t>作为</w:t>
      </w:r>
      <w:r>
        <w:rPr>
          <w:rFonts w:cs="Times New Roman"/>
        </w:rPr>
        <w:t>回填材料</w:t>
      </w:r>
      <w:r>
        <w:rPr>
          <w:rFonts w:cs="Times New Roman" w:hint="eastAsia"/>
        </w:rPr>
        <w:t>基本要求；</w:t>
      </w:r>
      <w:r>
        <w:rPr>
          <w:rFonts w:cs="Times New Roman"/>
        </w:rPr>
        <w:t>HJ 1415</w:t>
      </w:r>
      <w:r>
        <w:rPr>
          <w:rFonts w:cs="Times New Roman"/>
        </w:rPr>
        <w:t>专门规范磷石膏回填利用的选址、作业及污染控制相关技术要求；</w:t>
      </w:r>
      <w:r>
        <w:rPr>
          <w:rFonts w:cs="Times New Roman"/>
        </w:rPr>
        <w:t>NB/T 11431</w:t>
      </w:r>
      <w:r>
        <w:rPr>
          <w:rFonts w:cs="Times New Roman"/>
        </w:rPr>
        <w:t>局限于土地整治单一场景，明确煤矸石回填的选址、工程实施及环境管控要求</w:t>
      </w:r>
      <w:r>
        <w:rPr>
          <w:rFonts w:cs="Times New Roman" w:hint="eastAsia"/>
        </w:rPr>
        <w:t>；</w:t>
      </w:r>
      <w:r>
        <w:rPr>
          <w:rFonts w:cs="Times New Roman"/>
        </w:rPr>
        <w:t>《赤泥利用污染控制技术规范（征求意见稿）》提出了赤泥回填</w:t>
      </w:r>
      <w:r>
        <w:rPr>
          <w:rFonts w:cs="Times New Roman" w:hint="eastAsia"/>
        </w:rPr>
        <w:t>利用</w:t>
      </w:r>
      <w:r>
        <w:rPr>
          <w:rFonts w:cs="Times New Roman"/>
        </w:rPr>
        <w:t>特征污染物的管控限值</w:t>
      </w:r>
      <w:r>
        <w:rPr>
          <w:rFonts w:cs="Times New Roman" w:hint="eastAsia"/>
        </w:rPr>
        <w:t>、选址、防渗等要求</w:t>
      </w:r>
      <w:r>
        <w:rPr>
          <w:rFonts w:cs="Times New Roman"/>
        </w:rPr>
        <w:t>。本标准立足重庆地区产业发展实际，打破</w:t>
      </w:r>
      <w:proofErr w:type="gramStart"/>
      <w:r>
        <w:rPr>
          <w:rFonts w:cs="Times New Roman"/>
        </w:rPr>
        <w:t>单一固废</w:t>
      </w:r>
      <w:r>
        <w:rPr>
          <w:rFonts w:cs="Times New Roman"/>
        </w:rPr>
        <w:lastRenderedPageBreak/>
        <w:t>管</w:t>
      </w:r>
      <w:proofErr w:type="gramEnd"/>
      <w:r>
        <w:rPr>
          <w:rFonts w:cs="Times New Roman"/>
        </w:rPr>
        <w:t>控局限，覆盖我市粉煤灰、赤泥、钢渣等</w:t>
      </w:r>
      <w:r>
        <w:rPr>
          <w:rFonts w:cs="Times New Roman"/>
        </w:rPr>
        <w:t>8</w:t>
      </w:r>
      <w:r>
        <w:rPr>
          <w:rFonts w:cs="Times New Roman"/>
        </w:rPr>
        <w:t>类典型一般工业固体废物，针对性制定回填</w:t>
      </w:r>
      <w:proofErr w:type="gramStart"/>
      <w:r>
        <w:rPr>
          <w:rFonts w:cs="Times New Roman"/>
        </w:rPr>
        <w:t>物料管</w:t>
      </w:r>
      <w:proofErr w:type="gramEnd"/>
      <w:r>
        <w:rPr>
          <w:rFonts w:cs="Times New Roman"/>
        </w:rPr>
        <w:t>控要求，适配多品类固废回填利用需求。</w:t>
      </w:r>
    </w:p>
    <w:p w14:paraId="577AFD52" w14:textId="77777777" w:rsidR="00595FD3" w:rsidRDefault="00000000">
      <w:pPr>
        <w:ind w:firstLine="480"/>
        <w:rPr>
          <w:rFonts w:cs="Times New Roman"/>
        </w:rPr>
      </w:pPr>
      <w:r>
        <w:rPr>
          <w:rFonts w:cs="Times New Roman"/>
        </w:rPr>
        <w:t>二是回填场景覆盖更具全面性。本技术标准在场景覆盖上实现创新拓展，</w:t>
      </w:r>
      <w:r>
        <w:rPr>
          <w:rFonts w:cs="Times New Roman" w:hint="eastAsia"/>
        </w:rPr>
        <w:t>基于我市分布广泛的喀斯特地貌，</w:t>
      </w:r>
      <w:r>
        <w:rPr>
          <w:rFonts w:cs="Times New Roman"/>
        </w:rPr>
        <w:t>全面涵盖生态修复、排危除险、地形重构、土地平整等各类具有回填需求的土地利用活动，有效突破单一场景管控限制，适配性和实用性大幅提升，充分凸显地域适配优势，更好服务于重庆本地回填工程实践。</w:t>
      </w:r>
    </w:p>
    <w:p w14:paraId="245517F2" w14:textId="77777777" w:rsidR="00595FD3" w:rsidRDefault="00000000">
      <w:pPr>
        <w:ind w:firstLine="480"/>
        <w:rPr>
          <w:rFonts w:cs="Times New Roman"/>
        </w:rPr>
      </w:pPr>
      <w:r>
        <w:rPr>
          <w:rFonts w:cs="Times New Roman" w:hint="eastAsia"/>
        </w:rPr>
        <w:t>三是在技术要求的细化程度与实操性上，本标准体现了明显的补位与强化特征。现行</w:t>
      </w:r>
      <w:r>
        <w:rPr>
          <w:rFonts w:cs="Times New Roman" w:hint="eastAsia"/>
        </w:rPr>
        <w:t>3</w:t>
      </w:r>
      <w:r>
        <w:rPr>
          <w:rFonts w:cs="Times New Roman" w:hint="eastAsia"/>
        </w:rPr>
        <w:t>项行业标准虽对对应固废的回填提出了基础要求，但整体偏宏观、偏通用，需针对特定区域地质地貌、水文条件进一步细化完善。本技术标准在严格衔接国家及行业标准核心要求的前提下，充分结合重庆地形地貌、水文地质及固废理化特性，对回填场地准入、环境本底调查、风险评估、工程实施、污染控制及后期管护等全链条环节进行系统化、精细化补充。同时，针对不同固废的风险特点制定差异化管控指标，使技术要求更贴合本地实际，流程更清晰，可操作性显著增强。</w:t>
      </w:r>
    </w:p>
    <w:p w14:paraId="6F845AA1" w14:textId="77777777" w:rsidR="00595FD3" w:rsidRDefault="00000000">
      <w:pPr>
        <w:pStyle w:val="2"/>
      </w:pPr>
      <w:bookmarkStart w:id="27" w:name="_Toc224892800"/>
      <w:bookmarkStart w:id="28" w:name="_Toc229926296"/>
      <w:bookmarkStart w:id="29" w:name="_Toc224892802"/>
      <w:bookmarkStart w:id="30" w:name="_Toc230073418"/>
      <w:bookmarkStart w:id="31" w:name="_Toc224892801"/>
      <w:bookmarkStart w:id="32" w:name="_Toc230073417"/>
      <w:bookmarkStart w:id="33" w:name="_Toc229926295"/>
      <w:bookmarkStart w:id="34" w:name="_Toc230073419"/>
      <w:bookmarkEnd w:id="27"/>
      <w:bookmarkEnd w:id="28"/>
      <w:bookmarkEnd w:id="29"/>
      <w:bookmarkEnd w:id="30"/>
      <w:bookmarkEnd w:id="31"/>
      <w:bookmarkEnd w:id="32"/>
      <w:bookmarkEnd w:id="33"/>
      <w:r>
        <w:t>地方标准</w:t>
      </w:r>
      <w:bookmarkEnd w:id="34"/>
    </w:p>
    <w:p w14:paraId="4395C9C6" w14:textId="77777777" w:rsidR="00595FD3" w:rsidRDefault="00000000">
      <w:pPr>
        <w:ind w:firstLine="480"/>
        <w:rPr>
          <w:rFonts w:cs="Times New Roman"/>
        </w:rPr>
      </w:pPr>
      <w:r>
        <w:rPr>
          <w:rFonts w:cs="Times New Roman"/>
        </w:rPr>
        <w:t>我国多省市制订了有关一般工业固体废物用于回填技术规范共</w:t>
      </w:r>
      <w:r>
        <w:rPr>
          <w:rFonts w:cs="Times New Roman"/>
        </w:rPr>
        <w:t>8</w:t>
      </w:r>
      <w:r>
        <w:rPr>
          <w:rFonts w:cs="Times New Roman"/>
        </w:rPr>
        <w:t>项，具体情况见</w:t>
      </w:r>
      <w:r>
        <w:rPr>
          <w:rFonts w:cs="Times New Roman" w:hint="eastAsia"/>
        </w:rPr>
        <w:t>下</w:t>
      </w:r>
      <w:r>
        <w:rPr>
          <w:rFonts w:cs="Times New Roman"/>
        </w:rPr>
        <w:t>表。</w:t>
      </w:r>
    </w:p>
    <w:p w14:paraId="646A915C" w14:textId="77777777" w:rsidR="00595FD3" w:rsidRDefault="00000000">
      <w:pPr>
        <w:pStyle w:val="5"/>
      </w:pPr>
      <w:bookmarkStart w:id="35" w:name="OLE_LINK4"/>
      <w:r>
        <w:t>一般工业固体废物用于回填技术规范有关地方标准</w:t>
      </w:r>
    </w:p>
    <w:tbl>
      <w:tblPr>
        <w:tblStyle w:val="afa"/>
        <w:tblW w:w="5000" w:type="pct"/>
        <w:jc w:val="center"/>
        <w:tblLayout w:type="fixed"/>
        <w:tblLook w:val="04A0" w:firstRow="1" w:lastRow="0" w:firstColumn="1" w:lastColumn="0" w:noHBand="0" w:noVBand="1"/>
      </w:tblPr>
      <w:tblGrid>
        <w:gridCol w:w="421"/>
        <w:gridCol w:w="992"/>
        <w:gridCol w:w="992"/>
        <w:gridCol w:w="3402"/>
        <w:gridCol w:w="2489"/>
      </w:tblGrid>
      <w:tr w:rsidR="00595FD3" w14:paraId="6E75B339" w14:textId="77777777">
        <w:trPr>
          <w:trHeight w:val="397"/>
          <w:tblHeader/>
          <w:jc w:val="center"/>
        </w:trPr>
        <w:tc>
          <w:tcPr>
            <w:tcW w:w="421" w:type="dxa"/>
            <w:vAlign w:val="center"/>
          </w:tcPr>
          <w:bookmarkEnd w:id="35"/>
          <w:p w14:paraId="67576DDB" w14:textId="77777777" w:rsidR="00595FD3" w:rsidRDefault="00000000">
            <w:pPr>
              <w:pStyle w:val="aff2"/>
              <w:rPr>
                <w:b/>
                <w:bCs/>
                <w:sz w:val="21"/>
                <w:szCs w:val="21"/>
              </w:rPr>
            </w:pPr>
            <w:r>
              <w:rPr>
                <w:rFonts w:hint="eastAsia"/>
                <w:b/>
                <w:bCs/>
                <w:sz w:val="21"/>
                <w:szCs w:val="21"/>
              </w:rPr>
              <w:t>序号</w:t>
            </w:r>
          </w:p>
        </w:tc>
        <w:tc>
          <w:tcPr>
            <w:tcW w:w="992" w:type="dxa"/>
            <w:vAlign w:val="center"/>
          </w:tcPr>
          <w:p w14:paraId="201E58EE" w14:textId="77777777" w:rsidR="00595FD3" w:rsidRDefault="00000000">
            <w:pPr>
              <w:pStyle w:val="aff2"/>
              <w:rPr>
                <w:b/>
                <w:bCs/>
                <w:sz w:val="21"/>
                <w:szCs w:val="21"/>
              </w:rPr>
            </w:pPr>
            <w:r>
              <w:rPr>
                <w:rFonts w:hint="eastAsia"/>
                <w:b/>
                <w:bCs/>
                <w:sz w:val="21"/>
                <w:szCs w:val="21"/>
              </w:rPr>
              <w:t>时间</w:t>
            </w:r>
          </w:p>
        </w:tc>
        <w:tc>
          <w:tcPr>
            <w:tcW w:w="992" w:type="dxa"/>
            <w:vAlign w:val="center"/>
          </w:tcPr>
          <w:p w14:paraId="47466B4B" w14:textId="77777777" w:rsidR="00595FD3" w:rsidRDefault="00000000">
            <w:pPr>
              <w:pStyle w:val="aff2"/>
              <w:rPr>
                <w:b/>
                <w:bCs/>
                <w:sz w:val="21"/>
                <w:szCs w:val="21"/>
              </w:rPr>
            </w:pPr>
            <w:r>
              <w:rPr>
                <w:rFonts w:hint="eastAsia"/>
                <w:b/>
                <w:bCs/>
                <w:sz w:val="21"/>
                <w:szCs w:val="21"/>
              </w:rPr>
              <w:t>地区</w:t>
            </w:r>
          </w:p>
        </w:tc>
        <w:tc>
          <w:tcPr>
            <w:tcW w:w="3402" w:type="dxa"/>
            <w:vAlign w:val="center"/>
          </w:tcPr>
          <w:p w14:paraId="738EE500" w14:textId="77777777" w:rsidR="00595FD3" w:rsidRDefault="00000000">
            <w:pPr>
              <w:pStyle w:val="aff2"/>
              <w:rPr>
                <w:b/>
                <w:bCs/>
                <w:sz w:val="21"/>
                <w:szCs w:val="21"/>
              </w:rPr>
            </w:pPr>
            <w:r>
              <w:rPr>
                <w:rFonts w:hint="eastAsia"/>
                <w:b/>
                <w:bCs/>
                <w:sz w:val="21"/>
                <w:szCs w:val="21"/>
              </w:rPr>
              <w:t>名称</w:t>
            </w:r>
          </w:p>
        </w:tc>
        <w:tc>
          <w:tcPr>
            <w:tcW w:w="2489" w:type="dxa"/>
            <w:vAlign w:val="center"/>
          </w:tcPr>
          <w:p w14:paraId="4BF41926" w14:textId="77777777" w:rsidR="00595FD3" w:rsidRDefault="00000000">
            <w:pPr>
              <w:pStyle w:val="aff2"/>
              <w:rPr>
                <w:b/>
                <w:bCs/>
                <w:sz w:val="21"/>
                <w:szCs w:val="21"/>
              </w:rPr>
            </w:pPr>
            <w:r>
              <w:rPr>
                <w:rFonts w:hint="eastAsia"/>
                <w:b/>
                <w:bCs/>
                <w:sz w:val="21"/>
                <w:szCs w:val="21"/>
              </w:rPr>
              <w:t>适用范围及场景</w:t>
            </w:r>
          </w:p>
        </w:tc>
      </w:tr>
      <w:tr w:rsidR="00595FD3" w14:paraId="3DA550AF" w14:textId="77777777">
        <w:trPr>
          <w:trHeight w:val="397"/>
          <w:jc w:val="center"/>
        </w:trPr>
        <w:tc>
          <w:tcPr>
            <w:tcW w:w="421" w:type="dxa"/>
            <w:vAlign w:val="center"/>
          </w:tcPr>
          <w:p w14:paraId="34698B8B" w14:textId="77777777" w:rsidR="00595FD3" w:rsidRDefault="00000000">
            <w:pPr>
              <w:pStyle w:val="aff2"/>
              <w:rPr>
                <w:sz w:val="21"/>
                <w:szCs w:val="21"/>
              </w:rPr>
            </w:pPr>
            <w:r>
              <w:rPr>
                <w:sz w:val="21"/>
                <w:szCs w:val="21"/>
              </w:rPr>
              <w:t>1</w:t>
            </w:r>
          </w:p>
        </w:tc>
        <w:tc>
          <w:tcPr>
            <w:tcW w:w="992" w:type="dxa"/>
            <w:vAlign w:val="center"/>
          </w:tcPr>
          <w:p w14:paraId="501B1475" w14:textId="77777777" w:rsidR="00595FD3" w:rsidRDefault="00000000">
            <w:pPr>
              <w:pStyle w:val="aff2"/>
              <w:rPr>
                <w:sz w:val="21"/>
                <w:szCs w:val="21"/>
              </w:rPr>
            </w:pPr>
            <w:r>
              <w:rPr>
                <w:sz w:val="21"/>
                <w:szCs w:val="21"/>
              </w:rPr>
              <w:t>2022</w:t>
            </w:r>
            <w:r>
              <w:rPr>
                <w:rFonts w:hint="eastAsia"/>
                <w:sz w:val="21"/>
                <w:szCs w:val="21"/>
              </w:rPr>
              <w:t>年</w:t>
            </w:r>
            <w:r>
              <w:rPr>
                <w:sz w:val="21"/>
                <w:szCs w:val="21"/>
              </w:rPr>
              <w:t>8</w:t>
            </w:r>
            <w:r>
              <w:rPr>
                <w:rFonts w:hint="eastAsia"/>
                <w:sz w:val="21"/>
                <w:szCs w:val="21"/>
              </w:rPr>
              <w:t>月</w:t>
            </w:r>
          </w:p>
        </w:tc>
        <w:tc>
          <w:tcPr>
            <w:tcW w:w="992" w:type="dxa"/>
            <w:vAlign w:val="center"/>
          </w:tcPr>
          <w:p w14:paraId="39ECB8DA" w14:textId="77777777" w:rsidR="00595FD3" w:rsidRDefault="00000000">
            <w:pPr>
              <w:pStyle w:val="aff2"/>
              <w:rPr>
                <w:sz w:val="21"/>
                <w:szCs w:val="21"/>
              </w:rPr>
            </w:pPr>
            <w:r>
              <w:rPr>
                <w:rFonts w:hint="eastAsia"/>
                <w:sz w:val="21"/>
                <w:szCs w:val="21"/>
              </w:rPr>
              <w:t>内蒙古自治区</w:t>
            </w:r>
          </w:p>
        </w:tc>
        <w:tc>
          <w:tcPr>
            <w:tcW w:w="3402" w:type="dxa"/>
            <w:vAlign w:val="center"/>
          </w:tcPr>
          <w:p w14:paraId="497C4FB2" w14:textId="77777777" w:rsidR="00595FD3" w:rsidRDefault="00000000">
            <w:pPr>
              <w:pStyle w:val="aff2"/>
              <w:jc w:val="both"/>
              <w:rPr>
                <w:sz w:val="21"/>
                <w:szCs w:val="21"/>
              </w:rPr>
            </w:pPr>
            <w:r>
              <w:rPr>
                <w:rFonts w:hint="eastAsia"/>
                <w:sz w:val="21"/>
                <w:szCs w:val="21"/>
              </w:rPr>
              <w:t>《一般工业固体废物用于矿山采坑回填和生态恢复技术规范》（</w:t>
            </w:r>
            <w:r>
              <w:rPr>
                <w:sz w:val="21"/>
                <w:szCs w:val="21"/>
              </w:rPr>
              <w:t>DB15T 2763</w:t>
            </w:r>
            <w:r>
              <w:rPr>
                <w:rFonts w:hint="eastAsia"/>
                <w:sz w:val="21"/>
                <w:szCs w:val="21"/>
              </w:rPr>
              <w:t>—</w:t>
            </w:r>
            <w:r>
              <w:rPr>
                <w:sz w:val="21"/>
                <w:szCs w:val="21"/>
              </w:rPr>
              <w:t>2022</w:t>
            </w:r>
            <w:r>
              <w:rPr>
                <w:rFonts w:hint="eastAsia"/>
                <w:sz w:val="21"/>
                <w:szCs w:val="21"/>
              </w:rPr>
              <w:t>）</w:t>
            </w:r>
          </w:p>
        </w:tc>
        <w:tc>
          <w:tcPr>
            <w:tcW w:w="2489" w:type="dxa"/>
            <w:vAlign w:val="center"/>
          </w:tcPr>
          <w:p w14:paraId="410A4AF6" w14:textId="77777777" w:rsidR="00595FD3" w:rsidRDefault="00000000">
            <w:pPr>
              <w:pStyle w:val="aff2"/>
              <w:numPr>
                <w:ilvl w:val="0"/>
                <w:numId w:val="5"/>
              </w:numPr>
              <w:jc w:val="both"/>
              <w:rPr>
                <w:sz w:val="21"/>
                <w:szCs w:val="21"/>
              </w:rPr>
            </w:pPr>
            <w:r>
              <w:rPr>
                <w:rFonts w:hint="eastAsia"/>
                <w:sz w:val="21"/>
                <w:szCs w:val="21"/>
              </w:rPr>
              <w:t>一般工业固体废物</w:t>
            </w:r>
          </w:p>
          <w:p w14:paraId="42EA9D67" w14:textId="77777777" w:rsidR="00595FD3" w:rsidRDefault="00000000">
            <w:pPr>
              <w:pStyle w:val="aff2"/>
              <w:numPr>
                <w:ilvl w:val="0"/>
                <w:numId w:val="5"/>
              </w:numPr>
              <w:jc w:val="both"/>
              <w:rPr>
                <w:sz w:val="21"/>
                <w:szCs w:val="21"/>
              </w:rPr>
            </w:pPr>
            <w:r>
              <w:rPr>
                <w:rFonts w:hint="eastAsia"/>
                <w:sz w:val="21"/>
                <w:szCs w:val="21"/>
              </w:rPr>
              <w:t>矿山回填</w:t>
            </w:r>
          </w:p>
        </w:tc>
      </w:tr>
      <w:tr w:rsidR="00595FD3" w14:paraId="77991B6F" w14:textId="77777777">
        <w:trPr>
          <w:trHeight w:val="397"/>
          <w:jc w:val="center"/>
        </w:trPr>
        <w:tc>
          <w:tcPr>
            <w:tcW w:w="421" w:type="dxa"/>
            <w:vAlign w:val="center"/>
          </w:tcPr>
          <w:p w14:paraId="0A15225E" w14:textId="77777777" w:rsidR="00595FD3" w:rsidRDefault="00000000">
            <w:pPr>
              <w:pStyle w:val="aff2"/>
              <w:rPr>
                <w:sz w:val="21"/>
                <w:szCs w:val="21"/>
              </w:rPr>
            </w:pPr>
            <w:r>
              <w:rPr>
                <w:sz w:val="21"/>
                <w:szCs w:val="21"/>
              </w:rPr>
              <w:t>2</w:t>
            </w:r>
          </w:p>
        </w:tc>
        <w:tc>
          <w:tcPr>
            <w:tcW w:w="992" w:type="dxa"/>
            <w:vAlign w:val="center"/>
          </w:tcPr>
          <w:p w14:paraId="67D42CFD" w14:textId="77777777" w:rsidR="00595FD3" w:rsidRDefault="00000000">
            <w:pPr>
              <w:pStyle w:val="aff2"/>
              <w:rPr>
                <w:sz w:val="21"/>
                <w:szCs w:val="21"/>
              </w:rPr>
            </w:pPr>
            <w:r>
              <w:rPr>
                <w:sz w:val="21"/>
                <w:szCs w:val="21"/>
              </w:rPr>
              <w:t>2023</w:t>
            </w:r>
            <w:r>
              <w:rPr>
                <w:rFonts w:hint="eastAsia"/>
                <w:sz w:val="21"/>
                <w:szCs w:val="21"/>
              </w:rPr>
              <w:t>年</w:t>
            </w:r>
            <w:r>
              <w:rPr>
                <w:sz w:val="21"/>
                <w:szCs w:val="21"/>
              </w:rPr>
              <w:t>7</w:t>
            </w:r>
            <w:r>
              <w:rPr>
                <w:rFonts w:hint="eastAsia"/>
                <w:sz w:val="21"/>
                <w:szCs w:val="21"/>
              </w:rPr>
              <w:t>月</w:t>
            </w:r>
          </w:p>
        </w:tc>
        <w:tc>
          <w:tcPr>
            <w:tcW w:w="992" w:type="dxa"/>
            <w:vAlign w:val="center"/>
          </w:tcPr>
          <w:p w14:paraId="51CED2A1" w14:textId="77777777" w:rsidR="00595FD3" w:rsidRDefault="00000000">
            <w:pPr>
              <w:pStyle w:val="aff2"/>
              <w:rPr>
                <w:sz w:val="21"/>
                <w:szCs w:val="21"/>
              </w:rPr>
            </w:pPr>
            <w:r>
              <w:rPr>
                <w:rFonts w:hint="eastAsia"/>
                <w:sz w:val="21"/>
                <w:szCs w:val="21"/>
              </w:rPr>
              <w:t>安徽省</w:t>
            </w:r>
          </w:p>
        </w:tc>
        <w:tc>
          <w:tcPr>
            <w:tcW w:w="3402" w:type="dxa"/>
            <w:vAlign w:val="center"/>
          </w:tcPr>
          <w:p w14:paraId="067359D6" w14:textId="77777777" w:rsidR="00595FD3" w:rsidRDefault="00000000">
            <w:pPr>
              <w:pStyle w:val="aff2"/>
              <w:jc w:val="both"/>
              <w:rPr>
                <w:sz w:val="21"/>
                <w:szCs w:val="21"/>
              </w:rPr>
            </w:pPr>
            <w:r>
              <w:rPr>
                <w:rFonts w:hint="eastAsia"/>
                <w:sz w:val="21"/>
                <w:szCs w:val="21"/>
              </w:rPr>
              <w:t>《废弃露天采坑一般工业固废处置与生态修复技术规范》（</w:t>
            </w:r>
            <w:r>
              <w:rPr>
                <w:sz w:val="21"/>
                <w:szCs w:val="21"/>
              </w:rPr>
              <w:t>DB34T4541</w:t>
            </w:r>
            <w:r>
              <w:rPr>
                <w:rFonts w:hint="eastAsia"/>
                <w:sz w:val="21"/>
                <w:szCs w:val="21"/>
              </w:rPr>
              <w:t>—</w:t>
            </w:r>
            <w:r>
              <w:rPr>
                <w:sz w:val="21"/>
                <w:szCs w:val="21"/>
              </w:rPr>
              <w:t>2023</w:t>
            </w:r>
            <w:r>
              <w:rPr>
                <w:rFonts w:hint="eastAsia"/>
                <w:sz w:val="21"/>
                <w:szCs w:val="21"/>
              </w:rPr>
              <w:t>）</w:t>
            </w:r>
          </w:p>
        </w:tc>
        <w:tc>
          <w:tcPr>
            <w:tcW w:w="2489" w:type="dxa"/>
            <w:vAlign w:val="center"/>
          </w:tcPr>
          <w:p w14:paraId="124A1713" w14:textId="77777777" w:rsidR="00595FD3" w:rsidRDefault="00000000">
            <w:pPr>
              <w:pStyle w:val="aff2"/>
              <w:numPr>
                <w:ilvl w:val="0"/>
                <w:numId w:val="6"/>
              </w:numPr>
              <w:jc w:val="both"/>
              <w:rPr>
                <w:sz w:val="21"/>
                <w:szCs w:val="21"/>
              </w:rPr>
            </w:pPr>
            <w:r>
              <w:rPr>
                <w:rFonts w:hint="eastAsia"/>
                <w:sz w:val="21"/>
                <w:szCs w:val="21"/>
              </w:rPr>
              <w:t>一般工业固体废物</w:t>
            </w:r>
          </w:p>
          <w:p w14:paraId="3F63ED73" w14:textId="77777777" w:rsidR="00595FD3" w:rsidRDefault="00000000">
            <w:pPr>
              <w:pStyle w:val="aff2"/>
              <w:numPr>
                <w:ilvl w:val="0"/>
                <w:numId w:val="6"/>
              </w:numPr>
              <w:jc w:val="both"/>
              <w:rPr>
                <w:sz w:val="21"/>
                <w:szCs w:val="21"/>
              </w:rPr>
            </w:pPr>
            <w:r>
              <w:rPr>
                <w:rFonts w:hint="eastAsia"/>
                <w:sz w:val="21"/>
                <w:szCs w:val="21"/>
              </w:rPr>
              <w:t>矿山回填</w:t>
            </w:r>
          </w:p>
        </w:tc>
      </w:tr>
      <w:tr w:rsidR="00595FD3" w14:paraId="139BFC47" w14:textId="77777777">
        <w:trPr>
          <w:trHeight w:val="397"/>
          <w:jc w:val="center"/>
        </w:trPr>
        <w:tc>
          <w:tcPr>
            <w:tcW w:w="421" w:type="dxa"/>
            <w:vAlign w:val="center"/>
          </w:tcPr>
          <w:p w14:paraId="47BE562D" w14:textId="77777777" w:rsidR="00595FD3" w:rsidRDefault="00000000">
            <w:pPr>
              <w:pStyle w:val="aff2"/>
              <w:rPr>
                <w:sz w:val="21"/>
                <w:szCs w:val="21"/>
              </w:rPr>
            </w:pPr>
            <w:r>
              <w:rPr>
                <w:sz w:val="21"/>
                <w:szCs w:val="21"/>
              </w:rPr>
              <w:t>3</w:t>
            </w:r>
          </w:p>
        </w:tc>
        <w:tc>
          <w:tcPr>
            <w:tcW w:w="992" w:type="dxa"/>
            <w:vAlign w:val="center"/>
          </w:tcPr>
          <w:p w14:paraId="6BFCE911" w14:textId="77777777" w:rsidR="00595FD3" w:rsidRDefault="00000000">
            <w:pPr>
              <w:pStyle w:val="aff2"/>
              <w:rPr>
                <w:sz w:val="21"/>
                <w:szCs w:val="21"/>
              </w:rPr>
            </w:pPr>
            <w:r>
              <w:rPr>
                <w:sz w:val="21"/>
                <w:szCs w:val="21"/>
              </w:rPr>
              <w:t>2024</w:t>
            </w:r>
            <w:r>
              <w:rPr>
                <w:rFonts w:hint="eastAsia"/>
                <w:sz w:val="21"/>
                <w:szCs w:val="21"/>
              </w:rPr>
              <w:t>年</w:t>
            </w:r>
            <w:r>
              <w:rPr>
                <w:sz w:val="21"/>
                <w:szCs w:val="21"/>
              </w:rPr>
              <w:t>5</w:t>
            </w:r>
            <w:r>
              <w:rPr>
                <w:rFonts w:hint="eastAsia"/>
                <w:sz w:val="21"/>
                <w:szCs w:val="21"/>
              </w:rPr>
              <w:t>月</w:t>
            </w:r>
          </w:p>
        </w:tc>
        <w:tc>
          <w:tcPr>
            <w:tcW w:w="992" w:type="dxa"/>
            <w:vAlign w:val="center"/>
          </w:tcPr>
          <w:p w14:paraId="60862084" w14:textId="77777777" w:rsidR="00595FD3" w:rsidRDefault="00000000">
            <w:pPr>
              <w:pStyle w:val="aff2"/>
              <w:rPr>
                <w:sz w:val="21"/>
                <w:szCs w:val="21"/>
              </w:rPr>
            </w:pPr>
            <w:r>
              <w:rPr>
                <w:rFonts w:hint="eastAsia"/>
                <w:sz w:val="21"/>
                <w:szCs w:val="21"/>
              </w:rPr>
              <w:t>云南省</w:t>
            </w:r>
          </w:p>
        </w:tc>
        <w:tc>
          <w:tcPr>
            <w:tcW w:w="3402" w:type="dxa"/>
            <w:vAlign w:val="center"/>
          </w:tcPr>
          <w:p w14:paraId="149A6529" w14:textId="77777777" w:rsidR="00595FD3" w:rsidRDefault="00000000">
            <w:pPr>
              <w:pStyle w:val="aff2"/>
              <w:jc w:val="both"/>
              <w:rPr>
                <w:sz w:val="21"/>
                <w:szCs w:val="21"/>
              </w:rPr>
            </w:pPr>
            <w:r>
              <w:rPr>
                <w:rFonts w:hint="eastAsia"/>
                <w:sz w:val="21"/>
                <w:szCs w:val="21"/>
              </w:rPr>
              <w:t>《改性磷石膏用于矿山废弃地生态修复回填技术规范》（</w:t>
            </w:r>
            <w:r>
              <w:rPr>
                <w:sz w:val="21"/>
                <w:szCs w:val="21"/>
              </w:rPr>
              <w:t>DB53/T 1269</w:t>
            </w:r>
            <w:r>
              <w:rPr>
                <w:rFonts w:hint="eastAsia"/>
                <w:sz w:val="21"/>
                <w:szCs w:val="21"/>
              </w:rPr>
              <w:t>—</w:t>
            </w:r>
            <w:r>
              <w:rPr>
                <w:sz w:val="21"/>
                <w:szCs w:val="21"/>
              </w:rPr>
              <w:t>2024</w:t>
            </w:r>
            <w:r>
              <w:rPr>
                <w:rFonts w:hint="eastAsia"/>
                <w:sz w:val="21"/>
                <w:szCs w:val="21"/>
              </w:rPr>
              <w:t>）</w:t>
            </w:r>
          </w:p>
        </w:tc>
        <w:tc>
          <w:tcPr>
            <w:tcW w:w="2489" w:type="dxa"/>
            <w:vMerge w:val="restart"/>
            <w:vAlign w:val="center"/>
          </w:tcPr>
          <w:p w14:paraId="02279D61" w14:textId="77777777" w:rsidR="00595FD3" w:rsidRDefault="00000000">
            <w:pPr>
              <w:pStyle w:val="aff2"/>
              <w:numPr>
                <w:ilvl w:val="0"/>
                <w:numId w:val="7"/>
              </w:numPr>
              <w:jc w:val="both"/>
              <w:rPr>
                <w:sz w:val="21"/>
                <w:szCs w:val="21"/>
              </w:rPr>
            </w:pPr>
            <w:r>
              <w:rPr>
                <w:rFonts w:hint="eastAsia"/>
                <w:sz w:val="21"/>
                <w:szCs w:val="21"/>
              </w:rPr>
              <w:t>磷石膏</w:t>
            </w:r>
          </w:p>
          <w:p w14:paraId="44CD50A7" w14:textId="77777777" w:rsidR="00595FD3" w:rsidRDefault="00000000">
            <w:pPr>
              <w:pStyle w:val="aff2"/>
              <w:numPr>
                <w:ilvl w:val="0"/>
                <w:numId w:val="7"/>
              </w:numPr>
              <w:jc w:val="both"/>
              <w:rPr>
                <w:sz w:val="21"/>
                <w:szCs w:val="21"/>
              </w:rPr>
            </w:pPr>
            <w:r>
              <w:rPr>
                <w:rFonts w:hint="eastAsia"/>
                <w:sz w:val="21"/>
                <w:szCs w:val="21"/>
              </w:rPr>
              <w:t>矿山回填</w:t>
            </w:r>
          </w:p>
        </w:tc>
      </w:tr>
      <w:tr w:rsidR="00595FD3" w14:paraId="235D3978" w14:textId="77777777">
        <w:trPr>
          <w:trHeight w:val="397"/>
          <w:jc w:val="center"/>
        </w:trPr>
        <w:tc>
          <w:tcPr>
            <w:tcW w:w="421" w:type="dxa"/>
            <w:vMerge w:val="restart"/>
            <w:vAlign w:val="center"/>
          </w:tcPr>
          <w:p w14:paraId="6229DF98" w14:textId="77777777" w:rsidR="00595FD3" w:rsidRDefault="00000000">
            <w:pPr>
              <w:pStyle w:val="aff2"/>
              <w:rPr>
                <w:sz w:val="21"/>
                <w:szCs w:val="21"/>
              </w:rPr>
            </w:pPr>
            <w:r>
              <w:rPr>
                <w:sz w:val="21"/>
                <w:szCs w:val="21"/>
              </w:rPr>
              <w:lastRenderedPageBreak/>
              <w:t>4</w:t>
            </w:r>
          </w:p>
        </w:tc>
        <w:tc>
          <w:tcPr>
            <w:tcW w:w="992" w:type="dxa"/>
            <w:vMerge w:val="restart"/>
            <w:vAlign w:val="center"/>
          </w:tcPr>
          <w:p w14:paraId="7B73C612" w14:textId="77777777" w:rsidR="00595FD3" w:rsidRDefault="00000000">
            <w:pPr>
              <w:pStyle w:val="aff2"/>
              <w:rPr>
                <w:sz w:val="21"/>
                <w:szCs w:val="21"/>
              </w:rPr>
            </w:pPr>
            <w:r>
              <w:rPr>
                <w:sz w:val="21"/>
                <w:szCs w:val="21"/>
              </w:rPr>
              <w:t>2023</w:t>
            </w:r>
            <w:r>
              <w:rPr>
                <w:rFonts w:hint="eastAsia"/>
                <w:sz w:val="21"/>
                <w:szCs w:val="21"/>
              </w:rPr>
              <w:t>年</w:t>
            </w:r>
            <w:r>
              <w:rPr>
                <w:sz w:val="21"/>
                <w:szCs w:val="21"/>
              </w:rPr>
              <w:t>11</w:t>
            </w:r>
            <w:r>
              <w:rPr>
                <w:rFonts w:hint="eastAsia"/>
                <w:sz w:val="21"/>
                <w:szCs w:val="21"/>
              </w:rPr>
              <w:t>月</w:t>
            </w:r>
          </w:p>
        </w:tc>
        <w:tc>
          <w:tcPr>
            <w:tcW w:w="992" w:type="dxa"/>
            <w:vMerge w:val="restart"/>
            <w:vAlign w:val="center"/>
          </w:tcPr>
          <w:p w14:paraId="2382AA69" w14:textId="77777777" w:rsidR="00595FD3" w:rsidRDefault="00000000">
            <w:pPr>
              <w:pStyle w:val="aff2"/>
              <w:rPr>
                <w:sz w:val="21"/>
                <w:szCs w:val="21"/>
              </w:rPr>
            </w:pPr>
            <w:r>
              <w:rPr>
                <w:rFonts w:hint="eastAsia"/>
                <w:sz w:val="21"/>
                <w:szCs w:val="21"/>
              </w:rPr>
              <w:t>昆明市</w:t>
            </w:r>
          </w:p>
        </w:tc>
        <w:tc>
          <w:tcPr>
            <w:tcW w:w="3402" w:type="dxa"/>
            <w:vAlign w:val="center"/>
          </w:tcPr>
          <w:p w14:paraId="66D03A03" w14:textId="77777777" w:rsidR="00595FD3" w:rsidRDefault="00000000">
            <w:pPr>
              <w:pStyle w:val="aff2"/>
              <w:jc w:val="both"/>
              <w:rPr>
                <w:sz w:val="21"/>
                <w:szCs w:val="21"/>
              </w:rPr>
            </w:pPr>
            <w:r>
              <w:rPr>
                <w:rFonts w:hint="eastAsia"/>
                <w:sz w:val="21"/>
                <w:szCs w:val="21"/>
              </w:rPr>
              <w:t>《改性磷石膏综合利用</w:t>
            </w:r>
            <w:r>
              <w:rPr>
                <w:sz w:val="21"/>
                <w:szCs w:val="21"/>
              </w:rPr>
              <w:t xml:space="preserve"> </w:t>
            </w:r>
            <w:r>
              <w:rPr>
                <w:rFonts w:hint="eastAsia"/>
                <w:sz w:val="21"/>
                <w:szCs w:val="21"/>
              </w:rPr>
              <w:t>矿山生态修复</w:t>
            </w:r>
            <w:r>
              <w:rPr>
                <w:sz w:val="21"/>
                <w:szCs w:val="21"/>
              </w:rPr>
              <w:t xml:space="preserve"> </w:t>
            </w:r>
            <w:r>
              <w:rPr>
                <w:rFonts w:hint="eastAsia"/>
                <w:sz w:val="21"/>
                <w:szCs w:val="21"/>
              </w:rPr>
              <w:t>环境风险评估规范》（</w:t>
            </w:r>
            <w:r>
              <w:rPr>
                <w:sz w:val="21"/>
                <w:szCs w:val="21"/>
              </w:rPr>
              <w:t>DB5301/T 98</w:t>
            </w:r>
            <w:r>
              <w:rPr>
                <w:rFonts w:hint="eastAsia"/>
                <w:sz w:val="21"/>
                <w:szCs w:val="21"/>
              </w:rPr>
              <w:t>—</w:t>
            </w:r>
            <w:r>
              <w:rPr>
                <w:sz w:val="21"/>
                <w:szCs w:val="21"/>
              </w:rPr>
              <w:t>2023</w:t>
            </w:r>
            <w:r>
              <w:rPr>
                <w:rFonts w:hint="eastAsia"/>
                <w:sz w:val="21"/>
                <w:szCs w:val="21"/>
              </w:rPr>
              <w:t>）</w:t>
            </w:r>
          </w:p>
        </w:tc>
        <w:tc>
          <w:tcPr>
            <w:tcW w:w="2489" w:type="dxa"/>
            <w:vMerge/>
            <w:vAlign w:val="center"/>
          </w:tcPr>
          <w:p w14:paraId="5D4E63F3" w14:textId="77777777" w:rsidR="00595FD3" w:rsidRDefault="00595FD3">
            <w:pPr>
              <w:pStyle w:val="aff2"/>
              <w:jc w:val="both"/>
              <w:rPr>
                <w:sz w:val="21"/>
                <w:szCs w:val="21"/>
              </w:rPr>
            </w:pPr>
          </w:p>
        </w:tc>
      </w:tr>
      <w:tr w:rsidR="00595FD3" w14:paraId="6AC3AAC6" w14:textId="77777777">
        <w:trPr>
          <w:trHeight w:val="397"/>
          <w:jc w:val="center"/>
        </w:trPr>
        <w:tc>
          <w:tcPr>
            <w:tcW w:w="421" w:type="dxa"/>
            <w:vMerge/>
            <w:vAlign w:val="center"/>
          </w:tcPr>
          <w:p w14:paraId="4A72826A" w14:textId="77777777" w:rsidR="00595FD3" w:rsidRDefault="00595FD3">
            <w:pPr>
              <w:pStyle w:val="aff2"/>
              <w:rPr>
                <w:sz w:val="21"/>
                <w:szCs w:val="21"/>
              </w:rPr>
            </w:pPr>
          </w:p>
        </w:tc>
        <w:tc>
          <w:tcPr>
            <w:tcW w:w="992" w:type="dxa"/>
            <w:vMerge/>
            <w:vAlign w:val="center"/>
          </w:tcPr>
          <w:p w14:paraId="260203D6" w14:textId="77777777" w:rsidR="00595FD3" w:rsidRDefault="00595FD3">
            <w:pPr>
              <w:pStyle w:val="aff2"/>
              <w:rPr>
                <w:sz w:val="21"/>
                <w:szCs w:val="21"/>
              </w:rPr>
            </w:pPr>
          </w:p>
        </w:tc>
        <w:tc>
          <w:tcPr>
            <w:tcW w:w="992" w:type="dxa"/>
            <w:vMerge/>
            <w:vAlign w:val="center"/>
          </w:tcPr>
          <w:p w14:paraId="3659EEBA" w14:textId="77777777" w:rsidR="00595FD3" w:rsidRDefault="00595FD3">
            <w:pPr>
              <w:pStyle w:val="aff2"/>
              <w:rPr>
                <w:sz w:val="21"/>
                <w:szCs w:val="21"/>
              </w:rPr>
            </w:pPr>
          </w:p>
        </w:tc>
        <w:tc>
          <w:tcPr>
            <w:tcW w:w="3402" w:type="dxa"/>
            <w:vAlign w:val="center"/>
          </w:tcPr>
          <w:p w14:paraId="33282213" w14:textId="77777777" w:rsidR="00595FD3" w:rsidRDefault="00000000">
            <w:pPr>
              <w:pStyle w:val="aff2"/>
              <w:jc w:val="both"/>
              <w:rPr>
                <w:sz w:val="21"/>
                <w:szCs w:val="21"/>
              </w:rPr>
            </w:pPr>
            <w:r>
              <w:rPr>
                <w:rFonts w:hint="eastAsia"/>
                <w:sz w:val="21"/>
                <w:szCs w:val="21"/>
              </w:rPr>
              <w:t>《改性磷石膏综合利用</w:t>
            </w:r>
            <w:r>
              <w:rPr>
                <w:sz w:val="21"/>
                <w:szCs w:val="21"/>
              </w:rPr>
              <w:t xml:space="preserve"> </w:t>
            </w:r>
            <w:r>
              <w:rPr>
                <w:rFonts w:hint="eastAsia"/>
                <w:sz w:val="21"/>
                <w:szCs w:val="21"/>
              </w:rPr>
              <w:t>矿山生态修复</w:t>
            </w:r>
            <w:r>
              <w:rPr>
                <w:sz w:val="21"/>
                <w:szCs w:val="21"/>
              </w:rPr>
              <w:t xml:space="preserve"> </w:t>
            </w:r>
            <w:r>
              <w:rPr>
                <w:rFonts w:hint="eastAsia"/>
                <w:sz w:val="21"/>
                <w:szCs w:val="21"/>
              </w:rPr>
              <w:t>过程环境监管规范》（</w:t>
            </w:r>
            <w:r>
              <w:rPr>
                <w:sz w:val="21"/>
                <w:szCs w:val="21"/>
              </w:rPr>
              <w:t>DB5301/T 99</w:t>
            </w:r>
            <w:r>
              <w:rPr>
                <w:rFonts w:hint="eastAsia"/>
                <w:sz w:val="21"/>
                <w:szCs w:val="21"/>
              </w:rPr>
              <w:t>—</w:t>
            </w:r>
            <w:r>
              <w:rPr>
                <w:sz w:val="21"/>
                <w:szCs w:val="21"/>
              </w:rPr>
              <w:t>2023</w:t>
            </w:r>
            <w:r>
              <w:rPr>
                <w:rFonts w:hint="eastAsia"/>
                <w:sz w:val="21"/>
                <w:szCs w:val="21"/>
              </w:rPr>
              <w:t>）</w:t>
            </w:r>
          </w:p>
        </w:tc>
        <w:tc>
          <w:tcPr>
            <w:tcW w:w="2489" w:type="dxa"/>
            <w:vMerge/>
            <w:vAlign w:val="center"/>
          </w:tcPr>
          <w:p w14:paraId="25AFF7D7" w14:textId="77777777" w:rsidR="00595FD3" w:rsidRDefault="00595FD3">
            <w:pPr>
              <w:pStyle w:val="aff2"/>
              <w:jc w:val="both"/>
              <w:rPr>
                <w:sz w:val="21"/>
                <w:szCs w:val="21"/>
              </w:rPr>
            </w:pPr>
          </w:p>
        </w:tc>
      </w:tr>
      <w:tr w:rsidR="00595FD3" w14:paraId="35CD1F8A" w14:textId="77777777">
        <w:trPr>
          <w:trHeight w:val="397"/>
          <w:jc w:val="center"/>
        </w:trPr>
        <w:tc>
          <w:tcPr>
            <w:tcW w:w="421" w:type="dxa"/>
            <w:vMerge/>
            <w:vAlign w:val="center"/>
          </w:tcPr>
          <w:p w14:paraId="6F7B6C8E" w14:textId="77777777" w:rsidR="00595FD3" w:rsidRDefault="00595FD3">
            <w:pPr>
              <w:pStyle w:val="aff2"/>
              <w:rPr>
                <w:sz w:val="21"/>
                <w:szCs w:val="21"/>
              </w:rPr>
            </w:pPr>
          </w:p>
        </w:tc>
        <w:tc>
          <w:tcPr>
            <w:tcW w:w="992" w:type="dxa"/>
            <w:vMerge/>
            <w:vAlign w:val="center"/>
          </w:tcPr>
          <w:p w14:paraId="6D0082BD" w14:textId="77777777" w:rsidR="00595FD3" w:rsidRDefault="00595FD3">
            <w:pPr>
              <w:pStyle w:val="aff2"/>
              <w:rPr>
                <w:sz w:val="21"/>
                <w:szCs w:val="21"/>
              </w:rPr>
            </w:pPr>
          </w:p>
        </w:tc>
        <w:tc>
          <w:tcPr>
            <w:tcW w:w="992" w:type="dxa"/>
            <w:vMerge/>
            <w:vAlign w:val="center"/>
          </w:tcPr>
          <w:p w14:paraId="47A46FF1" w14:textId="77777777" w:rsidR="00595FD3" w:rsidRDefault="00595FD3">
            <w:pPr>
              <w:pStyle w:val="aff2"/>
              <w:rPr>
                <w:sz w:val="21"/>
                <w:szCs w:val="21"/>
              </w:rPr>
            </w:pPr>
          </w:p>
        </w:tc>
        <w:tc>
          <w:tcPr>
            <w:tcW w:w="3402" w:type="dxa"/>
            <w:vAlign w:val="center"/>
          </w:tcPr>
          <w:p w14:paraId="0A673DF5" w14:textId="77777777" w:rsidR="00595FD3" w:rsidRDefault="00000000">
            <w:pPr>
              <w:pStyle w:val="aff2"/>
              <w:jc w:val="both"/>
              <w:rPr>
                <w:sz w:val="21"/>
                <w:szCs w:val="21"/>
              </w:rPr>
            </w:pPr>
            <w:r>
              <w:rPr>
                <w:rFonts w:hint="eastAsia"/>
                <w:sz w:val="21"/>
                <w:szCs w:val="21"/>
              </w:rPr>
              <w:t>《改性磷石膏综合利用</w:t>
            </w:r>
            <w:r>
              <w:rPr>
                <w:sz w:val="21"/>
                <w:szCs w:val="21"/>
              </w:rPr>
              <w:t xml:space="preserve"> </w:t>
            </w:r>
            <w:r>
              <w:rPr>
                <w:rFonts w:hint="eastAsia"/>
                <w:sz w:val="21"/>
                <w:szCs w:val="21"/>
              </w:rPr>
              <w:t>矿山生态修复</w:t>
            </w:r>
            <w:r>
              <w:rPr>
                <w:sz w:val="21"/>
                <w:szCs w:val="21"/>
              </w:rPr>
              <w:t xml:space="preserve"> </w:t>
            </w:r>
            <w:r>
              <w:rPr>
                <w:rFonts w:hint="eastAsia"/>
                <w:sz w:val="21"/>
                <w:szCs w:val="21"/>
              </w:rPr>
              <w:t>跟踪评估规范》（</w:t>
            </w:r>
            <w:r>
              <w:rPr>
                <w:sz w:val="21"/>
                <w:szCs w:val="21"/>
              </w:rPr>
              <w:t>DB5301/T 100</w:t>
            </w:r>
            <w:r>
              <w:rPr>
                <w:rFonts w:hint="eastAsia"/>
                <w:sz w:val="21"/>
                <w:szCs w:val="21"/>
              </w:rPr>
              <w:t>—</w:t>
            </w:r>
            <w:r>
              <w:rPr>
                <w:sz w:val="21"/>
                <w:szCs w:val="21"/>
              </w:rPr>
              <w:t>2023</w:t>
            </w:r>
            <w:r>
              <w:rPr>
                <w:rFonts w:hint="eastAsia"/>
                <w:sz w:val="21"/>
                <w:szCs w:val="21"/>
              </w:rPr>
              <w:t>）</w:t>
            </w:r>
          </w:p>
        </w:tc>
        <w:tc>
          <w:tcPr>
            <w:tcW w:w="2489" w:type="dxa"/>
            <w:vMerge/>
            <w:vAlign w:val="center"/>
          </w:tcPr>
          <w:p w14:paraId="35C08578" w14:textId="77777777" w:rsidR="00595FD3" w:rsidRDefault="00595FD3">
            <w:pPr>
              <w:pStyle w:val="aff2"/>
              <w:jc w:val="both"/>
              <w:rPr>
                <w:sz w:val="21"/>
                <w:szCs w:val="21"/>
              </w:rPr>
            </w:pPr>
          </w:p>
        </w:tc>
      </w:tr>
      <w:tr w:rsidR="00595FD3" w14:paraId="177E7097" w14:textId="77777777">
        <w:trPr>
          <w:trHeight w:val="397"/>
          <w:jc w:val="center"/>
        </w:trPr>
        <w:tc>
          <w:tcPr>
            <w:tcW w:w="421" w:type="dxa"/>
            <w:vAlign w:val="center"/>
          </w:tcPr>
          <w:p w14:paraId="193FCDE6" w14:textId="77777777" w:rsidR="00595FD3" w:rsidRDefault="00000000">
            <w:pPr>
              <w:pStyle w:val="aff2"/>
              <w:rPr>
                <w:sz w:val="21"/>
                <w:szCs w:val="21"/>
              </w:rPr>
            </w:pPr>
            <w:r>
              <w:rPr>
                <w:sz w:val="21"/>
                <w:szCs w:val="21"/>
              </w:rPr>
              <w:t>5</w:t>
            </w:r>
          </w:p>
        </w:tc>
        <w:tc>
          <w:tcPr>
            <w:tcW w:w="992" w:type="dxa"/>
            <w:vAlign w:val="center"/>
          </w:tcPr>
          <w:p w14:paraId="3FCA9F16" w14:textId="77777777" w:rsidR="00595FD3" w:rsidRDefault="00000000">
            <w:pPr>
              <w:pStyle w:val="aff2"/>
              <w:rPr>
                <w:sz w:val="21"/>
                <w:szCs w:val="21"/>
              </w:rPr>
            </w:pPr>
            <w:r>
              <w:rPr>
                <w:sz w:val="21"/>
                <w:szCs w:val="21"/>
              </w:rPr>
              <w:t>2024</w:t>
            </w:r>
            <w:r>
              <w:rPr>
                <w:rFonts w:hint="eastAsia"/>
                <w:sz w:val="21"/>
                <w:szCs w:val="21"/>
              </w:rPr>
              <w:t>年</w:t>
            </w:r>
            <w:r>
              <w:rPr>
                <w:sz w:val="21"/>
                <w:szCs w:val="21"/>
              </w:rPr>
              <w:t>8</w:t>
            </w:r>
            <w:r>
              <w:rPr>
                <w:rFonts w:hint="eastAsia"/>
                <w:sz w:val="21"/>
                <w:szCs w:val="21"/>
              </w:rPr>
              <w:t>月</w:t>
            </w:r>
          </w:p>
        </w:tc>
        <w:tc>
          <w:tcPr>
            <w:tcW w:w="992" w:type="dxa"/>
            <w:vMerge w:val="restart"/>
            <w:vAlign w:val="center"/>
          </w:tcPr>
          <w:p w14:paraId="5B45E11D" w14:textId="77777777" w:rsidR="00595FD3" w:rsidRDefault="00000000">
            <w:pPr>
              <w:pStyle w:val="aff2"/>
              <w:rPr>
                <w:sz w:val="21"/>
                <w:szCs w:val="21"/>
              </w:rPr>
            </w:pPr>
            <w:r>
              <w:rPr>
                <w:rFonts w:hint="eastAsia"/>
                <w:sz w:val="21"/>
                <w:szCs w:val="21"/>
              </w:rPr>
              <w:t>贵州省</w:t>
            </w:r>
          </w:p>
        </w:tc>
        <w:tc>
          <w:tcPr>
            <w:tcW w:w="3402" w:type="dxa"/>
            <w:vAlign w:val="center"/>
          </w:tcPr>
          <w:p w14:paraId="22D9F260" w14:textId="77777777" w:rsidR="00595FD3" w:rsidRDefault="00000000">
            <w:pPr>
              <w:pStyle w:val="aff2"/>
              <w:jc w:val="both"/>
              <w:rPr>
                <w:sz w:val="21"/>
                <w:szCs w:val="21"/>
              </w:rPr>
            </w:pPr>
            <w:r>
              <w:rPr>
                <w:rFonts w:hint="eastAsia"/>
                <w:sz w:val="21"/>
                <w:szCs w:val="21"/>
              </w:rPr>
              <w:t>《贵州省煤矸石填沟造地试点示范技术指南（试行）》</w:t>
            </w:r>
          </w:p>
        </w:tc>
        <w:tc>
          <w:tcPr>
            <w:tcW w:w="2489" w:type="dxa"/>
            <w:vAlign w:val="center"/>
          </w:tcPr>
          <w:p w14:paraId="1E340260" w14:textId="77777777" w:rsidR="00595FD3" w:rsidRDefault="00000000">
            <w:pPr>
              <w:pStyle w:val="aff2"/>
              <w:numPr>
                <w:ilvl w:val="0"/>
                <w:numId w:val="8"/>
              </w:numPr>
              <w:jc w:val="both"/>
              <w:rPr>
                <w:sz w:val="21"/>
                <w:szCs w:val="21"/>
              </w:rPr>
            </w:pPr>
            <w:r>
              <w:rPr>
                <w:rFonts w:hint="eastAsia"/>
                <w:sz w:val="21"/>
                <w:szCs w:val="21"/>
              </w:rPr>
              <w:t>煤矸石</w:t>
            </w:r>
          </w:p>
          <w:p w14:paraId="4C4BEAE0" w14:textId="77777777" w:rsidR="00595FD3" w:rsidRDefault="00000000">
            <w:pPr>
              <w:pStyle w:val="aff2"/>
              <w:numPr>
                <w:ilvl w:val="0"/>
                <w:numId w:val="8"/>
              </w:numPr>
              <w:jc w:val="both"/>
              <w:rPr>
                <w:sz w:val="21"/>
                <w:szCs w:val="21"/>
              </w:rPr>
            </w:pPr>
            <w:r>
              <w:rPr>
                <w:rFonts w:hint="eastAsia"/>
                <w:sz w:val="21"/>
                <w:szCs w:val="21"/>
              </w:rPr>
              <w:t>填沟造地</w:t>
            </w:r>
          </w:p>
        </w:tc>
      </w:tr>
      <w:tr w:rsidR="00595FD3" w14:paraId="67448175" w14:textId="77777777">
        <w:trPr>
          <w:trHeight w:val="397"/>
          <w:jc w:val="center"/>
        </w:trPr>
        <w:tc>
          <w:tcPr>
            <w:tcW w:w="421" w:type="dxa"/>
            <w:vAlign w:val="center"/>
          </w:tcPr>
          <w:p w14:paraId="68B202D5" w14:textId="77777777" w:rsidR="00595FD3" w:rsidRDefault="00000000">
            <w:pPr>
              <w:pStyle w:val="aff2"/>
              <w:rPr>
                <w:sz w:val="21"/>
                <w:szCs w:val="21"/>
              </w:rPr>
            </w:pPr>
            <w:r>
              <w:rPr>
                <w:sz w:val="21"/>
                <w:szCs w:val="21"/>
              </w:rPr>
              <w:t>6</w:t>
            </w:r>
          </w:p>
        </w:tc>
        <w:tc>
          <w:tcPr>
            <w:tcW w:w="992" w:type="dxa"/>
            <w:vAlign w:val="center"/>
          </w:tcPr>
          <w:p w14:paraId="10238524" w14:textId="77777777" w:rsidR="00595FD3" w:rsidRDefault="00000000">
            <w:pPr>
              <w:pStyle w:val="aff2"/>
              <w:rPr>
                <w:sz w:val="21"/>
                <w:szCs w:val="21"/>
              </w:rPr>
            </w:pPr>
            <w:r>
              <w:rPr>
                <w:sz w:val="21"/>
                <w:szCs w:val="21"/>
              </w:rPr>
              <w:t>2024</w:t>
            </w:r>
            <w:r>
              <w:rPr>
                <w:rFonts w:hint="eastAsia"/>
                <w:sz w:val="21"/>
                <w:szCs w:val="21"/>
              </w:rPr>
              <w:t>年</w:t>
            </w:r>
            <w:r>
              <w:rPr>
                <w:sz w:val="21"/>
                <w:szCs w:val="21"/>
              </w:rPr>
              <w:t>6</w:t>
            </w:r>
            <w:r>
              <w:rPr>
                <w:rFonts w:hint="eastAsia"/>
                <w:sz w:val="21"/>
                <w:szCs w:val="21"/>
              </w:rPr>
              <w:t>月</w:t>
            </w:r>
          </w:p>
        </w:tc>
        <w:tc>
          <w:tcPr>
            <w:tcW w:w="992" w:type="dxa"/>
            <w:vMerge/>
            <w:vAlign w:val="center"/>
          </w:tcPr>
          <w:p w14:paraId="3DB76ECD" w14:textId="77777777" w:rsidR="00595FD3" w:rsidRDefault="00595FD3">
            <w:pPr>
              <w:pStyle w:val="aff2"/>
              <w:rPr>
                <w:sz w:val="21"/>
                <w:szCs w:val="21"/>
              </w:rPr>
            </w:pPr>
          </w:p>
        </w:tc>
        <w:tc>
          <w:tcPr>
            <w:tcW w:w="3402" w:type="dxa"/>
            <w:vAlign w:val="center"/>
          </w:tcPr>
          <w:p w14:paraId="41227535" w14:textId="77777777" w:rsidR="00595FD3" w:rsidRDefault="00000000">
            <w:pPr>
              <w:pStyle w:val="aff2"/>
              <w:jc w:val="both"/>
              <w:rPr>
                <w:sz w:val="21"/>
                <w:szCs w:val="21"/>
              </w:rPr>
            </w:pPr>
            <w:r>
              <w:rPr>
                <w:rFonts w:hint="eastAsia"/>
                <w:sz w:val="21"/>
                <w:szCs w:val="21"/>
              </w:rPr>
              <w:t>《磷石膏生态修复工程污染控制技术规范》（</w:t>
            </w:r>
            <w:r>
              <w:rPr>
                <w:sz w:val="21"/>
                <w:szCs w:val="21"/>
              </w:rPr>
              <w:t>T/ GZHX 002—2024</w:t>
            </w:r>
            <w:r>
              <w:rPr>
                <w:rFonts w:hint="eastAsia"/>
                <w:sz w:val="21"/>
                <w:szCs w:val="21"/>
              </w:rPr>
              <w:t>）</w:t>
            </w:r>
          </w:p>
        </w:tc>
        <w:tc>
          <w:tcPr>
            <w:tcW w:w="2489" w:type="dxa"/>
            <w:vAlign w:val="center"/>
          </w:tcPr>
          <w:p w14:paraId="61F737B6" w14:textId="77777777" w:rsidR="00595FD3" w:rsidRDefault="00000000">
            <w:pPr>
              <w:pStyle w:val="aff2"/>
              <w:numPr>
                <w:ilvl w:val="0"/>
                <w:numId w:val="9"/>
              </w:numPr>
              <w:jc w:val="both"/>
              <w:rPr>
                <w:sz w:val="21"/>
                <w:szCs w:val="21"/>
              </w:rPr>
            </w:pPr>
            <w:r>
              <w:rPr>
                <w:rFonts w:hint="eastAsia"/>
                <w:sz w:val="21"/>
                <w:szCs w:val="21"/>
              </w:rPr>
              <w:t>磷石膏</w:t>
            </w:r>
          </w:p>
          <w:p w14:paraId="64212991" w14:textId="77777777" w:rsidR="00595FD3" w:rsidRDefault="00000000">
            <w:pPr>
              <w:pStyle w:val="aff2"/>
              <w:numPr>
                <w:ilvl w:val="0"/>
                <w:numId w:val="9"/>
              </w:numPr>
              <w:jc w:val="both"/>
              <w:rPr>
                <w:sz w:val="21"/>
                <w:szCs w:val="21"/>
              </w:rPr>
            </w:pPr>
            <w:r>
              <w:rPr>
                <w:rFonts w:hint="eastAsia"/>
                <w:sz w:val="21"/>
                <w:szCs w:val="21"/>
              </w:rPr>
              <w:t>生态修复（矿坑、排土场、尾矿库以及地质灾害等区域）</w:t>
            </w:r>
          </w:p>
        </w:tc>
      </w:tr>
      <w:tr w:rsidR="00595FD3" w14:paraId="2C69B683" w14:textId="77777777">
        <w:trPr>
          <w:trHeight w:val="397"/>
          <w:jc w:val="center"/>
        </w:trPr>
        <w:tc>
          <w:tcPr>
            <w:tcW w:w="421" w:type="dxa"/>
            <w:vAlign w:val="center"/>
          </w:tcPr>
          <w:p w14:paraId="4A2740EB" w14:textId="77777777" w:rsidR="00595FD3" w:rsidRDefault="00000000">
            <w:pPr>
              <w:pStyle w:val="aff2"/>
              <w:rPr>
                <w:sz w:val="21"/>
                <w:szCs w:val="21"/>
              </w:rPr>
            </w:pPr>
            <w:r>
              <w:rPr>
                <w:sz w:val="21"/>
                <w:szCs w:val="21"/>
              </w:rPr>
              <w:t>7</w:t>
            </w:r>
          </w:p>
        </w:tc>
        <w:tc>
          <w:tcPr>
            <w:tcW w:w="992" w:type="dxa"/>
            <w:vAlign w:val="center"/>
          </w:tcPr>
          <w:p w14:paraId="5EF241EC" w14:textId="77777777" w:rsidR="00595FD3" w:rsidRDefault="00000000">
            <w:pPr>
              <w:pStyle w:val="aff2"/>
              <w:rPr>
                <w:sz w:val="21"/>
                <w:szCs w:val="21"/>
              </w:rPr>
            </w:pPr>
            <w:r>
              <w:rPr>
                <w:sz w:val="21"/>
                <w:szCs w:val="21"/>
              </w:rPr>
              <w:t>2018</w:t>
            </w:r>
            <w:r>
              <w:rPr>
                <w:rFonts w:hint="eastAsia"/>
                <w:sz w:val="21"/>
                <w:szCs w:val="21"/>
              </w:rPr>
              <w:t>年</w:t>
            </w:r>
            <w:r>
              <w:rPr>
                <w:sz w:val="21"/>
                <w:szCs w:val="21"/>
              </w:rPr>
              <w:t>12</w:t>
            </w:r>
            <w:r>
              <w:rPr>
                <w:rFonts w:hint="eastAsia"/>
                <w:sz w:val="21"/>
                <w:szCs w:val="21"/>
              </w:rPr>
              <w:t>月</w:t>
            </w:r>
          </w:p>
        </w:tc>
        <w:tc>
          <w:tcPr>
            <w:tcW w:w="992" w:type="dxa"/>
            <w:vMerge/>
            <w:vAlign w:val="center"/>
          </w:tcPr>
          <w:p w14:paraId="0ED7F0AD" w14:textId="77777777" w:rsidR="00595FD3" w:rsidRDefault="00595FD3">
            <w:pPr>
              <w:pStyle w:val="aff2"/>
              <w:rPr>
                <w:sz w:val="21"/>
                <w:szCs w:val="21"/>
              </w:rPr>
            </w:pPr>
          </w:p>
        </w:tc>
        <w:tc>
          <w:tcPr>
            <w:tcW w:w="3402" w:type="dxa"/>
            <w:vAlign w:val="center"/>
          </w:tcPr>
          <w:p w14:paraId="0D38CC95" w14:textId="77777777" w:rsidR="00595FD3" w:rsidRDefault="00000000">
            <w:pPr>
              <w:pStyle w:val="aff2"/>
              <w:jc w:val="both"/>
              <w:rPr>
                <w:sz w:val="21"/>
                <w:szCs w:val="21"/>
              </w:rPr>
            </w:pPr>
            <w:r>
              <w:rPr>
                <w:rFonts w:hint="eastAsia"/>
                <w:sz w:val="21"/>
                <w:szCs w:val="21"/>
              </w:rPr>
              <w:t>《岩溶洼地</w:t>
            </w:r>
            <w:r>
              <w:rPr>
                <w:sz w:val="21"/>
                <w:szCs w:val="21"/>
              </w:rPr>
              <w:t xml:space="preserve"> </w:t>
            </w:r>
            <w:r>
              <w:rPr>
                <w:rFonts w:hint="eastAsia"/>
                <w:sz w:val="21"/>
                <w:szCs w:val="21"/>
              </w:rPr>
              <w:t>场地回填技术规范》（</w:t>
            </w:r>
            <w:r>
              <w:rPr>
                <w:sz w:val="21"/>
                <w:szCs w:val="21"/>
              </w:rPr>
              <w:t>DB52/T 1382</w:t>
            </w:r>
            <w:r>
              <w:rPr>
                <w:rFonts w:hint="eastAsia"/>
                <w:sz w:val="21"/>
                <w:szCs w:val="21"/>
              </w:rPr>
              <w:t>—</w:t>
            </w:r>
            <w:r>
              <w:rPr>
                <w:sz w:val="21"/>
                <w:szCs w:val="21"/>
              </w:rPr>
              <w:t>2018</w:t>
            </w:r>
            <w:r>
              <w:rPr>
                <w:rFonts w:hint="eastAsia"/>
                <w:sz w:val="21"/>
                <w:szCs w:val="21"/>
              </w:rPr>
              <w:t>）</w:t>
            </w:r>
          </w:p>
        </w:tc>
        <w:tc>
          <w:tcPr>
            <w:tcW w:w="2489" w:type="dxa"/>
            <w:vAlign w:val="center"/>
          </w:tcPr>
          <w:p w14:paraId="570D184A" w14:textId="77777777" w:rsidR="00595FD3" w:rsidRDefault="00000000">
            <w:pPr>
              <w:pStyle w:val="aff2"/>
              <w:numPr>
                <w:ilvl w:val="0"/>
                <w:numId w:val="10"/>
              </w:numPr>
              <w:jc w:val="both"/>
              <w:rPr>
                <w:sz w:val="21"/>
                <w:szCs w:val="21"/>
              </w:rPr>
            </w:pPr>
            <w:r>
              <w:rPr>
                <w:rFonts w:hint="eastAsia"/>
                <w:sz w:val="21"/>
                <w:szCs w:val="21"/>
              </w:rPr>
              <w:t>岩溶洼地</w:t>
            </w:r>
          </w:p>
        </w:tc>
      </w:tr>
      <w:tr w:rsidR="00595FD3" w14:paraId="145D8D02" w14:textId="77777777">
        <w:trPr>
          <w:trHeight w:val="397"/>
          <w:jc w:val="center"/>
        </w:trPr>
        <w:tc>
          <w:tcPr>
            <w:tcW w:w="421" w:type="dxa"/>
            <w:vAlign w:val="center"/>
          </w:tcPr>
          <w:p w14:paraId="6E8B7B15" w14:textId="77777777" w:rsidR="00595FD3" w:rsidRDefault="00000000">
            <w:pPr>
              <w:pStyle w:val="aff2"/>
              <w:rPr>
                <w:sz w:val="21"/>
                <w:szCs w:val="21"/>
              </w:rPr>
            </w:pPr>
            <w:r>
              <w:rPr>
                <w:sz w:val="21"/>
                <w:szCs w:val="21"/>
              </w:rPr>
              <w:t>8</w:t>
            </w:r>
          </w:p>
        </w:tc>
        <w:tc>
          <w:tcPr>
            <w:tcW w:w="992" w:type="dxa"/>
            <w:vAlign w:val="center"/>
          </w:tcPr>
          <w:p w14:paraId="77FDB702" w14:textId="77777777" w:rsidR="00595FD3" w:rsidRDefault="00000000">
            <w:pPr>
              <w:pStyle w:val="aff2"/>
              <w:rPr>
                <w:sz w:val="21"/>
                <w:szCs w:val="21"/>
              </w:rPr>
            </w:pPr>
            <w:r>
              <w:rPr>
                <w:sz w:val="21"/>
                <w:szCs w:val="21"/>
              </w:rPr>
              <w:t>2026</w:t>
            </w:r>
            <w:r>
              <w:rPr>
                <w:rFonts w:hint="eastAsia"/>
                <w:sz w:val="21"/>
                <w:szCs w:val="21"/>
              </w:rPr>
              <w:t>年</w:t>
            </w:r>
            <w:r>
              <w:rPr>
                <w:sz w:val="21"/>
                <w:szCs w:val="21"/>
              </w:rPr>
              <w:t>2</w:t>
            </w:r>
            <w:r>
              <w:rPr>
                <w:rFonts w:hint="eastAsia"/>
                <w:sz w:val="21"/>
                <w:szCs w:val="21"/>
              </w:rPr>
              <w:t>月</w:t>
            </w:r>
          </w:p>
        </w:tc>
        <w:tc>
          <w:tcPr>
            <w:tcW w:w="992" w:type="dxa"/>
            <w:vMerge w:val="restart"/>
            <w:vAlign w:val="center"/>
          </w:tcPr>
          <w:p w14:paraId="5B62B499" w14:textId="77777777" w:rsidR="00595FD3" w:rsidRDefault="00000000">
            <w:pPr>
              <w:pStyle w:val="aff2"/>
              <w:rPr>
                <w:sz w:val="21"/>
                <w:szCs w:val="21"/>
              </w:rPr>
            </w:pPr>
            <w:r>
              <w:rPr>
                <w:rFonts w:hint="eastAsia"/>
                <w:sz w:val="21"/>
                <w:szCs w:val="21"/>
              </w:rPr>
              <w:t>辽宁省</w:t>
            </w:r>
          </w:p>
        </w:tc>
        <w:tc>
          <w:tcPr>
            <w:tcW w:w="3402" w:type="dxa"/>
            <w:vAlign w:val="center"/>
          </w:tcPr>
          <w:p w14:paraId="74B72892" w14:textId="77777777" w:rsidR="00595FD3" w:rsidRDefault="00000000">
            <w:pPr>
              <w:pStyle w:val="aff2"/>
              <w:jc w:val="both"/>
              <w:rPr>
                <w:sz w:val="21"/>
                <w:szCs w:val="21"/>
              </w:rPr>
            </w:pPr>
            <w:r>
              <w:rPr>
                <w:rFonts w:hint="eastAsia"/>
                <w:sz w:val="21"/>
                <w:szCs w:val="21"/>
              </w:rPr>
              <w:t>（一般工业固体废物回填与修复矿山</w:t>
            </w:r>
            <w:proofErr w:type="gramStart"/>
            <w:r>
              <w:rPr>
                <w:rFonts w:hint="eastAsia"/>
                <w:sz w:val="21"/>
                <w:szCs w:val="21"/>
              </w:rPr>
              <w:t>采坑技术</w:t>
            </w:r>
            <w:proofErr w:type="gramEnd"/>
            <w:r>
              <w:rPr>
                <w:rFonts w:hint="eastAsia"/>
                <w:sz w:val="21"/>
                <w:szCs w:val="21"/>
              </w:rPr>
              <w:t>规范铁尾矿、钢渣）（</w:t>
            </w:r>
            <w:r>
              <w:rPr>
                <w:sz w:val="21"/>
                <w:szCs w:val="21"/>
              </w:rPr>
              <w:t>DB21/T 4382</w:t>
            </w:r>
            <w:r>
              <w:rPr>
                <w:rFonts w:hint="eastAsia"/>
                <w:sz w:val="21"/>
                <w:szCs w:val="21"/>
              </w:rPr>
              <w:t>—</w:t>
            </w:r>
            <w:r>
              <w:rPr>
                <w:sz w:val="21"/>
                <w:szCs w:val="21"/>
              </w:rPr>
              <w:t>2026</w:t>
            </w:r>
            <w:r>
              <w:rPr>
                <w:rFonts w:hint="eastAsia"/>
                <w:sz w:val="21"/>
                <w:szCs w:val="21"/>
              </w:rPr>
              <w:t>）</w:t>
            </w:r>
          </w:p>
        </w:tc>
        <w:tc>
          <w:tcPr>
            <w:tcW w:w="2489" w:type="dxa"/>
            <w:vAlign w:val="center"/>
          </w:tcPr>
          <w:p w14:paraId="319C64D2" w14:textId="77777777" w:rsidR="00595FD3" w:rsidRDefault="00000000">
            <w:pPr>
              <w:pStyle w:val="aff2"/>
              <w:numPr>
                <w:ilvl w:val="0"/>
                <w:numId w:val="10"/>
              </w:numPr>
              <w:jc w:val="both"/>
              <w:rPr>
                <w:sz w:val="21"/>
                <w:szCs w:val="21"/>
              </w:rPr>
            </w:pPr>
            <w:r>
              <w:rPr>
                <w:rFonts w:hint="eastAsia"/>
                <w:sz w:val="21"/>
                <w:szCs w:val="21"/>
              </w:rPr>
              <w:t>铁尾矿、钢渣</w:t>
            </w:r>
          </w:p>
          <w:p w14:paraId="57D4A8D3" w14:textId="77777777" w:rsidR="00595FD3" w:rsidRDefault="00000000">
            <w:pPr>
              <w:pStyle w:val="aff2"/>
              <w:numPr>
                <w:ilvl w:val="0"/>
                <w:numId w:val="10"/>
              </w:numPr>
              <w:jc w:val="both"/>
              <w:rPr>
                <w:sz w:val="21"/>
                <w:szCs w:val="21"/>
              </w:rPr>
            </w:pPr>
            <w:r>
              <w:rPr>
                <w:rFonts w:hint="eastAsia"/>
                <w:sz w:val="21"/>
                <w:szCs w:val="21"/>
              </w:rPr>
              <w:t>矿山回填</w:t>
            </w:r>
          </w:p>
        </w:tc>
      </w:tr>
      <w:tr w:rsidR="00595FD3" w14:paraId="447C67E6" w14:textId="77777777">
        <w:trPr>
          <w:trHeight w:val="397"/>
          <w:jc w:val="center"/>
        </w:trPr>
        <w:tc>
          <w:tcPr>
            <w:tcW w:w="421" w:type="dxa"/>
            <w:vAlign w:val="center"/>
          </w:tcPr>
          <w:p w14:paraId="63F73DD9" w14:textId="77777777" w:rsidR="00595FD3" w:rsidRDefault="00000000">
            <w:pPr>
              <w:pStyle w:val="aff2"/>
              <w:rPr>
                <w:sz w:val="21"/>
                <w:szCs w:val="21"/>
              </w:rPr>
            </w:pPr>
            <w:r>
              <w:rPr>
                <w:sz w:val="21"/>
                <w:szCs w:val="21"/>
              </w:rPr>
              <w:t>9</w:t>
            </w:r>
          </w:p>
        </w:tc>
        <w:tc>
          <w:tcPr>
            <w:tcW w:w="992" w:type="dxa"/>
            <w:vAlign w:val="center"/>
          </w:tcPr>
          <w:p w14:paraId="1F0C898C" w14:textId="77777777" w:rsidR="00595FD3" w:rsidRDefault="00000000">
            <w:pPr>
              <w:pStyle w:val="aff2"/>
              <w:rPr>
                <w:sz w:val="21"/>
                <w:szCs w:val="21"/>
              </w:rPr>
            </w:pPr>
            <w:r>
              <w:rPr>
                <w:sz w:val="21"/>
                <w:szCs w:val="21"/>
              </w:rPr>
              <w:t>2025</w:t>
            </w:r>
            <w:r>
              <w:rPr>
                <w:rFonts w:hint="eastAsia"/>
                <w:sz w:val="21"/>
                <w:szCs w:val="21"/>
              </w:rPr>
              <w:t>年</w:t>
            </w:r>
            <w:r>
              <w:rPr>
                <w:sz w:val="21"/>
                <w:szCs w:val="21"/>
              </w:rPr>
              <w:t>1</w:t>
            </w:r>
            <w:r>
              <w:rPr>
                <w:rFonts w:hint="eastAsia"/>
                <w:sz w:val="21"/>
                <w:szCs w:val="21"/>
              </w:rPr>
              <w:t>月</w:t>
            </w:r>
          </w:p>
        </w:tc>
        <w:tc>
          <w:tcPr>
            <w:tcW w:w="992" w:type="dxa"/>
            <w:vMerge/>
            <w:vAlign w:val="center"/>
          </w:tcPr>
          <w:p w14:paraId="3F057FEC" w14:textId="77777777" w:rsidR="00595FD3" w:rsidRDefault="00595FD3">
            <w:pPr>
              <w:pStyle w:val="aff2"/>
              <w:rPr>
                <w:sz w:val="21"/>
                <w:szCs w:val="21"/>
              </w:rPr>
            </w:pPr>
          </w:p>
        </w:tc>
        <w:tc>
          <w:tcPr>
            <w:tcW w:w="3402" w:type="dxa"/>
            <w:vAlign w:val="center"/>
          </w:tcPr>
          <w:p w14:paraId="51096630" w14:textId="77777777" w:rsidR="00595FD3" w:rsidRDefault="00000000">
            <w:pPr>
              <w:pStyle w:val="aff2"/>
              <w:jc w:val="both"/>
              <w:rPr>
                <w:sz w:val="21"/>
                <w:szCs w:val="21"/>
              </w:rPr>
            </w:pPr>
            <w:r>
              <w:rPr>
                <w:rFonts w:hint="eastAsia"/>
                <w:sz w:val="21"/>
                <w:szCs w:val="21"/>
              </w:rPr>
              <w:t>《一般工业固体废物回填与修复矿山采坑技术规范</w:t>
            </w:r>
            <w:r>
              <w:rPr>
                <w:sz w:val="21"/>
                <w:szCs w:val="21"/>
              </w:rPr>
              <w:t xml:space="preserve"> </w:t>
            </w:r>
            <w:r>
              <w:rPr>
                <w:rFonts w:hint="eastAsia"/>
                <w:sz w:val="21"/>
                <w:szCs w:val="21"/>
              </w:rPr>
              <w:t>粉煤灰、炉渣》（</w:t>
            </w:r>
            <w:r>
              <w:rPr>
                <w:sz w:val="21"/>
                <w:szCs w:val="21"/>
              </w:rPr>
              <w:t>DB 21/T 4069</w:t>
            </w:r>
            <w:r>
              <w:rPr>
                <w:rFonts w:hint="eastAsia"/>
                <w:sz w:val="21"/>
                <w:szCs w:val="21"/>
              </w:rPr>
              <w:t>—</w:t>
            </w:r>
            <w:r>
              <w:rPr>
                <w:sz w:val="21"/>
                <w:szCs w:val="21"/>
              </w:rPr>
              <w:t>2024</w:t>
            </w:r>
            <w:r>
              <w:rPr>
                <w:rFonts w:hint="eastAsia"/>
                <w:sz w:val="21"/>
                <w:szCs w:val="21"/>
              </w:rPr>
              <w:t>）</w:t>
            </w:r>
          </w:p>
        </w:tc>
        <w:tc>
          <w:tcPr>
            <w:tcW w:w="2489" w:type="dxa"/>
            <w:vAlign w:val="center"/>
          </w:tcPr>
          <w:p w14:paraId="70A21707" w14:textId="77777777" w:rsidR="00595FD3" w:rsidRDefault="00000000">
            <w:pPr>
              <w:pStyle w:val="aff2"/>
              <w:numPr>
                <w:ilvl w:val="0"/>
                <w:numId w:val="11"/>
              </w:numPr>
              <w:jc w:val="both"/>
              <w:rPr>
                <w:sz w:val="21"/>
                <w:szCs w:val="21"/>
              </w:rPr>
            </w:pPr>
            <w:r>
              <w:rPr>
                <w:rFonts w:hint="eastAsia"/>
                <w:sz w:val="21"/>
                <w:szCs w:val="21"/>
              </w:rPr>
              <w:t>粉煤灰、炉渣</w:t>
            </w:r>
          </w:p>
          <w:p w14:paraId="155A4E59" w14:textId="77777777" w:rsidR="00595FD3" w:rsidRDefault="00000000">
            <w:pPr>
              <w:pStyle w:val="aff2"/>
              <w:numPr>
                <w:ilvl w:val="0"/>
                <w:numId w:val="11"/>
              </w:numPr>
              <w:jc w:val="both"/>
              <w:rPr>
                <w:sz w:val="21"/>
                <w:szCs w:val="21"/>
              </w:rPr>
            </w:pPr>
            <w:r>
              <w:rPr>
                <w:rFonts w:hint="eastAsia"/>
                <w:sz w:val="21"/>
                <w:szCs w:val="21"/>
              </w:rPr>
              <w:t>矿山回填</w:t>
            </w:r>
          </w:p>
        </w:tc>
      </w:tr>
      <w:tr w:rsidR="00595FD3" w14:paraId="1CBF05A8" w14:textId="77777777">
        <w:trPr>
          <w:trHeight w:val="397"/>
          <w:jc w:val="center"/>
        </w:trPr>
        <w:tc>
          <w:tcPr>
            <w:tcW w:w="421" w:type="dxa"/>
            <w:vAlign w:val="center"/>
          </w:tcPr>
          <w:p w14:paraId="73AACBE7" w14:textId="77777777" w:rsidR="00595FD3" w:rsidRDefault="00000000">
            <w:pPr>
              <w:pStyle w:val="aff2"/>
              <w:rPr>
                <w:sz w:val="21"/>
                <w:szCs w:val="21"/>
              </w:rPr>
            </w:pPr>
            <w:r>
              <w:rPr>
                <w:sz w:val="21"/>
                <w:szCs w:val="21"/>
              </w:rPr>
              <w:t>10</w:t>
            </w:r>
          </w:p>
        </w:tc>
        <w:tc>
          <w:tcPr>
            <w:tcW w:w="992" w:type="dxa"/>
            <w:vAlign w:val="center"/>
          </w:tcPr>
          <w:p w14:paraId="7A5D4597" w14:textId="77777777" w:rsidR="00595FD3" w:rsidRDefault="00000000">
            <w:pPr>
              <w:pStyle w:val="aff2"/>
              <w:rPr>
                <w:sz w:val="21"/>
                <w:szCs w:val="21"/>
              </w:rPr>
            </w:pPr>
            <w:r>
              <w:rPr>
                <w:sz w:val="21"/>
                <w:szCs w:val="21"/>
              </w:rPr>
              <w:t>2025</w:t>
            </w:r>
            <w:r>
              <w:rPr>
                <w:rFonts w:hint="eastAsia"/>
                <w:sz w:val="21"/>
                <w:szCs w:val="21"/>
              </w:rPr>
              <w:t>年</w:t>
            </w:r>
            <w:r>
              <w:rPr>
                <w:sz w:val="21"/>
                <w:szCs w:val="21"/>
              </w:rPr>
              <w:t>1</w:t>
            </w:r>
            <w:r>
              <w:rPr>
                <w:rFonts w:hint="eastAsia"/>
                <w:sz w:val="21"/>
                <w:szCs w:val="21"/>
              </w:rPr>
              <w:t>月</w:t>
            </w:r>
          </w:p>
        </w:tc>
        <w:tc>
          <w:tcPr>
            <w:tcW w:w="992" w:type="dxa"/>
            <w:vAlign w:val="center"/>
          </w:tcPr>
          <w:p w14:paraId="6743A89D" w14:textId="77777777" w:rsidR="00595FD3" w:rsidRDefault="00000000">
            <w:pPr>
              <w:pStyle w:val="aff2"/>
              <w:rPr>
                <w:sz w:val="21"/>
                <w:szCs w:val="21"/>
              </w:rPr>
            </w:pPr>
            <w:r>
              <w:rPr>
                <w:rFonts w:hint="eastAsia"/>
                <w:sz w:val="21"/>
                <w:szCs w:val="21"/>
              </w:rPr>
              <w:t>山西省</w:t>
            </w:r>
          </w:p>
        </w:tc>
        <w:tc>
          <w:tcPr>
            <w:tcW w:w="3402" w:type="dxa"/>
            <w:vAlign w:val="center"/>
          </w:tcPr>
          <w:p w14:paraId="29A88B7E" w14:textId="77777777" w:rsidR="00595FD3" w:rsidRDefault="00000000">
            <w:pPr>
              <w:pStyle w:val="aff2"/>
              <w:jc w:val="both"/>
              <w:rPr>
                <w:sz w:val="21"/>
                <w:szCs w:val="21"/>
              </w:rPr>
            </w:pPr>
            <w:r>
              <w:rPr>
                <w:rFonts w:hint="eastAsia"/>
                <w:sz w:val="21"/>
                <w:szCs w:val="21"/>
              </w:rPr>
              <w:t>《煤矸石生态回填环境保护技术规范》（</w:t>
            </w:r>
            <w:r>
              <w:rPr>
                <w:sz w:val="21"/>
                <w:szCs w:val="21"/>
              </w:rPr>
              <w:t>DB 14/T 3225</w:t>
            </w:r>
            <w:r>
              <w:rPr>
                <w:rFonts w:hint="eastAsia"/>
                <w:sz w:val="21"/>
                <w:szCs w:val="21"/>
              </w:rPr>
              <w:t>—</w:t>
            </w:r>
            <w:r>
              <w:rPr>
                <w:sz w:val="21"/>
                <w:szCs w:val="21"/>
              </w:rPr>
              <w:t>2025</w:t>
            </w:r>
            <w:r>
              <w:rPr>
                <w:rFonts w:hint="eastAsia"/>
                <w:sz w:val="21"/>
                <w:szCs w:val="21"/>
              </w:rPr>
              <w:t>）</w:t>
            </w:r>
          </w:p>
        </w:tc>
        <w:tc>
          <w:tcPr>
            <w:tcW w:w="2489" w:type="dxa"/>
            <w:vAlign w:val="center"/>
          </w:tcPr>
          <w:p w14:paraId="41FC2F4C" w14:textId="77777777" w:rsidR="00595FD3" w:rsidRDefault="00000000">
            <w:pPr>
              <w:pStyle w:val="aff2"/>
              <w:numPr>
                <w:ilvl w:val="0"/>
                <w:numId w:val="12"/>
              </w:numPr>
              <w:jc w:val="both"/>
              <w:rPr>
                <w:sz w:val="21"/>
                <w:szCs w:val="21"/>
              </w:rPr>
            </w:pPr>
            <w:r>
              <w:rPr>
                <w:rFonts w:hint="eastAsia"/>
                <w:sz w:val="21"/>
                <w:szCs w:val="21"/>
              </w:rPr>
              <w:t>煤矸石</w:t>
            </w:r>
          </w:p>
          <w:p w14:paraId="02AF5E3D" w14:textId="77777777" w:rsidR="00595FD3" w:rsidRDefault="00000000">
            <w:pPr>
              <w:pStyle w:val="aff2"/>
              <w:numPr>
                <w:ilvl w:val="0"/>
                <w:numId w:val="12"/>
              </w:numPr>
              <w:jc w:val="both"/>
              <w:rPr>
                <w:sz w:val="21"/>
                <w:szCs w:val="21"/>
              </w:rPr>
            </w:pPr>
            <w:r>
              <w:rPr>
                <w:rFonts w:hint="eastAsia"/>
                <w:sz w:val="21"/>
                <w:szCs w:val="21"/>
              </w:rPr>
              <w:t>生态修复（生产建设活动损毁土地）</w:t>
            </w:r>
          </w:p>
        </w:tc>
      </w:tr>
      <w:tr w:rsidR="00595FD3" w14:paraId="4B286C3B" w14:textId="77777777">
        <w:trPr>
          <w:trHeight w:val="397"/>
          <w:jc w:val="center"/>
        </w:trPr>
        <w:tc>
          <w:tcPr>
            <w:tcW w:w="421" w:type="dxa"/>
            <w:vAlign w:val="center"/>
          </w:tcPr>
          <w:p w14:paraId="6748BA0D" w14:textId="77777777" w:rsidR="00595FD3" w:rsidRDefault="00000000">
            <w:pPr>
              <w:pStyle w:val="aff2"/>
              <w:rPr>
                <w:sz w:val="21"/>
                <w:szCs w:val="21"/>
              </w:rPr>
            </w:pPr>
            <w:r>
              <w:rPr>
                <w:sz w:val="21"/>
                <w:szCs w:val="21"/>
              </w:rPr>
              <w:t>11</w:t>
            </w:r>
          </w:p>
        </w:tc>
        <w:tc>
          <w:tcPr>
            <w:tcW w:w="992" w:type="dxa"/>
            <w:vAlign w:val="center"/>
          </w:tcPr>
          <w:p w14:paraId="6C166228" w14:textId="77777777" w:rsidR="00595FD3" w:rsidRDefault="00000000">
            <w:pPr>
              <w:pStyle w:val="aff2"/>
              <w:rPr>
                <w:sz w:val="21"/>
                <w:szCs w:val="21"/>
              </w:rPr>
            </w:pPr>
            <w:r>
              <w:rPr>
                <w:sz w:val="21"/>
                <w:szCs w:val="21"/>
              </w:rPr>
              <w:t>2025</w:t>
            </w:r>
            <w:r>
              <w:rPr>
                <w:rFonts w:hint="eastAsia"/>
                <w:sz w:val="21"/>
                <w:szCs w:val="21"/>
              </w:rPr>
              <w:t>年</w:t>
            </w:r>
            <w:r>
              <w:rPr>
                <w:sz w:val="21"/>
                <w:szCs w:val="21"/>
              </w:rPr>
              <w:t>1</w:t>
            </w:r>
            <w:r>
              <w:rPr>
                <w:rFonts w:hint="eastAsia"/>
                <w:sz w:val="21"/>
                <w:szCs w:val="21"/>
              </w:rPr>
              <w:t>月</w:t>
            </w:r>
          </w:p>
        </w:tc>
        <w:tc>
          <w:tcPr>
            <w:tcW w:w="992" w:type="dxa"/>
            <w:vAlign w:val="center"/>
          </w:tcPr>
          <w:p w14:paraId="31C085C7" w14:textId="77777777" w:rsidR="00595FD3" w:rsidRDefault="00000000">
            <w:pPr>
              <w:pStyle w:val="aff2"/>
              <w:rPr>
                <w:sz w:val="21"/>
                <w:szCs w:val="21"/>
              </w:rPr>
            </w:pPr>
            <w:r>
              <w:rPr>
                <w:rFonts w:hint="eastAsia"/>
                <w:sz w:val="21"/>
                <w:szCs w:val="21"/>
              </w:rPr>
              <w:t>榆林市</w:t>
            </w:r>
          </w:p>
        </w:tc>
        <w:tc>
          <w:tcPr>
            <w:tcW w:w="3402" w:type="dxa"/>
            <w:vAlign w:val="center"/>
          </w:tcPr>
          <w:p w14:paraId="41D8F6D7" w14:textId="77777777" w:rsidR="00595FD3" w:rsidRDefault="00000000">
            <w:pPr>
              <w:pStyle w:val="aff2"/>
              <w:jc w:val="both"/>
              <w:rPr>
                <w:sz w:val="21"/>
                <w:szCs w:val="21"/>
              </w:rPr>
            </w:pPr>
            <w:r>
              <w:rPr>
                <w:rFonts w:hint="eastAsia"/>
                <w:sz w:val="21"/>
                <w:szCs w:val="21"/>
              </w:rPr>
              <w:t>《一般工业固体废物矿坑回填修复治理技术规范》（</w:t>
            </w:r>
            <w:r>
              <w:rPr>
                <w:sz w:val="21"/>
                <w:szCs w:val="21"/>
              </w:rPr>
              <w:t>DB6108/T 100</w:t>
            </w:r>
            <w:r>
              <w:rPr>
                <w:rFonts w:hint="eastAsia"/>
                <w:sz w:val="21"/>
                <w:szCs w:val="21"/>
              </w:rPr>
              <w:t>—</w:t>
            </w:r>
            <w:r>
              <w:rPr>
                <w:sz w:val="21"/>
                <w:szCs w:val="21"/>
              </w:rPr>
              <w:t>2024</w:t>
            </w:r>
            <w:r>
              <w:rPr>
                <w:rFonts w:hint="eastAsia"/>
                <w:sz w:val="21"/>
                <w:szCs w:val="21"/>
              </w:rPr>
              <w:t>）</w:t>
            </w:r>
          </w:p>
        </w:tc>
        <w:tc>
          <w:tcPr>
            <w:tcW w:w="2489" w:type="dxa"/>
            <w:vAlign w:val="center"/>
          </w:tcPr>
          <w:p w14:paraId="3B825DE3" w14:textId="77777777" w:rsidR="00595FD3" w:rsidRDefault="00000000">
            <w:pPr>
              <w:pStyle w:val="aff2"/>
              <w:numPr>
                <w:ilvl w:val="0"/>
                <w:numId w:val="13"/>
              </w:numPr>
              <w:jc w:val="both"/>
              <w:rPr>
                <w:sz w:val="21"/>
                <w:szCs w:val="21"/>
              </w:rPr>
            </w:pPr>
            <w:r>
              <w:rPr>
                <w:rFonts w:hint="eastAsia"/>
                <w:sz w:val="21"/>
                <w:szCs w:val="21"/>
              </w:rPr>
              <w:t>一般工业固体废物</w:t>
            </w:r>
          </w:p>
          <w:p w14:paraId="1358A7C2" w14:textId="77777777" w:rsidR="00595FD3" w:rsidRDefault="00000000">
            <w:pPr>
              <w:pStyle w:val="aff2"/>
              <w:numPr>
                <w:ilvl w:val="0"/>
                <w:numId w:val="13"/>
              </w:numPr>
              <w:jc w:val="both"/>
              <w:rPr>
                <w:sz w:val="21"/>
                <w:szCs w:val="21"/>
              </w:rPr>
            </w:pPr>
            <w:r>
              <w:rPr>
                <w:rFonts w:hint="eastAsia"/>
                <w:sz w:val="21"/>
                <w:szCs w:val="21"/>
              </w:rPr>
              <w:t>矿山回填</w:t>
            </w:r>
          </w:p>
        </w:tc>
      </w:tr>
      <w:tr w:rsidR="00595FD3" w14:paraId="14412F45" w14:textId="77777777">
        <w:trPr>
          <w:trHeight w:val="397"/>
          <w:jc w:val="center"/>
        </w:trPr>
        <w:tc>
          <w:tcPr>
            <w:tcW w:w="421" w:type="dxa"/>
            <w:vAlign w:val="center"/>
          </w:tcPr>
          <w:p w14:paraId="68CCFA75" w14:textId="77777777" w:rsidR="00595FD3" w:rsidRDefault="00000000">
            <w:pPr>
              <w:pStyle w:val="aff2"/>
              <w:rPr>
                <w:sz w:val="21"/>
                <w:szCs w:val="21"/>
              </w:rPr>
            </w:pPr>
            <w:r>
              <w:rPr>
                <w:sz w:val="21"/>
                <w:szCs w:val="21"/>
              </w:rPr>
              <w:t>12</w:t>
            </w:r>
          </w:p>
        </w:tc>
        <w:tc>
          <w:tcPr>
            <w:tcW w:w="992" w:type="dxa"/>
            <w:vAlign w:val="center"/>
          </w:tcPr>
          <w:p w14:paraId="1AB15158" w14:textId="77777777" w:rsidR="00595FD3" w:rsidRDefault="00000000">
            <w:pPr>
              <w:pStyle w:val="aff2"/>
              <w:rPr>
                <w:sz w:val="21"/>
                <w:szCs w:val="21"/>
              </w:rPr>
            </w:pPr>
            <w:r>
              <w:rPr>
                <w:sz w:val="21"/>
                <w:szCs w:val="21"/>
              </w:rPr>
              <w:t>2025</w:t>
            </w:r>
            <w:r>
              <w:rPr>
                <w:rFonts w:hint="eastAsia"/>
                <w:sz w:val="21"/>
                <w:szCs w:val="21"/>
              </w:rPr>
              <w:t>年</w:t>
            </w:r>
            <w:r>
              <w:rPr>
                <w:sz w:val="21"/>
                <w:szCs w:val="21"/>
              </w:rPr>
              <w:t>8</w:t>
            </w:r>
            <w:r>
              <w:rPr>
                <w:rFonts w:hint="eastAsia"/>
                <w:sz w:val="21"/>
                <w:szCs w:val="21"/>
              </w:rPr>
              <w:t>月</w:t>
            </w:r>
          </w:p>
        </w:tc>
        <w:tc>
          <w:tcPr>
            <w:tcW w:w="992" w:type="dxa"/>
            <w:vAlign w:val="center"/>
          </w:tcPr>
          <w:p w14:paraId="1F8A5398" w14:textId="77777777" w:rsidR="00595FD3" w:rsidRDefault="00000000">
            <w:pPr>
              <w:pStyle w:val="aff2"/>
              <w:rPr>
                <w:sz w:val="21"/>
                <w:szCs w:val="21"/>
              </w:rPr>
            </w:pPr>
            <w:r>
              <w:rPr>
                <w:rFonts w:hint="eastAsia"/>
                <w:sz w:val="21"/>
                <w:szCs w:val="21"/>
              </w:rPr>
              <w:t>山东省</w:t>
            </w:r>
          </w:p>
        </w:tc>
        <w:tc>
          <w:tcPr>
            <w:tcW w:w="3402" w:type="dxa"/>
            <w:vAlign w:val="center"/>
          </w:tcPr>
          <w:p w14:paraId="18B5B1A8" w14:textId="77777777" w:rsidR="00595FD3" w:rsidRDefault="00000000">
            <w:pPr>
              <w:pStyle w:val="aff2"/>
              <w:jc w:val="both"/>
              <w:rPr>
                <w:sz w:val="21"/>
                <w:szCs w:val="21"/>
              </w:rPr>
            </w:pPr>
            <w:r>
              <w:rPr>
                <w:rFonts w:hint="eastAsia"/>
                <w:sz w:val="21"/>
                <w:szCs w:val="21"/>
              </w:rPr>
              <w:t>《山东省大宗工业固体废物回填试点方案》</w:t>
            </w:r>
          </w:p>
        </w:tc>
        <w:tc>
          <w:tcPr>
            <w:tcW w:w="2489" w:type="dxa"/>
            <w:vAlign w:val="center"/>
          </w:tcPr>
          <w:p w14:paraId="0D6D3FCB" w14:textId="77777777" w:rsidR="00595FD3" w:rsidRDefault="00000000">
            <w:pPr>
              <w:pStyle w:val="aff2"/>
              <w:numPr>
                <w:ilvl w:val="0"/>
                <w:numId w:val="14"/>
              </w:numPr>
              <w:jc w:val="both"/>
              <w:rPr>
                <w:sz w:val="21"/>
                <w:szCs w:val="21"/>
              </w:rPr>
            </w:pPr>
            <w:r>
              <w:rPr>
                <w:rFonts w:hint="eastAsia"/>
                <w:sz w:val="21"/>
                <w:szCs w:val="21"/>
              </w:rPr>
              <w:t>一般工业固体废物</w:t>
            </w:r>
          </w:p>
          <w:p w14:paraId="33350658" w14:textId="77777777" w:rsidR="00595FD3" w:rsidRDefault="00000000">
            <w:pPr>
              <w:pStyle w:val="aff2"/>
              <w:numPr>
                <w:ilvl w:val="0"/>
                <w:numId w:val="14"/>
              </w:numPr>
              <w:jc w:val="both"/>
              <w:rPr>
                <w:sz w:val="21"/>
                <w:szCs w:val="21"/>
              </w:rPr>
            </w:pPr>
            <w:r>
              <w:rPr>
                <w:rFonts w:hint="eastAsia"/>
                <w:sz w:val="21"/>
                <w:szCs w:val="21"/>
              </w:rPr>
              <w:t>择优在露天开采地表挖掘区、地下开采塌陷区以及天然</w:t>
            </w:r>
            <w:proofErr w:type="gramStart"/>
            <w:r>
              <w:rPr>
                <w:rFonts w:hint="eastAsia"/>
                <w:sz w:val="21"/>
                <w:szCs w:val="21"/>
              </w:rPr>
              <w:t>坑洼区</w:t>
            </w:r>
            <w:proofErr w:type="gramEnd"/>
            <w:r>
              <w:rPr>
                <w:rFonts w:hint="eastAsia"/>
                <w:sz w:val="21"/>
                <w:szCs w:val="21"/>
              </w:rPr>
              <w:t>等适合区域</w:t>
            </w:r>
          </w:p>
        </w:tc>
      </w:tr>
    </w:tbl>
    <w:p w14:paraId="23BF209E" w14:textId="77777777" w:rsidR="00595FD3" w:rsidRDefault="00595FD3">
      <w:pPr>
        <w:ind w:firstLine="480"/>
        <w:rPr>
          <w:rFonts w:cs="Times New Roman"/>
        </w:rPr>
      </w:pPr>
    </w:p>
    <w:p w14:paraId="765309DD" w14:textId="77777777" w:rsidR="00595FD3" w:rsidRDefault="00000000">
      <w:pPr>
        <w:ind w:firstLine="480"/>
        <w:rPr>
          <w:rFonts w:cs="Times New Roman"/>
        </w:rPr>
      </w:pPr>
      <w:r>
        <w:rPr>
          <w:rFonts w:cs="Times New Roman"/>
        </w:rPr>
        <w:t>与国内相关地方标准相比，本标准更贴合重庆市实际，具备更强的适用性、可行性和可操作性，具体差异如下</w:t>
      </w:r>
      <w:r>
        <w:rPr>
          <w:rFonts w:cs="Times New Roman" w:hint="eastAsia"/>
        </w:rPr>
        <w:t>：</w:t>
      </w:r>
      <w:r>
        <w:rPr>
          <w:rFonts w:cs="Times New Roman"/>
        </w:rPr>
        <w:t>一是优化管控要求，兼顾合</w:t>
      </w:r>
      <w:proofErr w:type="gramStart"/>
      <w:r>
        <w:rPr>
          <w:rFonts w:cs="Times New Roman"/>
        </w:rPr>
        <w:t>规</w:t>
      </w:r>
      <w:proofErr w:type="gramEnd"/>
      <w:r>
        <w:rPr>
          <w:rFonts w:cs="Times New Roman"/>
        </w:rPr>
        <w:t>性与经济性。现有地方标准</w:t>
      </w:r>
      <w:r>
        <w:rPr>
          <w:rFonts w:cs="Times New Roman" w:hint="eastAsia"/>
        </w:rPr>
        <w:t>均</w:t>
      </w:r>
      <w:r>
        <w:rPr>
          <w:rFonts w:cs="Times New Roman"/>
        </w:rPr>
        <w:t>要求</w:t>
      </w:r>
      <w:r>
        <w:rPr>
          <w:rFonts w:cs="Times New Roman" w:hint="eastAsia"/>
        </w:rPr>
        <w:t>采取</w:t>
      </w:r>
      <w:r>
        <w:rPr>
          <w:rFonts w:cs="Times New Roman"/>
        </w:rPr>
        <w:t>回填</w:t>
      </w:r>
      <w:r>
        <w:rPr>
          <w:rFonts w:cs="Times New Roman" w:hint="eastAsia"/>
        </w:rPr>
        <w:t>场地</w:t>
      </w:r>
      <w:r>
        <w:rPr>
          <w:rFonts w:cs="Times New Roman"/>
        </w:rPr>
        <w:t>防渗</w:t>
      </w:r>
      <w:r>
        <w:rPr>
          <w:rFonts w:cs="Times New Roman" w:hint="eastAsia"/>
        </w:rPr>
        <w:t>措施</w:t>
      </w:r>
      <w:r>
        <w:rPr>
          <w:rFonts w:cs="Times New Roman"/>
        </w:rPr>
        <w:t>，管控</w:t>
      </w:r>
      <w:r>
        <w:rPr>
          <w:rFonts w:cs="Times New Roman" w:hint="eastAsia"/>
        </w:rPr>
        <w:t>略微</w:t>
      </w:r>
      <w:r>
        <w:rPr>
          <w:rFonts w:cs="Times New Roman"/>
        </w:rPr>
        <w:t>严格。本标准综合</w:t>
      </w:r>
      <w:proofErr w:type="gramStart"/>
      <w:r>
        <w:rPr>
          <w:rFonts w:cs="Times New Roman"/>
        </w:rPr>
        <w:t>考量</w:t>
      </w:r>
      <w:proofErr w:type="gramEnd"/>
      <w:r>
        <w:rPr>
          <w:rFonts w:cs="Times New Roman"/>
        </w:rPr>
        <w:t>生态、经济及技术效益，在确保环境风险可控的前提下，</w:t>
      </w:r>
      <w:r>
        <w:rPr>
          <w:rFonts w:cs="Times New Roman" w:hint="eastAsia"/>
        </w:rPr>
        <w:t>依据回填物料浸出液污染</w:t>
      </w:r>
      <w:r>
        <w:rPr>
          <w:rFonts w:cs="Times New Roman" w:hint="eastAsia"/>
        </w:rPr>
        <w:lastRenderedPageBreak/>
        <w:t>特征优化回填场地防渗要求</w:t>
      </w:r>
      <w:r>
        <w:rPr>
          <w:rFonts w:cs="Times New Roman"/>
        </w:rPr>
        <w:t>。二是贴合本地</w:t>
      </w:r>
      <w:proofErr w:type="gramStart"/>
      <w:r>
        <w:rPr>
          <w:rFonts w:cs="Times New Roman"/>
        </w:rPr>
        <w:t>地</w:t>
      </w:r>
      <w:proofErr w:type="gramEnd"/>
      <w:r>
        <w:rPr>
          <w:rFonts w:cs="Times New Roman"/>
        </w:rPr>
        <w:t>域特征，拓展回填应用场景。内蒙古、安徽、榆林等地地方标准以矿坑回填、生态修复为核心，而重庆市产业结构、地质地貌、水文条件与上述地区差异较大。本标准结合本地特点打破仅矿坑回填的局限，将固废回填拓展至低洼地等场景，适配本地多样化需求。三是立足本地固废特征，提升适配性。云南、贵州等地作为磷石膏产生大省，其标准以磷石膏回填为核心；而重庆市一般工业固废种类多，且以磷石膏、钛石膏、赤泥等较难利用的第</w:t>
      </w:r>
      <w:r>
        <w:rPr>
          <w:rFonts w:cs="Times New Roman"/>
        </w:rPr>
        <w:t>II</w:t>
      </w:r>
      <w:proofErr w:type="gramStart"/>
      <w:r>
        <w:rPr>
          <w:rFonts w:cs="Times New Roman"/>
        </w:rPr>
        <w:t>类固废</w:t>
      </w:r>
      <w:proofErr w:type="gramEnd"/>
      <w:r>
        <w:rPr>
          <w:rFonts w:cs="Times New Roman"/>
        </w:rPr>
        <w:t>为主。本标准基于本地固废特征和回填需求制定，更贴合重庆实际，适用性更强。</w:t>
      </w:r>
    </w:p>
    <w:p w14:paraId="6AAE5387" w14:textId="77777777" w:rsidR="00595FD3" w:rsidRDefault="00000000">
      <w:pPr>
        <w:pStyle w:val="1"/>
        <w:spacing w:after="0"/>
      </w:pPr>
      <w:bookmarkStart w:id="36" w:name="_Toc230073420"/>
      <w:bookmarkStart w:id="37" w:name="_Toc230073421"/>
      <w:bookmarkEnd w:id="36"/>
      <w:r>
        <w:t>技术规范的主要内容及说明</w:t>
      </w:r>
      <w:bookmarkEnd w:id="37"/>
    </w:p>
    <w:p w14:paraId="3CC73FC7" w14:textId="77777777" w:rsidR="00595FD3" w:rsidRDefault="00000000">
      <w:pPr>
        <w:pStyle w:val="2"/>
      </w:pPr>
      <w:bookmarkStart w:id="38" w:name="_Toc230073422"/>
      <w:r>
        <w:t>技术规范内容框架</w:t>
      </w:r>
      <w:bookmarkEnd w:id="38"/>
    </w:p>
    <w:p w14:paraId="42E6980C" w14:textId="77777777" w:rsidR="00595FD3" w:rsidRDefault="00000000">
      <w:pPr>
        <w:ind w:firstLine="480"/>
        <w:rPr>
          <w:rFonts w:cs="Times New Roman"/>
        </w:rPr>
      </w:pPr>
      <w:r>
        <w:rPr>
          <w:rFonts w:cs="Times New Roman"/>
        </w:rPr>
        <w:t>本文件包括</w:t>
      </w:r>
      <w:r>
        <w:rPr>
          <w:rFonts w:cs="Times New Roman" w:hint="eastAsia"/>
        </w:rPr>
        <w:t>12</w:t>
      </w:r>
      <w:r>
        <w:rPr>
          <w:rFonts w:cs="Times New Roman"/>
        </w:rPr>
        <w:t>个章节，分别为：范围、规范性引用文件、术语和定义、</w:t>
      </w:r>
      <w:r>
        <w:rPr>
          <w:rFonts w:cs="Times New Roman"/>
          <w:color w:val="000000" w:themeColor="text1"/>
        </w:rPr>
        <w:t>基本原则、工作流程、回填场地基本要求、回填物料</w:t>
      </w:r>
      <w:r>
        <w:rPr>
          <w:rFonts w:cs="Times New Roman" w:hint="eastAsia"/>
          <w:color w:val="000000" w:themeColor="text1"/>
        </w:rPr>
        <w:t>要求</w:t>
      </w:r>
      <w:r>
        <w:rPr>
          <w:rFonts w:cs="Times New Roman"/>
          <w:color w:val="000000" w:themeColor="text1"/>
        </w:rPr>
        <w:t>、</w:t>
      </w:r>
      <w:r>
        <w:rPr>
          <w:rFonts w:cs="Times New Roman" w:hint="eastAsia"/>
          <w:color w:val="000000" w:themeColor="text1"/>
        </w:rPr>
        <w:t>环境本底调查、</w:t>
      </w:r>
      <w:r>
        <w:rPr>
          <w:rFonts w:cs="Times New Roman"/>
          <w:color w:val="000000" w:themeColor="text1"/>
        </w:rPr>
        <w:t>环境风险评估、回填利用工程实施和环境质量跟踪监测、</w:t>
      </w:r>
      <w:r>
        <w:rPr>
          <w:rFonts w:cs="Times New Roman" w:hint="eastAsia"/>
          <w:color w:val="000000" w:themeColor="text1"/>
        </w:rPr>
        <w:t>档案和后期管理</w:t>
      </w:r>
      <w:r>
        <w:rPr>
          <w:rFonts w:cs="Times New Roman"/>
        </w:rPr>
        <w:t>，并附</w:t>
      </w:r>
      <w:r>
        <w:rPr>
          <w:rFonts w:cs="Times New Roman" w:hint="eastAsia"/>
        </w:rPr>
        <w:t>1</w:t>
      </w:r>
      <w:r>
        <w:rPr>
          <w:rFonts w:cs="Times New Roman"/>
        </w:rPr>
        <w:t>个资料性附录。正文前</w:t>
      </w:r>
      <w:r>
        <w:rPr>
          <w:rFonts w:cs="Times New Roman"/>
        </w:rPr>
        <w:t>3</w:t>
      </w:r>
      <w:r>
        <w:rPr>
          <w:rFonts w:cs="Times New Roman"/>
        </w:rPr>
        <w:t>个章节为标准规范编制的必备要素，后</w:t>
      </w:r>
      <w:r>
        <w:rPr>
          <w:rFonts w:cs="Times New Roman" w:hint="eastAsia"/>
        </w:rPr>
        <w:t>9</w:t>
      </w:r>
      <w:r>
        <w:rPr>
          <w:rFonts w:cs="Times New Roman"/>
        </w:rPr>
        <w:t>个章节贯穿了环境管理的全过程。</w:t>
      </w:r>
    </w:p>
    <w:p w14:paraId="2363EDA3" w14:textId="77777777" w:rsidR="00595FD3" w:rsidRDefault="00000000">
      <w:pPr>
        <w:pStyle w:val="2"/>
      </w:pPr>
      <w:bookmarkStart w:id="39" w:name="_Toc181623332"/>
      <w:bookmarkStart w:id="40" w:name="_Toc230073423"/>
      <w:r>
        <w:t>范围</w:t>
      </w:r>
      <w:bookmarkEnd w:id="39"/>
      <w:bookmarkEnd w:id="40"/>
    </w:p>
    <w:p w14:paraId="4BA0418F" w14:textId="77777777" w:rsidR="00595FD3" w:rsidRDefault="00000000">
      <w:pPr>
        <w:ind w:firstLine="480"/>
        <w:rPr>
          <w:rFonts w:cs="Times New Roman"/>
          <w:color w:val="000000" w:themeColor="text1"/>
        </w:rPr>
      </w:pPr>
      <w:r>
        <w:rPr>
          <w:rFonts w:cs="Times New Roman"/>
          <w:color w:val="000000" w:themeColor="text1"/>
        </w:rPr>
        <w:t>标准的适用范围用于界定标准文件的标准化对象和所覆盖的各个方面，并指明了标准文件的适用界限。</w:t>
      </w:r>
    </w:p>
    <w:p w14:paraId="5DFFDF64" w14:textId="77777777" w:rsidR="00595FD3" w:rsidRDefault="00000000">
      <w:pPr>
        <w:ind w:firstLine="480"/>
        <w:rPr>
          <w:rFonts w:cs="Times New Roman"/>
          <w:color w:val="000000" w:themeColor="text1"/>
        </w:rPr>
      </w:pPr>
      <w:r>
        <w:rPr>
          <w:rFonts w:cs="Times New Roman" w:hint="eastAsia"/>
          <w:color w:val="000000" w:themeColor="text1"/>
        </w:rPr>
        <w:t>本文件规定了重庆市典型一般工业固体废物回填利用过程中的基本原则、工作流程、回填场地基本要求、回填物料要求、环境本底调查、环境风险评估、回填利用工程实施、环境质量跟踪监测、档案和后期管理相关要求。</w:t>
      </w:r>
    </w:p>
    <w:p w14:paraId="3C29F45E" w14:textId="77777777" w:rsidR="00595FD3" w:rsidRDefault="00000000">
      <w:pPr>
        <w:ind w:firstLine="480"/>
        <w:rPr>
          <w:rFonts w:cs="Times New Roman"/>
          <w:color w:val="000000" w:themeColor="text1"/>
        </w:rPr>
      </w:pPr>
      <w:r>
        <w:rPr>
          <w:rFonts w:cs="Times New Roman" w:hint="eastAsia"/>
          <w:color w:val="000000" w:themeColor="text1"/>
        </w:rPr>
        <w:t>本文件适用于重庆市辖区内利用粉煤灰、赤泥、钢渣、炉渣、脱硫石膏、钛石膏、磷石膏、高锰酸钾锰</w:t>
      </w:r>
      <w:proofErr w:type="gramStart"/>
      <w:r>
        <w:rPr>
          <w:rFonts w:cs="Times New Roman" w:hint="eastAsia"/>
          <w:color w:val="000000" w:themeColor="text1"/>
        </w:rPr>
        <w:t>渣实施</w:t>
      </w:r>
      <w:proofErr w:type="gramEnd"/>
      <w:r>
        <w:rPr>
          <w:rFonts w:cs="Times New Roman" w:hint="eastAsia"/>
          <w:color w:val="000000" w:themeColor="text1"/>
        </w:rPr>
        <w:t>回填的环境保护要求</w:t>
      </w:r>
      <w:r>
        <w:rPr>
          <w:rFonts w:cs="Times New Roman"/>
          <w:color w:val="000000" w:themeColor="text1"/>
        </w:rPr>
        <w:t>。</w:t>
      </w:r>
    </w:p>
    <w:p w14:paraId="30908959" w14:textId="77777777" w:rsidR="00595FD3" w:rsidRDefault="00000000">
      <w:pPr>
        <w:ind w:firstLine="480"/>
      </w:pPr>
      <w:r>
        <w:rPr>
          <w:rFonts w:hint="eastAsia"/>
        </w:rPr>
        <w:t>本标准结合</w:t>
      </w:r>
      <w:r>
        <w:rPr>
          <w:rFonts w:hint="eastAsia"/>
        </w:rPr>
        <w:t>2024</w:t>
      </w:r>
      <w:r>
        <w:rPr>
          <w:rFonts w:hint="eastAsia"/>
        </w:rPr>
        <w:t>年全市一般工业固体废物产生量数据及前期调研工作资料，</w:t>
      </w:r>
      <w:r>
        <w:t>聚焦</w:t>
      </w:r>
      <w:r>
        <w:rPr>
          <w:rFonts w:hint="eastAsia"/>
        </w:rPr>
        <w:t>我市产生量大、综合利用率低、历史遗留堆存量大、环境污染问题突出的</w:t>
      </w:r>
      <w:r>
        <w:rPr>
          <w:rFonts w:hint="eastAsia"/>
        </w:rPr>
        <w:t>8</w:t>
      </w:r>
      <w:r>
        <w:rPr>
          <w:rFonts w:hint="eastAsia"/>
        </w:rPr>
        <w:lastRenderedPageBreak/>
        <w:t>种典型工业固体废物，系统开展污染特征调查工作。调查结果显示，粉煤灰、炉渣、钛石膏通常属于第</w:t>
      </w:r>
      <w:r>
        <w:rPr>
          <w:rFonts w:hint="eastAsia"/>
        </w:rPr>
        <w:t>I</w:t>
      </w:r>
      <w:r>
        <w:rPr>
          <w:rFonts w:hint="eastAsia"/>
        </w:rPr>
        <w:t>类一般工业固体废物；冶炼钢渣、赤泥、脱硫石膏及高锰酸钾锰渣的</w:t>
      </w:r>
      <w:r>
        <w:rPr>
          <w:rFonts w:hint="eastAsia"/>
        </w:rPr>
        <w:t>pH</w:t>
      </w:r>
      <w:proofErr w:type="gramStart"/>
      <w:r>
        <w:rPr>
          <w:rFonts w:hint="eastAsia"/>
        </w:rPr>
        <w:t>值普遍</w:t>
      </w:r>
      <w:proofErr w:type="gramEnd"/>
      <w:r>
        <w:rPr>
          <w:rFonts w:hint="eastAsia"/>
        </w:rPr>
        <w:t>大于</w:t>
      </w:r>
      <w:r>
        <w:rPr>
          <w:rFonts w:hint="eastAsia"/>
        </w:rPr>
        <w:t>9</w:t>
      </w:r>
      <w:r>
        <w:rPr>
          <w:rFonts w:hint="eastAsia"/>
        </w:rPr>
        <w:t>，磷石膏的</w:t>
      </w:r>
      <w:r>
        <w:rPr>
          <w:rFonts w:hint="eastAsia"/>
        </w:rPr>
        <w:t>pH</w:t>
      </w:r>
      <w:r>
        <w:rPr>
          <w:rFonts w:hint="eastAsia"/>
        </w:rPr>
        <w:t>值均小于</w:t>
      </w:r>
      <w:r>
        <w:rPr>
          <w:rFonts w:hint="eastAsia"/>
        </w:rPr>
        <w:t>6</w:t>
      </w:r>
      <w:r>
        <w:rPr>
          <w:rFonts w:hint="eastAsia"/>
        </w:rPr>
        <w:t>，上述</w:t>
      </w:r>
      <w:r>
        <w:rPr>
          <w:rFonts w:hint="eastAsia"/>
        </w:rPr>
        <w:t>5</w:t>
      </w:r>
      <w:r>
        <w:rPr>
          <w:rFonts w:hint="eastAsia"/>
        </w:rPr>
        <w:t>类固体废物均属于第</w:t>
      </w:r>
      <w:r>
        <w:rPr>
          <w:rFonts w:hint="eastAsia"/>
        </w:rPr>
        <w:t>II</w:t>
      </w:r>
      <w:r>
        <w:rPr>
          <w:rFonts w:hint="eastAsia"/>
        </w:rPr>
        <w:t>类一般工业固体废物。</w:t>
      </w:r>
    </w:p>
    <w:p w14:paraId="33F1F4F3" w14:textId="77777777" w:rsidR="00595FD3" w:rsidRDefault="00000000">
      <w:pPr>
        <w:pStyle w:val="2"/>
      </w:pPr>
      <w:bookmarkStart w:id="41" w:name="_Toc230073424"/>
      <w:r>
        <w:t>规范性引用文件</w:t>
      </w:r>
      <w:bookmarkEnd w:id="41"/>
    </w:p>
    <w:p w14:paraId="644ECB0B" w14:textId="77777777" w:rsidR="00595FD3" w:rsidRDefault="00000000">
      <w:pPr>
        <w:ind w:firstLine="480"/>
        <w:rPr>
          <w:rFonts w:cs="Times New Roman"/>
        </w:rPr>
      </w:pPr>
      <w:r>
        <w:rPr>
          <w:rFonts w:cs="Times New Roman"/>
        </w:rPr>
        <w:t>本部分共列举了本标准引用的全部</w:t>
      </w:r>
      <w:r>
        <w:rPr>
          <w:rFonts w:cs="Times New Roman" w:hint="eastAsia"/>
        </w:rPr>
        <w:t>20</w:t>
      </w:r>
      <w:r>
        <w:rPr>
          <w:rFonts w:cs="Times New Roman"/>
        </w:rPr>
        <w:t>个规范性引用标准和文件，其中包括</w:t>
      </w:r>
      <w:r>
        <w:rPr>
          <w:rFonts w:cs="Times New Roman" w:hint="eastAsia"/>
        </w:rPr>
        <w:t>9</w:t>
      </w:r>
      <w:r>
        <w:rPr>
          <w:rFonts w:cs="Times New Roman"/>
        </w:rPr>
        <w:t>个国家标准，</w:t>
      </w:r>
      <w:r>
        <w:rPr>
          <w:rFonts w:cs="Times New Roman" w:hint="eastAsia"/>
        </w:rPr>
        <w:t>11</w:t>
      </w:r>
      <w:r>
        <w:rPr>
          <w:rFonts w:cs="Times New Roman"/>
        </w:rPr>
        <w:t>个行业标准。这些标准和文件的有关条文通过引用成为本标准的组成部分。</w:t>
      </w:r>
    </w:p>
    <w:p w14:paraId="3DD04AC0" w14:textId="77777777" w:rsidR="00595FD3" w:rsidRDefault="00000000">
      <w:pPr>
        <w:pStyle w:val="2"/>
      </w:pPr>
      <w:bookmarkStart w:id="42" w:name="_Toc230073425"/>
      <w:r>
        <w:t>术语和定义</w:t>
      </w:r>
      <w:bookmarkEnd w:id="42"/>
    </w:p>
    <w:p w14:paraId="7AD074D9" w14:textId="77777777" w:rsidR="00595FD3" w:rsidRDefault="00000000">
      <w:pPr>
        <w:ind w:firstLine="480"/>
        <w:rPr>
          <w:rFonts w:cs="Times New Roman"/>
        </w:rPr>
      </w:pPr>
      <w:r>
        <w:rPr>
          <w:rFonts w:cs="Times New Roman" w:hint="eastAsia"/>
        </w:rPr>
        <w:t>本文件列出了</w:t>
      </w:r>
      <w:r>
        <w:rPr>
          <w:rFonts w:cs="Times New Roman" w:hint="eastAsia"/>
        </w:rPr>
        <w:t>4</w:t>
      </w:r>
      <w:r>
        <w:rPr>
          <w:rFonts w:cs="Times New Roman" w:hint="eastAsia"/>
        </w:rPr>
        <w:t>个术语和定义。术语的定义执行《术语工作</w:t>
      </w:r>
      <w:r>
        <w:rPr>
          <w:rFonts w:cs="Times New Roman" w:hint="eastAsia"/>
        </w:rPr>
        <w:t xml:space="preserve">  </w:t>
      </w:r>
      <w:r>
        <w:rPr>
          <w:rFonts w:cs="Times New Roman" w:hint="eastAsia"/>
        </w:rPr>
        <w:t>词汇</w:t>
      </w:r>
      <w:r>
        <w:rPr>
          <w:rFonts w:cs="Times New Roman" w:hint="eastAsia"/>
        </w:rPr>
        <w:t xml:space="preserve">  </w:t>
      </w:r>
      <w:r>
        <w:rPr>
          <w:rFonts w:cs="Times New Roman" w:hint="eastAsia"/>
        </w:rPr>
        <w:t>第</w:t>
      </w:r>
      <w:r>
        <w:rPr>
          <w:rFonts w:cs="Times New Roman" w:hint="eastAsia"/>
        </w:rPr>
        <w:t>1</w:t>
      </w:r>
      <w:r>
        <w:rPr>
          <w:rFonts w:cs="Times New Roman" w:hint="eastAsia"/>
        </w:rPr>
        <w:t>部分：理论与应用》（</w:t>
      </w:r>
      <w:r>
        <w:rPr>
          <w:rFonts w:cs="Times New Roman" w:hint="eastAsia"/>
        </w:rPr>
        <w:t>GB/T 15237.1</w:t>
      </w:r>
      <w:r>
        <w:rPr>
          <w:rFonts w:cs="Times New Roman" w:hint="eastAsia"/>
        </w:rPr>
        <w:t>—</w:t>
      </w:r>
      <w:r>
        <w:rPr>
          <w:rFonts w:cs="Times New Roman" w:hint="eastAsia"/>
        </w:rPr>
        <w:t>2000</w:t>
      </w:r>
      <w:r>
        <w:rPr>
          <w:rFonts w:cs="Times New Roman" w:hint="eastAsia"/>
        </w:rPr>
        <w:t>）、《术语工作</w:t>
      </w:r>
      <w:r>
        <w:rPr>
          <w:rFonts w:cs="Times New Roman" w:hint="eastAsia"/>
        </w:rPr>
        <w:t xml:space="preserve">  </w:t>
      </w:r>
      <w:r>
        <w:rPr>
          <w:rFonts w:cs="Times New Roman" w:hint="eastAsia"/>
        </w:rPr>
        <w:t>原则与方法》（</w:t>
      </w:r>
      <w:r>
        <w:rPr>
          <w:rFonts w:cs="Times New Roman" w:hint="eastAsia"/>
        </w:rPr>
        <w:t xml:space="preserve">GB/T 10112 </w:t>
      </w:r>
      <w:r>
        <w:rPr>
          <w:rFonts w:cs="Times New Roman" w:hint="eastAsia"/>
        </w:rPr>
        <w:t>—</w:t>
      </w:r>
      <w:r>
        <w:rPr>
          <w:rFonts w:cs="Times New Roman" w:hint="eastAsia"/>
        </w:rPr>
        <w:t>2019</w:t>
      </w:r>
      <w:r>
        <w:rPr>
          <w:rFonts w:cs="Times New Roman" w:hint="eastAsia"/>
        </w:rPr>
        <w:t>）的相关要求，术语的简称置于定义之后。</w:t>
      </w:r>
      <w:r>
        <w:rPr>
          <w:rFonts w:cs="Times New Roman" w:hint="eastAsia"/>
        </w:rPr>
        <w:t>4</w:t>
      </w:r>
      <w:r>
        <w:rPr>
          <w:rFonts w:cs="Times New Roman" w:hint="eastAsia"/>
        </w:rPr>
        <w:t>条术语中：</w:t>
      </w:r>
      <w:r>
        <w:rPr>
          <w:rFonts w:cs="Times New Roman"/>
        </w:rPr>
        <w:t>。</w:t>
      </w:r>
    </w:p>
    <w:p w14:paraId="2A1FA584" w14:textId="77777777" w:rsidR="00595FD3" w:rsidRDefault="00000000">
      <w:pPr>
        <w:pStyle w:val="aff"/>
        <w:numPr>
          <w:ilvl w:val="0"/>
          <w:numId w:val="15"/>
        </w:numPr>
        <w:ind w:left="0" w:firstLine="480"/>
      </w:pPr>
      <w:r>
        <w:rPr>
          <w:rFonts w:hint="eastAsia"/>
        </w:rPr>
        <w:t>“一般工业固体废物”引用了</w:t>
      </w:r>
      <w:r>
        <w:rPr>
          <w:rFonts w:hint="eastAsia"/>
        </w:rPr>
        <w:t>GB18599</w:t>
      </w:r>
      <w:r>
        <w:rPr>
          <w:rFonts w:hint="eastAsia"/>
        </w:rPr>
        <w:t>—</w:t>
      </w:r>
      <w:r>
        <w:rPr>
          <w:rFonts w:hint="eastAsia"/>
        </w:rPr>
        <w:t>2020</w:t>
      </w:r>
      <w:r>
        <w:rPr>
          <w:rFonts w:hint="eastAsia"/>
        </w:rPr>
        <w:t>中</w:t>
      </w:r>
      <w:r>
        <w:rPr>
          <w:rFonts w:hint="eastAsia"/>
        </w:rPr>
        <w:t>3.1</w:t>
      </w:r>
      <w:r>
        <w:rPr>
          <w:rFonts w:hint="eastAsia"/>
        </w:rPr>
        <w:t>的定义。</w:t>
      </w:r>
    </w:p>
    <w:p w14:paraId="1B1D7606" w14:textId="77777777" w:rsidR="00595FD3" w:rsidRDefault="00000000">
      <w:pPr>
        <w:pStyle w:val="aff"/>
        <w:numPr>
          <w:ilvl w:val="0"/>
          <w:numId w:val="15"/>
        </w:numPr>
        <w:ind w:left="0" w:firstLine="480"/>
        <w:rPr>
          <w:color w:val="000000" w:themeColor="text1"/>
        </w:rPr>
      </w:pPr>
      <w:r>
        <w:rPr>
          <w:rFonts w:hint="eastAsia"/>
        </w:rPr>
        <w:t>“回填利用”</w:t>
      </w:r>
      <w:r>
        <w:t>的定义参考了</w:t>
      </w:r>
      <w:r>
        <w:rPr>
          <w:color w:val="000000" w:themeColor="text1"/>
        </w:rPr>
        <w:t>GB 18599—2020</w:t>
      </w:r>
      <w:r>
        <w:rPr>
          <w:rFonts w:hint="eastAsia"/>
          <w:color w:val="000000" w:themeColor="text1"/>
        </w:rPr>
        <w:t>中</w:t>
      </w:r>
      <w:r>
        <w:rPr>
          <w:color w:val="000000" w:themeColor="text1"/>
        </w:rPr>
        <w:t>3.11</w:t>
      </w:r>
      <w:r>
        <w:rPr>
          <w:rFonts w:hint="eastAsia"/>
          <w:color w:val="000000" w:themeColor="text1"/>
        </w:rPr>
        <w:t>的定义，并依据重庆市适用场景进行修改。</w:t>
      </w:r>
    </w:p>
    <w:p w14:paraId="54457914" w14:textId="77777777" w:rsidR="00595FD3" w:rsidRDefault="00000000">
      <w:pPr>
        <w:pStyle w:val="aff"/>
        <w:numPr>
          <w:ilvl w:val="0"/>
          <w:numId w:val="15"/>
        </w:numPr>
        <w:ind w:left="0" w:firstLine="480"/>
      </w:pPr>
      <w:r>
        <w:rPr>
          <w:rFonts w:hint="eastAsia"/>
        </w:rPr>
        <w:t>“炉渣”的定义参考了</w:t>
      </w:r>
      <w:r>
        <w:rPr>
          <w:color w:val="000000" w:themeColor="text1"/>
        </w:rPr>
        <w:t>JC/T 525-2007</w:t>
      </w:r>
      <w:r>
        <w:rPr>
          <w:rFonts w:hint="eastAsia"/>
          <w:color w:val="000000" w:themeColor="text1"/>
        </w:rPr>
        <w:t>中</w:t>
      </w:r>
      <w:r>
        <w:rPr>
          <w:color w:val="000000" w:themeColor="text1"/>
        </w:rPr>
        <w:t>3.1</w:t>
      </w:r>
      <w:r>
        <w:rPr>
          <w:rFonts w:hint="eastAsia"/>
          <w:color w:val="000000" w:themeColor="text1"/>
        </w:rPr>
        <w:t>的定义，并依据</w:t>
      </w:r>
      <w:r>
        <w:rPr>
          <w:rFonts w:hint="eastAsia"/>
        </w:rPr>
        <w:t>《固体废物分类与代码目录》中</w:t>
      </w:r>
      <w:r>
        <w:t>312-001-S01</w:t>
      </w:r>
      <w:r>
        <w:rPr>
          <w:rFonts w:hint="eastAsia"/>
        </w:rPr>
        <w:t>类别中炉渣的名词解释进行修改。</w:t>
      </w:r>
    </w:p>
    <w:p w14:paraId="0842D740" w14:textId="77777777" w:rsidR="00595FD3" w:rsidRDefault="00000000">
      <w:pPr>
        <w:pStyle w:val="aff"/>
        <w:numPr>
          <w:ilvl w:val="0"/>
          <w:numId w:val="15"/>
        </w:numPr>
        <w:ind w:left="0" w:firstLine="480"/>
      </w:pPr>
      <w:r>
        <w:rPr>
          <w:rFonts w:hint="eastAsia"/>
          <w:color w:val="000000" w:themeColor="text1"/>
        </w:rPr>
        <w:t>“高锰酸钾锰渣”</w:t>
      </w:r>
      <w:r>
        <w:rPr>
          <w:color w:val="000000" w:themeColor="text1"/>
        </w:rPr>
        <w:t>由本文件定义</w:t>
      </w:r>
      <w:r>
        <w:rPr>
          <w:rFonts w:hint="eastAsia"/>
          <w:color w:val="000000" w:themeColor="text1"/>
        </w:rPr>
        <w:t>，参考了《高锰酸钾生产技术规范》（</w:t>
      </w:r>
      <w:r>
        <w:rPr>
          <w:color w:val="000000" w:themeColor="text1"/>
        </w:rPr>
        <w:t>GB/T 29339-2012</w:t>
      </w:r>
      <w:r>
        <w:rPr>
          <w:rFonts w:hint="eastAsia"/>
          <w:color w:val="000000" w:themeColor="text1"/>
        </w:rPr>
        <w:t>）中锰渣的产生工艺流程。</w:t>
      </w:r>
    </w:p>
    <w:p w14:paraId="074863B5" w14:textId="77777777" w:rsidR="00595FD3" w:rsidRDefault="00000000">
      <w:pPr>
        <w:pStyle w:val="aff"/>
        <w:numPr>
          <w:ilvl w:val="0"/>
          <w:numId w:val="15"/>
        </w:numPr>
        <w:ind w:left="0" w:firstLine="480"/>
      </w:pPr>
      <w:r>
        <w:rPr>
          <w:rFonts w:hint="eastAsia"/>
        </w:rPr>
        <w:t>“预处理”</w:t>
      </w:r>
      <w:r>
        <w:rPr>
          <w:color w:val="000000" w:themeColor="text1"/>
        </w:rPr>
        <w:t>由本文件定义</w:t>
      </w:r>
      <w:r>
        <w:rPr>
          <w:rFonts w:hint="eastAsia"/>
          <w:color w:val="000000" w:themeColor="text1"/>
        </w:rPr>
        <w:t>，参考了</w:t>
      </w:r>
      <w:r>
        <w:rPr>
          <w:color w:val="000000" w:themeColor="text1"/>
        </w:rPr>
        <w:t>《磷石膏利用和无害化贮存污染控制技术规范》（</w:t>
      </w:r>
      <w:r>
        <w:rPr>
          <w:color w:val="000000" w:themeColor="text1"/>
        </w:rPr>
        <w:t>HJ 1415—2025</w:t>
      </w:r>
      <w:r>
        <w:rPr>
          <w:color w:val="000000" w:themeColor="text1"/>
        </w:rPr>
        <w:t>）</w:t>
      </w:r>
      <w:r>
        <w:rPr>
          <w:rFonts w:hint="eastAsia"/>
          <w:color w:val="000000" w:themeColor="text1"/>
        </w:rPr>
        <w:t>、《</w:t>
      </w:r>
      <w:r>
        <w:rPr>
          <w:color w:val="000000" w:themeColor="text1"/>
        </w:rPr>
        <w:t>废盐利用处置污染控制技术规范（农药行业）</w:t>
      </w:r>
      <w:r>
        <w:rPr>
          <w:rFonts w:hint="eastAsia"/>
          <w:color w:val="000000" w:themeColor="text1"/>
        </w:rPr>
        <w:t>》</w:t>
      </w:r>
      <w:r>
        <w:rPr>
          <w:color w:val="000000" w:themeColor="text1"/>
        </w:rPr>
        <w:t>（</w:t>
      </w:r>
      <w:r>
        <w:rPr>
          <w:color w:val="000000" w:themeColor="text1"/>
        </w:rPr>
        <w:t>HJ 1360—2024</w:t>
      </w:r>
      <w:r>
        <w:rPr>
          <w:color w:val="000000" w:themeColor="text1"/>
        </w:rPr>
        <w:t>）</w:t>
      </w:r>
      <w:r>
        <w:rPr>
          <w:rFonts w:hint="eastAsia"/>
          <w:color w:val="000000" w:themeColor="text1"/>
        </w:rPr>
        <w:t>中</w:t>
      </w:r>
      <w:r>
        <w:rPr>
          <w:rFonts w:hint="eastAsia"/>
          <w:color w:val="000000" w:themeColor="text1"/>
        </w:rPr>
        <w:t>3.2</w:t>
      </w:r>
      <w:r>
        <w:rPr>
          <w:rFonts w:hint="eastAsia"/>
          <w:color w:val="000000" w:themeColor="text1"/>
        </w:rPr>
        <w:t>的定义。</w:t>
      </w:r>
    </w:p>
    <w:p w14:paraId="7F25C5BB" w14:textId="77777777" w:rsidR="00595FD3" w:rsidRDefault="00000000">
      <w:pPr>
        <w:pStyle w:val="2"/>
      </w:pPr>
      <w:bookmarkStart w:id="43" w:name="_Toc230073426"/>
      <w:r>
        <w:t>基本原则</w:t>
      </w:r>
      <w:bookmarkEnd w:id="43"/>
    </w:p>
    <w:p w14:paraId="671F92DD" w14:textId="77777777" w:rsidR="00595FD3" w:rsidRDefault="00000000">
      <w:pPr>
        <w:ind w:firstLine="480"/>
        <w:rPr>
          <w:rFonts w:cs="Times New Roman"/>
        </w:rPr>
      </w:pPr>
      <w:r>
        <w:rPr>
          <w:rFonts w:cs="Times New Roman"/>
        </w:rPr>
        <w:t>为规范一般工业固体废物回填工作，本部分基于规划符合性、现行法律法规政策、回填方案合理性及生态环境管理要求等方面内容提出了实施</w:t>
      </w:r>
      <w:r>
        <w:rPr>
          <w:rFonts w:cs="Times New Roman" w:hint="eastAsia"/>
        </w:rPr>
        <w:t>一般</w:t>
      </w:r>
      <w:r>
        <w:rPr>
          <w:rFonts w:cs="Times New Roman"/>
        </w:rPr>
        <w:t>工业固体废物回填工程</w:t>
      </w:r>
      <w:r>
        <w:rPr>
          <w:rFonts w:cs="Times New Roman" w:hint="eastAsia"/>
        </w:rPr>
        <w:t>需遵循统筹规划、因地制宜、风险可控原则。</w:t>
      </w:r>
    </w:p>
    <w:p w14:paraId="415212E9" w14:textId="77777777" w:rsidR="00595FD3" w:rsidRDefault="00000000">
      <w:pPr>
        <w:pStyle w:val="2"/>
      </w:pPr>
      <w:bookmarkStart w:id="44" w:name="_Toc230073427"/>
      <w:bookmarkStart w:id="45" w:name="_Toc230073428"/>
      <w:bookmarkStart w:id="46" w:name="_Toc230073429"/>
      <w:bookmarkEnd w:id="44"/>
      <w:bookmarkEnd w:id="45"/>
      <w:r>
        <w:lastRenderedPageBreak/>
        <w:t>回填场地基本要求</w:t>
      </w:r>
      <w:bookmarkEnd w:id="46"/>
    </w:p>
    <w:p w14:paraId="04AC3A55" w14:textId="77777777" w:rsidR="00595FD3" w:rsidRDefault="00000000">
      <w:pPr>
        <w:ind w:firstLine="480"/>
        <w:rPr>
          <w:rFonts w:cs="Times New Roman"/>
        </w:rPr>
      </w:pPr>
      <w:r>
        <w:rPr>
          <w:rFonts w:cs="Times New Roman" w:hint="eastAsia"/>
        </w:rPr>
        <w:t>本部</w:t>
      </w:r>
      <w:proofErr w:type="gramStart"/>
      <w:r>
        <w:rPr>
          <w:rFonts w:cs="Times New Roman" w:hint="eastAsia"/>
        </w:rPr>
        <w:t>分明确</w:t>
      </w:r>
      <w:proofErr w:type="gramEnd"/>
      <w:r>
        <w:rPr>
          <w:rFonts w:cs="Times New Roman" w:hint="eastAsia"/>
        </w:rPr>
        <w:t>了实施一般工业固体废物回填利用工程的场地基本管控要求，具体如下：</w:t>
      </w:r>
    </w:p>
    <w:p w14:paraId="5E467F81" w14:textId="77777777" w:rsidR="00595FD3" w:rsidRDefault="00000000">
      <w:pPr>
        <w:ind w:firstLine="480"/>
        <w:rPr>
          <w:rFonts w:cs="Times New Roman"/>
        </w:rPr>
      </w:pPr>
      <w:r>
        <w:rPr>
          <w:rFonts w:cs="Times New Roman" w:hint="eastAsia"/>
        </w:rPr>
        <w:t>（</w:t>
      </w:r>
      <w:r>
        <w:rPr>
          <w:rFonts w:cs="Times New Roman" w:hint="eastAsia"/>
        </w:rPr>
        <w:t>1</w:t>
      </w:r>
      <w:r>
        <w:rPr>
          <w:rFonts w:cs="Times New Roman" w:hint="eastAsia"/>
        </w:rPr>
        <w:t>）明确回填场地合</w:t>
      </w:r>
      <w:proofErr w:type="gramStart"/>
      <w:r>
        <w:rPr>
          <w:rFonts w:cs="Times New Roman" w:hint="eastAsia"/>
        </w:rPr>
        <w:t>规</w:t>
      </w:r>
      <w:proofErr w:type="gramEnd"/>
      <w:r>
        <w:rPr>
          <w:rFonts w:cs="Times New Roman" w:hint="eastAsia"/>
        </w:rPr>
        <w:t>性要求。回填场地需严格符合环境保护相关法律法规及各类法定规划要求，确保与当地国土空间规划协调衔接；坚持保护和改善生态环境的基本原则，保障土地资源可持续利用。</w:t>
      </w:r>
    </w:p>
    <w:p w14:paraId="519673A5" w14:textId="77777777" w:rsidR="00595FD3" w:rsidRDefault="00000000">
      <w:pPr>
        <w:ind w:firstLine="480"/>
        <w:rPr>
          <w:rFonts w:cs="Times New Roman"/>
        </w:rPr>
      </w:pPr>
      <w:r>
        <w:rPr>
          <w:rFonts w:cs="Times New Roman" w:hint="eastAsia"/>
        </w:rPr>
        <w:t>（</w:t>
      </w:r>
      <w:r>
        <w:rPr>
          <w:rFonts w:cs="Times New Roman" w:hint="eastAsia"/>
        </w:rPr>
        <w:t>2</w:t>
      </w:r>
      <w:r>
        <w:rPr>
          <w:rFonts w:cs="Times New Roman" w:hint="eastAsia"/>
        </w:rPr>
        <w:t>）界定开展回填利用工作应避开的区域。依据</w:t>
      </w:r>
      <w:r>
        <w:rPr>
          <w:rFonts w:cs="Times New Roman" w:hint="eastAsia"/>
        </w:rPr>
        <w:t>GB 18599</w:t>
      </w:r>
      <w:r>
        <w:rPr>
          <w:rFonts w:cs="Times New Roman" w:hint="eastAsia"/>
        </w:rPr>
        <w:t>、</w:t>
      </w:r>
      <w:r>
        <w:rPr>
          <w:rFonts w:cs="Times New Roman" w:hint="eastAsia"/>
        </w:rPr>
        <w:t>GB/T 45015</w:t>
      </w:r>
      <w:r>
        <w:rPr>
          <w:rFonts w:cs="Times New Roman" w:hint="eastAsia"/>
        </w:rPr>
        <w:t>、</w:t>
      </w:r>
      <w:r>
        <w:rPr>
          <w:rFonts w:cs="Times New Roman" w:hint="eastAsia"/>
        </w:rPr>
        <w:t>HJ 1415</w:t>
      </w:r>
      <w:r>
        <w:rPr>
          <w:rFonts w:cs="Times New Roman" w:hint="eastAsia"/>
        </w:rPr>
        <w:t>等相关标准规定，回填场地应优先选择地质稳定区域实施，规避因地质灾害、场地沉降引发的安全隐患和环境风险，保障土地后续开发利用安全；鉴于一般工业固体废物存在一定环境风险，为保护场地周边生态环境和人群健康、降低环境风险，回填场地需严格避开各类环境敏感区域。</w:t>
      </w:r>
    </w:p>
    <w:p w14:paraId="13DF5D7B" w14:textId="77777777" w:rsidR="00595FD3" w:rsidRDefault="00000000">
      <w:pPr>
        <w:ind w:firstLine="480"/>
        <w:rPr>
          <w:rFonts w:cs="Times New Roman"/>
        </w:rPr>
      </w:pPr>
      <w:r>
        <w:rPr>
          <w:rFonts w:cs="Times New Roman" w:hint="eastAsia"/>
        </w:rPr>
        <w:t>（</w:t>
      </w:r>
      <w:r>
        <w:rPr>
          <w:rFonts w:cs="Times New Roman" w:hint="eastAsia"/>
        </w:rPr>
        <w:t>3</w:t>
      </w:r>
      <w:r>
        <w:rPr>
          <w:rFonts w:cs="Times New Roman" w:hint="eastAsia"/>
        </w:rPr>
        <w:t>）明确场地回填</w:t>
      </w:r>
      <w:proofErr w:type="gramStart"/>
      <w:r>
        <w:rPr>
          <w:rFonts w:cs="Times New Roman" w:hint="eastAsia"/>
        </w:rPr>
        <w:t>物料管</w:t>
      </w:r>
      <w:proofErr w:type="gramEnd"/>
      <w:r>
        <w:rPr>
          <w:rFonts w:cs="Times New Roman" w:hint="eastAsia"/>
        </w:rPr>
        <w:t>控原则。为防范回填利用过程中次生污染隐患，本标准明确规定原则上单个回填场地仅可采用一种一般工业固体废物进行回填。通过源头管控，规避不同类型固体废物混合回填可能引发的环境风险，确保回填利用活动全程可控、长期安全</w:t>
      </w:r>
      <w:r>
        <w:rPr>
          <w:rFonts w:cs="Times New Roman"/>
          <w:color w:val="000000" w:themeColor="text1"/>
        </w:rPr>
        <w:t>。</w:t>
      </w:r>
    </w:p>
    <w:p w14:paraId="7B11F7AB" w14:textId="77777777" w:rsidR="00595FD3" w:rsidRDefault="00000000">
      <w:pPr>
        <w:pStyle w:val="2"/>
      </w:pPr>
      <w:bookmarkStart w:id="47" w:name="_Toc230073430"/>
      <w:bookmarkStart w:id="48" w:name="_Toc200012900"/>
      <w:r>
        <w:rPr>
          <w:rFonts w:hint="eastAsia"/>
        </w:rPr>
        <w:t>回填物料要求</w:t>
      </w:r>
      <w:bookmarkEnd w:id="47"/>
    </w:p>
    <w:p w14:paraId="7B575FF7" w14:textId="77777777" w:rsidR="00595FD3" w:rsidRDefault="00000000">
      <w:pPr>
        <w:ind w:firstLine="480"/>
      </w:pPr>
      <w:r>
        <w:rPr>
          <w:rFonts w:hint="eastAsia"/>
        </w:rPr>
        <w:t>本部</w:t>
      </w:r>
      <w:proofErr w:type="gramStart"/>
      <w:r>
        <w:rPr>
          <w:rFonts w:hint="eastAsia"/>
        </w:rPr>
        <w:t>分明确</w:t>
      </w:r>
      <w:proofErr w:type="gramEnd"/>
      <w:r>
        <w:rPr>
          <w:rFonts w:hint="eastAsia"/>
        </w:rPr>
        <w:t>了一般工业固体废物作为回填物料的</w:t>
      </w:r>
      <w:proofErr w:type="gramStart"/>
      <w:r>
        <w:rPr>
          <w:rFonts w:hint="eastAsia"/>
        </w:rPr>
        <w:t>各项管</w:t>
      </w:r>
      <w:proofErr w:type="gramEnd"/>
      <w:r>
        <w:rPr>
          <w:rFonts w:hint="eastAsia"/>
        </w:rPr>
        <w:t>控要求，具体如下：</w:t>
      </w:r>
    </w:p>
    <w:p w14:paraId="620988E1" w14:textId="77777777" w:rsidR="00595FD3" w:rsidRDefault="00000000">
      <w:pPr>
        <w:ind w:firstLine="480"/>
        <w:rPr>
          <w:rFonts w:cs="Times New Roman"/>
          <w:b/>
          <w:bCs/>
          <w:kern w:val="0"/>
          <w:szCs w:val="20"/>
        </w:rPr>
      </w:pPr>
      <w:r>
        <w:rPr>
          <w:rFonts w:hint="eastAsia"/>
        </w:rPr>
        <w:t>（</w:t>
      </w:r>
      <w:r>
        <w:rPr>
          <w:rFonts w:hint="eastAsia"/>
        </w:rPr>
        <w:t>1</w:t>
      </w:r>
      <w:r>
        <w:rPr>
          <w:rFonts w:hint="eastAsia"/>
        </w:rPr>
        <w:t>）明确回填物料</w:t>
      </w:r>
      <w:r>
        <w:rPr>
          <w:rFonts w:hint="eastAsia"/>
          <w:color w:val="000000" w:themeColor="text1"/>
        </w:rPr>
        <w:t>污染特征识别技术要求。</w:t>
      </w:r>
      <w:r>
        <w:rPr>
          <w:rFonts w:hint="eastAsia"/>
        </w:rPr>
        <w:t>本标准基于前期开展的重庆市典型一般工业固体废物污染特征调查结果，结合现行国家、行业及地方相关标准要求，在附录</w:t>
      </w:r>
      <w:r>
        <w:rPr>
          <w:rFonts w:hint="eastAsia"/>
        </w:rPr>
        <w:t>A</w:t>
      </w:r>
      <w:r>
        <w:rPr>
          <w:rFonts w:hint="eastAsia"/>
        </w:rPr>
        <w:t>中明确了各类回填物料对应的特征污染物，为后续污染管控、风险评估提供基础依据。</w:t>
      </w:r>
    </w:p>
    <w:p w14:paraId="22D50D36" w14:textId="77777777" w:rsidR="00595FD3" w:rsidRDefault="00000000">
      <w:pPr>
        <w:pStyle w:val="5"/>
      </w:pPr>
      <w:r>
        <w:t>回填物料特征污染物</w:t>
      </w:r>
    </w:p>
    <w:tbl>
      <w:tblPr>
        <w:tblStyle w:val="afa"/>
        <w:tblW w:w="0" w:type="auto"/>
        <w:jc w:val="center"/>
        <w:tblCellMar>
          <w:left w:w="100" w:type="dxa"/>
          <w:right w:w="100" w:type="dxa"/>
        </w:tblCellMar>
        <w:tblLook w:val="04A0" w:firstRow="1" w:lastRow="0" w:firstColumn="1" w:lastColumn="0" w:noHBand="0" w:noVBand="1"/>
      </w:tblPr>
      <w:tblGrid>
        <w:gridCol w:w="555"/>
        <w:gridCol w:w="870"/>
        <w:gridCol w:w="1071"/>
        <w:gridCol w:w="3873"/>
        <w:gridCol w:w="1917"/>
      </w:tblGrid>
      <w:tr w:rsidR="00595FD3" w14:paraId="2E8B300A" w14:textId="77777777">
        <w:trPr>
          <w:tblHeader/>
          <w:jc w:val="center"/>
        </w:trPr>
        <w:tc>
          <w:tcPr>
            <w:tcW w:w="555" w:type="dxa"/>
            <w:vAlign w:val="center"/>
          </w:tcPr>
          <w:p w14:paraId="6268928D" w14:textId="77777777" w:rsidR="00595FD3" w:rsidRDefault="00000000">
            <w:pPr>
              <w:pStyle w:val="aff2"/>
              <w:rPr>
                <w:b/>
                <w:bCs/>
                <w:sz w:val="21"/>
                <w:szCs w:val="21"/>
              </w:rPr>
            </w:pPr>
            <w:r>
              <w:rPr>
                <w:rFonts w:hint="eastAsia"/>
                <w:b/>
                <w:bCs/>
                <w:sz w:val="21"/>
                <w:szCs w:val="21"/>
              </w:rPr>
              <w:t>序号</w:t>
            </w:r>
          </w:p>
        </w:tc>
        <w:tc>
          <w:tcPr>
            <w:tcW w:w="870" w:type="dxa"/>
            <w:vAlign w:val="center"/>
          </w:tcPr>
          <w:p w14:paraId="60CB256E" w14:textId="77777777" w:rsidR="00595FD3" w:rsidRDefault="00000000">
            <w:pPr>
              <w:pStyle w:val="aff2"/>
              <w:rPr>
                <w:b/>
                <w:bCs/>
                <w:sz w:val="21"/>
                <w:szCs w:val="21"/>
              </w:rPr>
            </w:pPr>
            <w:r>
              <w:rPr>
                <w:rFonts w:hint="eastAsia"/>
                <w:b/>
                <w:bCs/>
                <w:sz w:val="21"/>
                <w:szCs w:val="21"/>
              </w:rPr>
              <w:t>固体废物名称</w:t>
            </w:r>
          </w:p>
        </w:tc>
        <w:tc>
          <w:tcPr>
            <w:tcW w:w="1071" w:type="dxa"/>
            <w:vAlign w:val="center"/>
          </w:tcPr>
          <w:p w14:paraId="6C67D09D" w14:textId="77777777" w:rsidR="00595FD3" w:rsidRDefault="00000000">
            <w:pPr>
              <w:pStyle w:val="aff2"/>
              <w:rPr>
                <w:b/>
                <w:bCs/>
                <w:sz w:val="21"/>
                <w:szCs w:val="21"/>
              </w:rPr>
            </w:pPr>
            <w:r>
              <w:rPr>
                <w:rFonts w:hint="eastAsia"/>
                <w:b/>
                <w:bCs/>
                <w:sz w:val="21"/>
                <w:szCs w:val="21"/>
              </w:rPr>
              <w:t>固体废物代码</w:t>
            </w:r>
          </w:p>
        </w:tc>
        <w:tc>
          <w:tcPr>
            <w:tcW w:w="3873" w:type="dxa"/>
            <w:vAlign w:val="center"/>
          </w:tcPr>
          <w:p w14:paraId="65BB0733" w14:textId="77777777" w:rsidR="00595FD3" w:rsidRDefault="00000000">
            <w:pPr>
              <w:pStyle w:val="aff2"/>
              <w:rPr>
                <w:b/>
                <w:bCs/>
                <w:sz w:val="21"/>
                <w:szCs w:val="21"/>
              </w:rPr>
            </w:pPr>
            <w:r>
              <w:rPr>
                <w:rFonts w:hint="eastAsia"/>
                <w:b/>
                <w:bCs/>
                <w:sz w:val="21"/>
                <w:szCs w:val="21"/>
              </w:rPr>
              <w:t>特征污染物（包括但不限于）</w:t>
            </w:r>
          </w:p>
        </w:tc>
        <w:tc>
          <w:tcPr>
            <w:tcW w:w="1917" w:type="dxa"/>
            <w:vAlign w:val="center"/>
          </w:tcPr>
          <w:p w14:paraId="53102C95" w14:textId="77777777" w:rsidR="00595FD3" w:rsidRDefault="00000000">
            <w:pPr>
              <w:pStyle w:val="aff2"/>
              <w:rPr>
                <w:b/>
                <w:bCs/>
                <w:sz w:val="21"/>
                <w:szCs w:val="21"/>
              </w:rPr>
            </w:pPr>
            <w:r>
              <w:rPr>
                <w:rFonts w:hint="eastAsia"/>
                <w:b/>
                <w:bCs/>
                <w:sz w:val="21"/>
                <w:szCs w:val="21"/>
              </w:rPr>
              <w:t>依据</w:t>
            </w:r>
          </w:p>
        </w:tc>
      </w:tr>
      <w:tr w:rsidR="00595FD3" w14:paraId="28EC6DFA" w14:textId="77777777">
        <w:trPr>
          <w:jc w:val="center"/>
        </w:trPr>
        <w:tc>
          <w:tcPr>
            <w:tcW w:w="555" w:type="dxa"/>
            <w:vAlign w:val="center"/>
          </w:tcPr>
          <w:p w14:paraId="2CBEB64B" w14:textId="77777777" w:rsidR="00595FD3" w:rsidRDefault="00000000">
            <w:pPr>
              <w:pStyle w:val="aff2"/>
              <w:rPr>
                <w:sz w:val="21"/>
                <w:szCs w:val="21"/>
              </w:rPr>
            </w:pPr>
            <w:r>
              <w:rPr>
                <w:sz w:val="21"/>
                <w:szCs w:val="21"/>
              </w:rPr>
              <w:t>1</w:t>
            </w:r>
          </w:p>
        </w:tc>
        <w:tc>
          <w:tcPr>
            <w:tcW w:w="870" w:type="dxa"/>
            <w:vAlign w:val="center"/>
          </w:tcPr>
          <w:p w14:paraId="2B6419BD" w14:textId="77777777" w:rsidR="00595FD3" w:rsidRDefault="00000000">
            <w:pPr>
              <w:pStyle w:val="aff2"/>
              <w:rPr>
                <w:sz w:val="21"/>
                <w:szCs w:val="21"/>
              </w:rPr>
            </w:pPr>
            <w:r>
              <w:rPr>
                <w:rFonts w:hint="eastAsia"/>
                <w:sz w:val="21"/>
                <w:szCs w:val="21"/>
              </w:rPr>
              <w:t>钢渣</w:t>
            </w:r>
          </w:p>
        </w:tc>
        <w:tc>
          <w:tcPr>
            <w:tcW w:w="1071" w:type="dxa"/>
            <w:vAlign w:val="center"/>
          </w:tcPr>
          <w:p w14:paraId="3A3C2DDE" w14:textId="77777777" w:rsidR="00595FD3" w:rsidRDefault="00000000">
            <w:pPr>
              <w:pStyle w:val="aff2"/>
              <w:rPr>
                <w:sz w:val="21"/>
                <w:szCs w:val="21"/>
              </w:rPr>
            </w:pPr>
            <w:r>
              <w:rPr>
                <w:sz w:val="21"/>
                <w:szCs w:val="21"/>
              </w:rPr>
              <w:t>312-001-S01</w:t>
            </w:r>
          </w:p>
        </w:tc>
        <w:tc>
          <w:tcPr>
            <w:tcW w:w="3873" w:type="dxa"/>
            <w:vAlign w:val="center"/>
          </w:tcPr>
          <w:p w14:paraId="31B87F0E" w14:textId="77777777" w:rsidR="00595FD3" w:rsidRDefault="00000000">
            <w:pPr>
              <w:pStyle w:val="aff2"/>
              <w:jc w:val="both"/>
              <w:rPr>
                <w:sz w:val="21"/>
                <w:szCs w:val="21"/>
              </w:rPr>
            </w:pPr>
            <w:r>
              <w:rPr>
                <w:sz w:val="21"/>
                <w:szCs w:val="21"/>
              </w:rPr>
              <w:t>pH</w:t>
            </w:r>
            <w:r>
              <w:rPr>
                <w:rFonts w:hint="eastAsia"/>
                <w:sz w:val="21"/>
                <w:szCs w:val="21"/>
              </w:rPr>
              <w:t>、镉、汞、砷、铅、铬（六价）、镍、锰、铜、锌、硒、铊、锑、氟化物</w:t>
            </w:r>
          </w:p>
        </w:tc>
        <w:tc>
          <w:tcPr>
            <w:tcW w:w="1917" w:type="dxa"/>
            <w:vAlign w:val="center"/>
          </w:tcPr>
          <w:p w14:paraId="0DEF1B06" w14:textId="77777777" w:rsidR="00595FD3" w:rsidRDefault="00000000">
            <w:pPr>
              <w:pStyle w:val="aff2"/>
              <w:jc w:val="both"/>
              <w:rPr>
                <w:sz w:val="21"/>
                <w:szCs w:val="21"/>
              </w:rPr>
            </w:pPr>
            <w:r>
              <w:rPr>
                <w:sz w:val="21"/>
                <w:szCs w:val="21"/>
              </w:rPr>
              <w:t>GB/T 47193-2026</w:t>
            </w:r>
            <w:r>
              <w:rPr>
                <w:rFonts w:hint="eastAsia"/>
                <w:sz w:val="21"/>
                <w:szCs w:val="21"/>
              </w:rPr>
              <w:t>、</w:t>
            </w:r>
            <w:r>
              <w:rPr>
                <w:sz w:val="21"/>
                <w:szCs w:val="21"/>
              </w:rPr>
              <w:t>DB21/T 4382</w:t>
            </w:r>
            <w:r>
              <w:rPr>
                <w:rFonts w:hint="eastAsia"/>
                <w:sz w:val="21"/>
                <w:szCs w:val="21"/>
              </w:rPr>
              <w:t>—</w:t>
            </w:r>
            <w:r>
              <w:rPr>
                <w:sz w:val="21"/>
                <w:szCs w:val="21"/>
              </w:rPr>
              <w:t>2026</w:t>
            </w:r>
          </w:p>
        </w:tc>
      </w:tr>
      <w:tr w:rsidR="00595FD3" w14:paraId="10417583" w14:textId="77777777">
        <w:trPr>
          <w:jc w:val="center"/>
        </w:trPr>
        <w:tc>
          <w:tcPr>
            <w:tcW w:w="555" w:type="dxa"/>
            <w:vAlign w:val="center"/>
          </w:tcPr>
          <w:p w14:paraId="1143DD86" w14:textId="77777777" w:rsidR="00595FD3" w:rsidRDefault="00000000">
            <w:pPr>
              <w:pStyle w:val="aff2"/>
              <w:rPr>
                <w:sz w:val="21"/>
                <w:szCs w:val="21"/>
              </w:rPr>
            </w:pPr>
            <w:r>
              <w:rPr>
                <w:sz w:val="21"/>
                <w:szCs w:val="21"/>
              </w:rPr>
              <w:lastRenderedPageBreak/>
              <w:t>2</w:t>
            </w:r>
          </w:p>
        </w:tc>
        <w:tc>
          <w:tcPr>
            <w:tcW w:w="870" w:type="dxa"/>
            <w:vAlign w:val="center"/>
          </w:tcPr>
          <w:p w14:paraId="73961F04" w14:textId="77777777" w:rsidR="00595FD3" w:rsidRDefault="00000000">
            <w:pPr>
              <w:pStyle w:val="aff2"/>
              <w:rPr>
                <w:sz w:val="21"/>
                <w:szCs w:val="21"/>
              </w:rPr>
            </w:pPr>
            <w:r>
              <w:rPr>
                <w:rFonts w:hint="eastAsia"/>
                <w:sz w:val="21"/>
                <w:szCs w:val="21"/>
              </w:rPr>
              <w:t>粉煤灰</w:t>
            </w:r>
          </w:p>
        </w:tc>
        <w:tc>
          <w:tcPr>
            <w:tcW w:w="1071" w:type="dxa"/>
            <w:vAlign w:val="center"/>
          </w:tcPr>
          <w:p w14:paraId="6130C547" w14:textId="77777777" w:rsidR="00595FD3" w:rsidRDefault="00000000">
            <w:pPr>
              <w:pStyle w:val="aff2"/>
              <w:rPr>
                <w:sz w:val="21"/>
                <w:szCs w:val="21"/>
              </w:rPr>
            </w:pPr>
            <w:r>
              <w:rPr>
                <w:sz w:val="21"/>
                <w:szCs w:val="21"/>
              </w:rPr>
              <w:t>900-001-S02</w:t>
            </w:r>
          </w:p>
        </w:tc>
        <w:tc>
          <w:tcPr>
            <w:tcW w:w="3873" w:type="dxa"/>
            <w:vAlign w:val="center"/>
          </w:tcPr>
          <w:p w14:paraId="270D1321" w14:textId="77777777" w:rsidR="00595FD3" w:rsidRDefault="00000000">
            <w:pPr>
              <w:pStyle w:val="aff2"/>
              <w:jc w:val="both"/>
              <w:rPr>
                <w:sz w:val="21"/>
                <w:szCs w:val="21"/>
              </w:rPr>
            </w:pPr>
            <w:r>
              <w:rPr>
                <w:sz w:val="21"/>
                <w:szCs w:val="21"/>
              </w:rPr>
              <w:t>pH</w:t>
            </w:r>
            <w:r>
              <w:rPr>
                <w:rFonts w:hint="eastAsia"/>
                <w:sz w:val="21"/>
                <w:szCs w:val="21"/>
              </w:rPr>
              <w:t>、镉、汞、砷、铅、铬（六价）、铜、镍、锌</w:t>
            </w:r>
          </w:p>
        </w:tc>
        <w:tc>
          <w:tcPr>
            <w:tcW w:w="1917" w:type="dxa"/>
            <w:vAlign w:val="center"/>
          </w:tcPr>
          <w:p w14:paraId="3BA3A6C4" w14:textId="77777777" w:rsidR="00595FD3" w:rsidRDefault="00000000">
            <w:pPr>
              <w:pStyle w:val="aff2"/>
              <w:jc w:val="both"/>
              <w:rPr>
                <w:sz w:val="21"/>
                <w:szCs w:val="21"/>
              </w:rPr>
            </w:pPr>
            <w:r>
              <w:rPr>
                <w:sz w:val="21"/>
                <w:szCs w:val="21"/>
              </w:rPr>
              <w:t>DB 21/T 4069</w:t>
            </w:r>
            <w:r>
              <w:rPr>
                <w:rFonts w:hint="eastAsia"/>
                <w:sz w:val="21"/>
                <w:szCs w:val="21"/>
              </w:rPr>
              <w:t>—</w:t>
            </w:r>
            <w:r>
              <w:rPr>
                <w:sz w:val="21"/>
                <w:szCs w:val="21"/>
              </w:rPr>
              <w:t>2024</w:t>
            </w:r>
          </w:p>
        </w:tc>
      </w:tr>
      <w:tr w:rsidR="00595FD3" w14:paraId="6BB1842D" w14:textId="77777777">
        <w:trPr>
          <w:jc w:val="center"/>
        </w:trPr>
        <w:tc>
          <w:tcPr>
            <w:tcW w:w="555" w:type="dxa"/>
            <w:vAlign w:val="center"/>
          </w:tcPr>
          <w:p w14:paraId="3A45E0EE" w14:textId="77777777" w:rsidR="00595FD3" w:rsidRDefault="00000000">
            <w:pPr>
              <w:pStyle w:val="aff2"/>
              <w:rPr>
                <w:sz w:val="21"/>
                <w:szCs w:val="21"/>
              </w:rPr>
            </w:pPr>
            <w:r>
              <w:rPr>
                <w:sz w:val="21"/>
                <w:szCs w:val="21"/>
              </w:rPr>
              <w:t>3</w:t>
            </w:r>
          </w:p>
        </w:tc>
        <w:tc>
          <w:tcPr>
            <w:tcW w:w="870" w:type="dxa"/>
            <w:vAlign w:val="center"/>
          </w:tcPr>
          <w:p w14:paraId="25D2E919" w14:textId="77777777" w:rsidR="00595FD3" w:rsidRDefault="00000000">
            <w:pPr>
              <w:pStyle w:val="aff2"/>
              <w:rPr>
                <w:sz w:val="21"/>
                <w:szCs w:val="21"/>
              </w:rPr>
            </w:pPr>
            <w:r>
              <w:rPr>
                <w:rFonts w:hint="eastAsia"/>
                <w:sz w:val="21"/>
                <w:szCs w:val="21"/>
              </w:rPr>
              <w:t>炉渣</w:t>
            </w:r>
          </w:p>
        </w:tc>
        <w:tc>
          <w:tcPr>
            <w:tcW w:w="1071" w:type="dxa"/>
            <w:vAlign w:val="center"/>
          </w:tcPr>
          <w:p w14:paraId="2745275F" w14:textId="77777777" w:rsidR="00595FD3" w:rsidRDefault="00000000">
            <w:pPr>
              <w:pStyle w:val="aff2"/>
              <w:rPr>
                <w:sz w:val="21"/>
                <w:szCs w:val="21"/>
              </w:rPr>
            </w:pPr>
            <w:r>
              <w:rPr>
                <w:sz w:val="21"/>
                <w:szCs w:val="21"/>
              </w:rPr>
              <w:t>900-001-S03</w:t>
            </w:r>
          </w:p>
        </w:tc>
        <w:tc>
          <w:tcPr>
            <w:tcW w:w="3873" w:type="dxa"/>
            <w:vAlign w:val="center"/>
          </w:tcPr>
          <w:p w14:paraId="23041F56" w14:textId="77777777" w:rsidR="00595FD3" w:rsidRDefault="00000000">
            <w:pPr>
              <w:pStyle w:val="aff2"/>
              <w:jc w:val="both"/>
              <w:rPr>
                <w:sz w:val="21"/>
                <w:szCs w:val="21"/>
              </w:rPr>
            </w:pPr>
            <w:r>
              <w:rPr>
                <w:sz w:val="21"/>
                <w:szCs w:val="21"/>
              </w:rPr>
              <w:t>pH</w:t>
            </w:r>
            <w:r>
              <w:rPr>
                <w:rFonts w:hint="eastAsia"/>
                <w:sz w:val="21"/>
                <w:szCs w:val="21"/>
              </w:rPr>
              <w:t>、镉、汞、砷、铅、铬（六价）、铜、镍、锌</w:t>
            </w:r>
          </w:p>
        </w:tc>
        <w:tc>
          <w:tcPr>
            <w:tcW w:w="1917" w:type="dxa"/>
            <w:vAlign w:val="center"/>
          </w:tcPr>
          <w:p w14:paraId="7032E614" w14:textId="77777777" w:rsidR="00595FD3" w:rsidRDefault="00000000">
            <w:pPr>
              <w:pStyle w:val="aff2"/>
              <w:jc w:val="both"/>
              <w:rPr>
                <w:sz w:val="21"/>
                <w:szCs w:val="21"/>
              </w:rPr>
            </w:pPr>
            <w:r>
              <w:rPr>
                <w:sz w:val="21"/>
                <w:szCs w:val="21"/>
              </w:rPr>
              <w:t>DB 21/T 4069</w:t>
            </w:r>
            <w:r>
              <w:rPr>
                <w:rFonts w:hint="eastAsia"/>
                <w:sz w:val="21"/>
                <w:szCs w:val="21"/>
              </w:rPr>
              <w:t>—</w:t>
            </w:r>
            <w:r>
              <w:rPr>
                <w:sz w:val="21"/>
                <w:szCs w:val="21"/>
              </w:rPr>
              <w:t>2024</w:t>
            </w:r>
          </w:p>
        </w:tc>
      </w:tr>
      <w:tr w:rsidR="00595FD3" w14:paraId="1FFA33DF" w14:textId="77777777">
        <w:trPr>
          <w:jc w:val="center"/>
        </w:trPr>
        <w:tc>
          <w:tcPr>
            <w:tcW w:w="555" w:type="dxa"/>
            <w:vAlign w:val="center"/>
          </w:tcPr>
          <w:p w14:paraId="14289661" w14:textId="77777777" w:rsidR="00595FD3" w:rsidRDefault="00000000">
            <w:pPr>
              <w:pStyle w:val="aff2"/>
              <w:rPr>
                <w:sz w:val="21"/>
                <w:szCs w:val="21"/>
              </w:rPr>
            </w:pPr>
            <w:r>
              <w:rPr>
                <w:sz w:val="21"/>
                <w:szCs w:val="21"/>
              </w:rPr>
              <w:t>4</w:t>
            </w:r>
          </w:p>
        </w:tc>
        <w:tc>
          <w:tcPr>
            <w:tcW w:w="870" w:type="dxa"/>
            <w:vAlign w:val="center"/>
          </w:tcPr>
          <w:p w14:paraId="741DCD98" w14:textId="77777777" w:rsidR="00595FD3" w:rsidRDefault="00000000">
            <w:pPr>
              <w:pStyle w:val="aff2"/>
              <w:rPr>
                <w:sz w:val="21"/>
                <w:szCs w:val="21"/>
              </w:rPr>
            </w:pPr>
            <w:r>
              <w:rPr>
                <w:rFonts w:hint="eastAsia"/>
                <w:sz w:val="21"/>
                <w:szCs w:val="21"/>
              </w:rPr>
              <w:t>脱硫石膏</w:t>
            </w:r>
          </w:p>
        </w:tc>
        <w:tc>
          <w:tcPr>
            <w:tcW w:w="1071" w:type="dxa"/>
            <w:vAlign w:val="center"/>
          </w:tcPr>
          <w:p w14:paraId="36652F90" w14:textId="77777777" w:rsidR="00595FD3" w:rsidRDefault="00000000">
            <w:pPr>
              <w:pStyle w:val="aff2"/>
              <w:rPr>
                <w:sz w:val="21"/>
                <w:szCs w:val="21"/>
              </w:rPr>
            </w:pPr>
            <w:r>
              <w:rPr>
                <w:sz w:val="21"/>
                <w:szCs w:val="21"/>
              </w:rPr>
              <w:t>SW06</w:t>
            </w:r>
          </w:p>
        </w:tc>
        <w:tc>
          <w:tcPr>
            <w:tcW w:w="3873" w:type="dxa"/>
            <w:vAlign w:val="center"/>
          </w:tcPr>
          <w:p w14:paraId="62DE7E27" w14:textId="77777777" w:rsidR="00595FD3" w:rsidRDefault="00000000">
            <w:pPr>
              <w:pStyle w:val="aff2"/>
              <w:jc w:val="both"/>
              <w:rPr>
                <w:sz w:val="21"/>
                <w:szCs w:val="21"/>
              </w:rPr>
            </w:pPr>
            <w:r>
              <w:rPr>
                <w:sz w:val="21"/>
                <w:szCs w:val="21"/>
              </w:rPr>
              <w:t>pH</w:t>
            </w:r>
            <w:r>
              <w:rPr>
                <w:rFonts w:hint="eastAsia"/>
                <w:sz w:val="21"/>
                <w:szCs w:val="21"/>
              </w:rPr>
              <w:t>、镉、汞、砷、铅、铬、氟化物</w:t>
            </w:r>
          </w:p>
        </w:tc>
        <w:tc>
          <w:tcPr>
            <w:tcW w:w="1917" w:type="dxa"/>
            <w:vAlign w:val="center"/>
          </w:tcPr>
          <w:p w14:paraId="0C9A8C04" w14:textId="77777777" w:rsidR="00595FD3" w:rsidRDefault="00000000">
            <w:pPr>
              <w:pStyle w:val="aff2"/>
              <w:jc w:val="both"/>
              <w:rPr>
                <w:sz w:val="21"/>
                <w:szCs w:val="21"/>
              </w:rPr>
            </w:pPr>
            <w:r>
              <w:rPr>
                <w:rFonts w:hint="eastAsia"/>
                <w:sz w:val="21"/>
                <w:szCs w:val="21"/>
              </w:rPr>
              <w:t>特征调查识别</w:t>
            </w:r>
          </w:p>
        </w:tc>
      </w:tr>
      <w:tr w:rsidR="00595FD3" w14:paraId="29FDFE0A" w14:textId="77777777">
        <w:trPr>
          <w:jc w:val="center"/>
        </w:trPr>
        <w:tc>
          <w:tcPr>
            <w:tcW w:w="555" w:type="dxa"/>
            <w:vAlign w:val="center"/>
          </w:tcPr>
          <w:p w14:paraId="5CA4B140" w14:textId="77777777" w:rsidR="00595FD3" w:rsidRDefault="00000000">
            <w:pPr>
              <w:pStyle w:val="aff2"/>
              <w:rPr>
                <w:sz w:val="21"/>
                <w:szCs w:val="21"/>
              </w:rPr>
            </w:pPr>
            <w:r>
              <w:rPr>
                <w:sz w:val="21"/>
                <w:szCs w:val="21"/>
              </w:rPr>
              <w:t>5</w:t>
            </w:r>
          </w:p>
        </w:tc>
        <w:tc>
          <w:tcPr>
            <w:tcW w:w="870" w:type="dxa"/>
            <w:vAlign w:val="center"/>
          </w:tcPr>
          <w:p w14:paraId="3530C9C7" w14:textId="77777777" w:rsidR="00595FD3" w:rsidRDefault="00000000">
            <w:pPr>
              <w:pStyle w:val="aff2"/>
              <w:rPr>
                <w:sz w:val="21"/>
                <w:szCs w:val="21"/>
              </w:rPr>
            </w:pPr>
            <w:r>
              <w:rPr>
                <w:rFonts w:hint="eastAsia"/>
                <w:sz w:val="21"/>
                <w:szCs w:val="21"/>
              </w:rPr>
              <w:t>赤泥</w:t>
            </w:r>
          </w:p>
        </w:tc>
        <w:tc>
          <w:tcPr>
            <w:tcW w:w="1071" w:type="dxa"/>
            <w:vAlign w:val="center"/>
          </w:tcPr>
          <w:p w14:paraId="2BB9B5DB" w14:textId="77777777" w:rsidR="00595FD3" w:rsidRDefault="00000000">
            <w:pPr>
              <w:pStyle w:val="aff2"/>
              <w:rPr>
                <w:sz w:val="21"/>
                <w:szCs w:val="21"/>
              </w:rPr>
            </w:pPr>
            <w:r>
              <w:rPr>
                <w:sz w:val="21"/>
                <w:szCs w:val="21"/>
              </w:rPr>
              <w:t>321-001-S09</w:t>
            </w:r>
          </w:p>
        </w:tc>
        <w:tc>
          <w:tcPr>
            <w:tcW w:w="3873" w:type="dxa"/>
            <w:vAlign w:val="center"/>
          </w:tcPr>
          <w:p w14:paraId="0E824EE1" w14:textId="77777777" w:rsidR="00595FD3" w:rsidRDefault="00000000">
            <w:pPr>
              <w:pStyle w:val="aff2"/>
              <w:jc w:val="both"/>
              <w:rPr>
                <w:sz w:val="21"/>
                <w:szCs w:val="21"/>
              </w:rPr>
            </w:pPr>
            <w:r>
              <w:rPr>
                <w:sz w:val="21"/>
                <w:szCs w:val="21"/>
              </w:rPr>
              <w:t xml:space="preserve">pH </w:t>
            </w:r>
            <w:r>
              <w:rPr>
                <w:rFonts w:hint="eastAsia"/>
                <w:sz w:val="21"/>
                <w:szCs w:val="21"/>
              </w:rPr>
              <w:t>、钠、钒、</w:t>
            </w:r>
            <w:proofErr w:type="gramStart"/>
            <w:r>
              <w:rPr>
                <w:rFonts w:hint="eastAsia"/>
                <w:sz w:val="21"/>
                <w:szCs w:val="21"/>
              </w:rPr>
              <w:t>钼</w:t>
            </w:r>
            <w:proofErr w:type="gramEnd"/>
            <w:r>
              <w:rPr>
                <w:rFonts w:hint="eastAsia"/>
                <w:sz w:val="21"/>
                <w:szCs w:val="21"/>
              </w:rPr>
              <w:t>、硒、铬、砷、汞、六价铬、氟化物、硫酸根、氯化物</w:t>
            </w:r>
          </w:p>
        </w:tc>
        <w:tc>
          <w:tcPr>
            <w:tcW w:w="1917" w:type="dxa"/>
            <w:vAlign w:val="center"/>
          </w:tcPr>
          <w:p w14:paraId="3818C9AF" w14:textId="77777777" w:rsidR="00595FD3" w:rsidRDefault="00000000">
            <w:pPr>
              <w:pStyle w:val="aff2"/>
              <w:jc w:val="both"/>
              <w:rPr>
                <w:sz w:val="21"/>
                <w:szCs w:val="21"/>
              </w:rPr>
            </w:pPr>
            <w:r>
              <w:rPr>
                <w:rFonts w:hint="eastAsia"/>
                <w:sz w:val="21"/>
                <w:szCs w:val="21"/>
              </w:rPr>
              <w:t>《赤泥利用污染控制技术规范（征求意见稿）》、特征调查识别</w:t>
            </w:r>
          </w:p>
        </w:tc>
      </w:tr>
      <w:tr w:rsidR="00595FD3" w14:paraId="2403543B" w14:textId="77777777">
        <w:trPr>
          <w:jc w:val="center"/>
        </w:trPr>
        <w:tc>
          <w:tcPr>
            <w:tcW w:w="555" w:type="dxa"/>
            <w:vAlign w:val="center"/>
          </w:tcPr>
          <w:p w14:paraId="100799B5" w14:textId="77777777" w:rsidR="00595FD3" w:rsidRDefault="00000000">
            <w:pPr>
              <w:pStyle w:val="aff2"/>
              <w:rPr>
                <w:sz w:val="21"/>
                <w:szCs w:val="21"/>
              </w:rPr>
            </w:pPr>
            <w:r>
              <w:rPr>
                <w:sz w:val="21"/>
                <w:szCs w:val="21"/>
              </w:rPr>
              <w:t>6</w:t>
            </w:r>
          </w:p>
        </w:tc>
        <w:tc>
          <w:tcPr>
            <w:tcW w:w="870" w:type="dxa"/>
            <w:vAlign w:val="center"/>
          </w:tcPr>
          <w:p w14:paraId="0EA06097" w14:textId="77777777" w:rsidR="00595FD3" w:rsidRDefault="00000000">
            <w:pPr>
              <w:pStyle w:val="aff2"/>
              <w:rPr>
                <w:sz w:val="21"/>
                <w:szCs w:val="21"/>
              </w:rPr>
            </w:pPr>
            <w:r>
              <w:rPr>
                <w:rFonts w:hint="eastAsia"/>
                <w:sz w:val="21"/>
                <w:szCs w:val="21"/>
              </w:rPr>
              <w:t>磷石膏</w:t>
            </w:r>
          </w:p>
        </w:tc>
        <w:tc>
          <w:tcPr>
            <w:tcW w:w="1071" w:type="dxa"/>
            <w:vAlign w:val="center"/>
          </w:tcPr>
          <w:p w14:paraId="39A63E4C" w14:textId="77777777" w:rsidR="00595FD3" w:rsidRDefault="00000000">
            <w:pPr>
              <w:pStyle w:val="aff2"/>
              <w:rPr>
                <w:sz w:val="21"/>
                <w:szCs w:val="21"/>
              </w:rPr>
            </w:pPr>
            <w:r>
              <w:rPr>
                <w:sz w:val="21"/>
                <w:szCs w:val="21"/>
              </w:rPr>
              <w:t>261-001-S10</w:t>
            </w:r>
          </w:p>
        </w:tc>
        <w:tc>
          <w:tcPr>
            <w:tcW w:w="3873" w:type="dxa"/>
            <w:vAlign w:val="center"/>
          </w:tcPr>
          <w:p w14:paraId="39B0C15A" w14:textId="77777777" w:rsidR="00595FD3" w:rsidRDefault="00000000">
            <w:pPr>
              <w:pStyle w:val="aff2"/>
              <w:jc w:val="both"/>
              <w:rPr>
                <w:sz w:val="21"/>
                <w:szCs w:val="21"/>
              </w:rPr>
            </w:pPr>
            <w:r>
              <w:rPr>
                <w:sz w:val="21"/>
                <w:szCs w:val="21"/>
              </w:rPr>
              <w:t>pH</w:t>
            </w:r>
            <w:r>
              <w:rPr>
                <w:rFonts w:hint="eastAsia"/>
                <w:sz w:val="21"/>
                <w:szCs w:val="21"/>
              </w:rPr>
              <w:t>、氟化物、</w:t>
            </w:r>
            <w:r>
              <w:rPr>
                <w:sz w:val="21"/>
                <w:szCs w:val="21"/>
              </w:rPr>
              <w:t xml:space="preserve"> </w:t>
            </w:r>
            <w:r>
              <w:rPr>
                <w:rFonts w:hint="eastAsia"/>
                <w:sz w:val="21"/>
                <w:szCs w:val="21"/>
              </w:rPr>
              <w:t>磷酸盐（以</w:t>
            </w:r>
            <w:r>
              <w:rPr>
                <w:sz w:val="21"/>
                <w:szCs w:val="21"/>
              </w:rPr>
              <w:t>P</w:t>
            </w:r>
            <w:r>
              <w:rPr>
                <w:rFonts w:hint="eastAsia"/>
                <w:sz w:val="21"/>
                <w:szCs w:val="21"/>
              </w:rPr>
              <w:t>计）、氨氮、化学需氧量、铅、镉、砷、汞、铬、铊</w:t>
            </w:r>
          </w:p>
        </w:tc>
        <w:tc>
          <w:tcPr>
            <w:tcW w:w="1917" w:type="dxa"/>
            <w:vAlign w:val="center"/>
          </w:tcPr>
          <w:p w14:paraId="4CF66812" w14:textId="77777777" w:rsidR="00595FD3" w:rsidRDefault="00000000">
            <w:pPr>
              <w:pStyle w:val="aff2"/>
              <w:jc w:val="both"/>
              <w:rPr>
                <w:sz w:val="21"/>
                <w:szCs w:val="21"/>
              </w:rPr>
            </w:pPr>
            <w:r>
              <w:rPr>
                <w:sz w:val="21"/>
                <w:szCs w:val="21"/>
              </w:rPr>
              <w:t>HJ 1415—2025</w:t>
            </w:r>
            <w:r>
              <w:rPr>
                <w:rFonts w:hint="eastAsia"/>
                <w:sz w:val="21"/>
                <w:szCs w:val="21"/>
              </w:rPr>
              <w:t>、特征调查识别</w:t>
            </w:r>
          </w:p>
        </w:tc>
      </w:tr>
      <w:tr w:rsidR="00595FD3" w14:paraId="10F0956A" w14:textId="77777777">
        <w:trPr>
          <w:jc w:val="center"/>
        </w:trPr>
        <w:tc>
          <w:tcPr>
            <w:tcW w:w="555" w:type="dxa"/>
            <w:vAlign w:val="center"/>
          </w:tcPr>
          <w:p w14:paraId="2EC31F2C" w14:textId="77777777" w:rsidR="00595FD3" w:rsidRDefault="00000000">
            <w:pPr>
              <w:pStyle w:val="aff2"/>
              <w:rPr>
                <w:sz w:val="21"/>
                <w:szCs w:val="21"/>
              </w:rPr>
            </w:pPr>
            <w:r>
              <w:rPr>
                <w:sz w:val="21"/>
                <w:szCs w:val="21"/>
              </w:rPr>
              <w:t>7</w:t>
            </w:r>
          </w:p>
        </w:tc>
        <w:tc>
          <w:tcPr>
            <w:tcW w:w="870" w:type="dxa"/>
            <w:vAlign w:val="center"/>
          </w:tcPr>
          <w:p w14:paraId="0E8F9642" w14:textId="77777777" w:rsidR="00595FD3" w:rsidRDefault="00000000">
            <w:pPr>
              <w:pStyle w:val="aff2"/>
              <w:rPr>
                <w:sz w:val="21"/>
                <w:szCs w:val="21"/>
              </w:rPr>
            </w:pPr>
            <w:r>
              <w:rPr>
                <w:rFonts w:hint="eastAsia"/>
                <w:sz w:val="21"/>
                <w:szCs w:val="21"/>
              </w:rPr>
              <w:t>钛石膏</w:t>
            </w:r>
          </w:p>
        </w:tc>
        <w:tc>
          <w:tcPr>
            <w:tcW w:w="1071" w:type="dxa"/>
            <w:vAlign w:val="center"/>
          </w:tcPr>
          <w:p w14:paraId="35840917" w14:textId="77777777" w:rsidR="00595FD3" w:rsidRDefault="00000000">
            <w:pPr>
              <w:pStyle w:val="aff2"/>
              <w:rPr>
                <w:sz w:val="21"/>
                <w:szCs w:val="21"/>
              </w:rPr>
            </w:pPr>
            <w:r>
              <w:rPr>
                <w:sz w:val="21"/>
                <w:szCs w:val="21"/>
              </w:rPr>
              <w:t>261-003-S11</w:t>
            </w:r>
          </w:p>
        </w:tc>
        <w:tc>
          <w:tcPr>
            <w:tcW w:w="3873" w:type="dxa"/>
            <w:vAlign w:val="center"/>
          </w:tcPr>
          <w:p w14:paraId="255D8A27" w14:textId="77777777" w:rsidR="00595FD3" w:rsidRDefault="00000000">
            <w:pPr>
              <w:pStyle w:val="aff2"/>
              <w:jc w:val="both"/>
              <w:rPr>
                <w:sz w:val="21"/>
                <w:szCs w:val="21"/>
              </w:rPr>
            </w:pPr>
            <w:r>
              <w:rPr>
                <w:sz w:val="21"/>
                <w:szCs w:val="21"/>
              </w:rPr>
              <w:t>pH</w:t>
            </w:r>
            <w:r>
              <w:rPr>
                <w:rFonts w:hint="eastAsia"/>
                <w:sz w:val="21"/>
                <w:szCs w:val="21"/>
              </w:rPr>
              <w:t>、铅、锌、镉、铬、铬（六价）、砷、汞、铜、镍、锰、氟化物、硫化物，氰化物、氯化物</w:t>
            </w:r>
          </w:p>
        </w:tc>
        <w:tc>
          <w:tcPr>
            <w:tcW w:w="1917" w:type="dxa"/>
            <w:vAlign w:val="center"/>
          </w:tcPr>
          <w:p w14:paraId="1089C8FF" w14:textId="77777777" w:rsidR="00595FD3" w:rsidRDefault="00000000">
            <w:pPr>
              <w:pStyle w:val="aff2"/>
              <w:jc w:val="both"/>
              <w:rPr>
                <w:sz w:val="21"/>
                <w:szCs w:val="21"/>
              </w:rPr>
            </w:pPr>
            <w:r>
              <w:rPr>
                <w:sz w:val="21"/>
                <w:szCs w:val="21"/>
              </w:rPr>
              <w:t>GB/T 45015</w:t>
            </w:r>
            <w:r>
              <w:rPr>
                <w:rFonts w:hint="eastAsia"/>
                <w:sz w:val="21"/>
                <w:szCs w:val="21"/>
              </w:rPr>
              <w:t>—</w:t>
            </w:r>
            <w:r>
              <w:rPr>
                <w:sz w:val="21"/>
                <w:szCs w:val="21"/>
              </w:rPr>
              <w:t>2024</w:t>
            </w:r>
          </w:p>
        </w:tc>
      </w:tr>
      <w:tr w:rsidR="00595FD3" w14:paraId="79F73426" w14:textId="77777777">
        <w:trPr>
          <w:jc w:val="center"/>
        </w:trPr>
        <w:tc>
          <w:tcPr>
            <w:tcW w:w="555" w:type="dxa"/>
            <w:vAlign w:val="center"/>
          </w:tcPr>
          <w:p w14:paraId="78A0AE83" w14:textId="77777777" w:rsidR="00595FD3" w:rsidRDefault="00000000">
            <w:pPr>
              <w:pStyle w:val="aff2"/>
              <w:rPr>
                <w:sz w:val="21"/>
                <w:szCs w:val="21"/>
              </w:rPr>
            </w:pPr>
            <w:r>
              <w:rPr>
                <w:sz w:val="21"/>
                <w:szCs w:val="21"/>
              </w:rPr>
              <w:t>8</w:t>
            </w:r>
          </w:p>
        </w:tc>
        <w:tc>
          <w:tcPr>
            <w:tcW w:w="870" w:type="dxa"/>
            <w:vAlign w:val="center"/>
          </w:tcPr>
          <w:p w14:paraId="4753E1D5" w14:textId="77777777" w:rsidR="00595FD3" w:rsidRDefault="00000000">
            <w:pPr>
              <w:pStyle w:val="aff2"/>
              <w:rPr>
                <w:sz w:val="21"/>
                <w:szCs w:val="21"/>
              </w:rPr>
            </w:pPr>
            <w:r>
              <w:rPr>
                <w:rFonts w:hint="eastAsia"/>
                <w:sz w:val="21"/>
                <w:szCs w:val="21"/>
              </w:rPr>
              <w:t>高锰酸钾锰渣</w:t>
            </w:r>
          </w:p>
        </w:tc>
        <w:tc>
          <w:tcPr>
            <w:tcW w:w="1071" w:type="dxa"/>
            <w:vAlign w:val="center"/>
          </w:tcPr>
          <w:p w14:paraId="780B8729" w14:textId="77777777" w:rsidR="00595FD3" w:rsidRDefault="00000000">
            <w:pPr>
              <w:pStyle w:val="aff2"/>
              <w:rPr>
                <w:sz w:val="21"/>
                <w:szCs w:val="21"/>
              </w:rPr>
            </w:pPr>
            <w:r>
              <w:rPr>
                <w:sz w:val="21"/>
                <w:szCs w:val="21"/>
              </w:rPr>
              <w:t>900-099-S16</w:t>
            </w:r>
          </w:p>
        </w:tc>
        <w:tc>
          <w:tcPr>
            <w:tcW w:w="3873" w:type="dxa"/>
            <w:vAlign w:val="center"/>
          </w:tcPr>
          <w:p w14:paraId="6D4D277A" w14:textId="77777777" w:rsidR="00595FD3" w:rsidRDefault="00000000">
            <w:pPr>
              <w:pStyle w:val="aff2"/>
              <w:jc w:val="both"/>
              <w:rPr>
                <w:sz w:val="21"/>
                <w:szCs w:val="21"/>
              </w:rPr>
            </w:pPr>
            <w:r>
              <w:rPr>
                <w:sz w:val="21"/>
                <w:szCs w:val="21"/>
              </w:rPr>
              <w:t>pH</w:t>
            </w:r>
            <w:r>
              <w:rPr>
                <w:rFonts w:hint="eastAsia"/>
                <w:sz w:val="21"/>
                <w:szCs w:val="21"/>
              </w:rPr>
              <w:t>、锰、锌、镍、砷、铅、镉、铬、铬（六价）、铜、钡</w:t>
            </w:r>
          </w:p>
        </w:tc>
        <w:tc>
          <w:tcPr>
            <w:tcW w:w="1917" w:type="dxa"/>
            <w:vAlign w:val="center"/>
          </w:tcPr>
          <w:p w14:paraId="43F06FA0" w14:textId="77777777" w:rsidR="00595FD3" w:rsidRDefault="00000000">
            <w:pPr>
              <w:pStyle w:val="aff2"/>
              <w:jc w:val="both"/>
              <w:rPr>
                <w:sz w:val="21"/>
                <w:szCs w:val="21"/>
              </w:rPr>
            </w:pPr>
            <w:r>
              <w:rPr>
                <w:rFonts w:hint="eastAsia"/>
                <w:sz w:val="21"/>
                <w:szCs w:val="21"/>
              </w:rPr>
              <w:t>特征调查识别</w:t>
            </w:r>
          </w:p>
        </w:tc>
      </w:tr>
    </w:tbl>
    <w:p w14:paraId="1B988CA5" w14:textId="77777777" w:rsidR="00595FD3" w:rsidRDefault="00595FD3">
      <w:pPr>
        <w:ind w:firstLine="480"/>
      </w:pPr>
    </w:p>
    <w:p w14:paraId="46584CB7" w14:textId="77777777" w:rsidR="00595FD3" w:rsidRDefault="00000000">
      <w:pPr>
        <w:ind w:firstLine="480"/>
      </w:pPr>
      <w:r>
        <w:rPr>
          <w:rFonts w:hint="eastAsia"/>
        </w:rPr>
        <w:t>（</w:t>
      </w:r>
      <w:r>
        <w:rPr>
          <w:rFonts w:hint="eastAsia"/>
        </w:rPr>
        <w:t>2</w:t>
      </w:r>
      <w:r>
        <w:rPr>
          <w:rFonts w:hint="eastAsia"/>
        </w:rPr>
        <w:t>）规定回填物料入场核心要求。明确回填</w:t>
      </w:r>
      <w:proofErr w:type="gramStart"/>
      <w:r>
        <w:rPr>
          <w:rFonts w:hint="eastAsia"/>
        </w:rPr>
        <w:t>物料需</w:t>
      </w:r>
      <w:proofErr w:type="gramEnd"/>
      <w:r>
        <w:rPr>
          <w:rFonts w:hint="eastAsia"/>
        </w:rPr>
        <w:t>满足第</w:t>
      </w:r>
      <w:r>
        <w:rPr>
          <w:rFonts w:hint="eastAsia"/>
        </w:rPr>
        <w:t>I</w:t>
      </w:r>
      <w:r>
        <w:rPr>
          <w:rFonts w:hint="eastAsia"/>
        </w:rPr>
        <w:t>类一般工业固体废物要求，或第</w:t>
      </w:r>
      <w:r>
        <w:rPr>
          <w:rFonts w:hint="eastAsia"/>
        </w:rPr>
        <w:t>II</w:t>
      </w:r>
      <w:r>
        <w:rPr>
          <w:rFonts w:hint="eastAsia"/>
        </w:rPr>
        <w:t>类一般工业固体废物经处理后</w:t>
      </w:r>
      <w:proofErr w:type="gramStart"/>
      <w:r>
        <w:rPr>
          <w:rFonts w:hint="eastAsia"/>
        </w:rPr>
        <w:t>达到第</w:t>
      </w:r>
      <w:proofErr w:type="gramEnd"/>
      <w:r>
        <w:rPr>
          <w:rFonts w:hint="eastAsia"/>
        </w:rPr>
        <w:t>I</w:t>
      </w:r>
      <w:r>
        <w:rPr>
          <w:rFonts w:hint="eastAsia"/>
        </w:rPr>
        <w:t>类一般工业固体废物标准。</w:t>
      </w:r>
      <w:r>
        <w:t>针对</w:t>
      </w:r>
      <w:r>
        <w:rPr>
          <w:rFonts w:hint="eastAsia"/>
        </w:rPr>
        <w:t>pH</w:t>
      </w:r>
      <w:r>
        <w:rPr>
          <w:rFonts w:hint="eastAsia"/>
        </w:rPr>
        <w:t>值超出</w:t>
      </w:r>
      <w:r>
        <w:rPr>
          <w:rFonts w:hint="eastAsia"/>
        </w:rPr>
        <w:t>6</w:t>
      </w:r>
      <w:r>
        <w:rPr>
          <w:rFonts w:hint="eastAsia"/>
        </w:rPr>
        <w:t>～</w:t>
      </w:r>
      <w:r>
        <w:rPr>
          <w:rFonts w:hint="eastAsia"/>
        </w:rPr>
        <w:t>9</w:t>
      </w:r>
      <w:r>
        <w:rPr>
          <w:rFonts w:hint="eastAsia"/>
        </w:rPr>
        <w:t>的回填物料，本标准另行要求，理由如下：</w:t>
      </w:r>
      <w:r>
        <w:t>一</w:t>
      </w:r>
      <w:r>
        <w:rPr>
          <w:rFonts w:hint="eastAsia"/>
        </w:rPr>
        <w:t>是</w:t>
      </w:r>
      <w:r>
        <w:t>pH</w:t>
      </w:r>
      <w:r>
        <w:t>值调控存在客观局限性</w:t>
      </w:r>
      <w:r>
        <w:rPr>
          <w:rFonts w:hint="eastAsia"/>
        </w:rPr>
        <w:t>，</w:t>
      </w:r>
      <w:r>
        <w:t>钢渣、赤泥、脱硫石膏、高锰酸钾锰渣、磷石膏等</w:t>
      </w:r>
      <w:r>
        <w:rPr>
          <w:rFonts w:hint="eastAsia"/>
        </w:rPr>
        <w:t>，受预处理工艺、原料来源等因素制约，即使添加固化剂等进行</w:t>
      </w:r>
      <w:r>
        <w:rPr>
          <w:rFonts w:hint="eastAsia"/>
        </w:rPr>
        <w:t>pH</w:t>
      </w:r>
      <w:r>
        <w:rPr>
          <w:rFonts w:hint="eastAsia"/>
        </w:rPr>
        <w:t>值调控，仍难以将其稳定控制在</w:t>
      </w:r>
      <w:r>
        <w:rPr>
          <w:rFonts w:hint="eastAsia"/>
        </w:rPr>
        <w:t>6</w:t>
      </w:r>
      <w:r>
        <w:rPr>
          <w:rFonts w:hint="eastAsia"/>
        </w:rPr>
        <w:t>～</w:t>
      </w:r>
      <w:r>
        <w:rPr>
          <w:rFonts w:hint="eastAsia"/>
        </w:rPr>
        <w:t>9</w:t>
      </w:r>
      <w:r>
        <w:rPr>
          <w:rFonts w:hint="eastAsia"/>
        </w:rPr>
        <w:t>区间内。</w:t>
      </w:r>
      <w:r>
        <w:t>二</w:t>
      </w:r>
      <w:r>
        <w:rPr>
          <w:rFonts w:hint="eastAsia"/>
        </w:rPr>
        <w:t>是</w:t>
      </w:r>
      <w:r>
        <w:t>pH</w:t>
      </w:r>
      <w:r>
        <w:t>值异常</w:t>
      </w:r>
      <w:r>
        <w:rPr>
          <w:rFonts w:hint="eastAsia"/>
        </w:rPr>
        <w:t>环境风险整体可控，</w:t>
      </w:r>
      <w:r>
        <w:t>虽酸碱失衡可能影响周边环境，但</w:t>
      </w:r>
      <w:r>
        <w:rPr>
          <w:rFonts w:hint="eastAsia"/>
        </w:rPr>
        <w:t>相关研究表明</w:t>
      </w:r>
      <w:r>
        <w:t>物料经固化稳定化预处理后，可有效遏制污染扩散，确保风险处于可接受范围。三</w:t>
      </w:r>
      <w:r>
        <w:rPr>
          <w:rFonts w:hint="eastAsia"/>
        </w:rPr>
        <w:t>是</w:t>
      </w:r>
      <w:r>
        <w:t>通过</w:t>
      </w:r>
      <w:r>
        <w:rPr>
          <w:rFonts w:hint="eastAsia"/>
        </w:rPr>
        <w:t>环境风险评估</w:t>
      </w:r>
      <w:r>
        <w:t>论证</w:t>
      </w:r>
      <w:r>
        <w:t>pH</w:t>
      </w:r>
      <w:r>
        <w:t>值影响及回填可行性</w:t>
      </w:r>
      <w:r>
        <w:rPr>
          <w:rFonts w:hint="eastAsia"/>
        </w:rPr>
        <w:t>，</w:t>
      </w:r>
      <w:r>
        <w:t>本标准</w:t>
      </w:r>
      <w:r>
        <w:rPr>
          <w:rFonts w:hint="eastAsia"/>
        </w:rPr>
        <w:t>规定</w:t>
      </w:r>
      <w:r>
        <w:t>对于上述</w:t>
      </w:r>
      <w:r>
        <w:t>pH</w:t>
      </w:r>
      <w:r>
        <w:t>值调控难以达标的</w:t>
      </w:r>
      <w:r>
        <w:rPr>
          <w:rFonts w:hint="eastAsia"/>
        </w:rPr>
        <w:t>回填物料</w:t>
      </w:r>
      <w:r>
        <w:t>，应开展专项环境风险评估工作，重点论证</w:t>
      </w:r>
      <w:r>
        <w:t>pH</w:t>
      </w:r>
      <w:r>
        <w:t>值异常对周边地表水、地下水、土壤的潜在环境影响，科学判定其回填利用的可行性，同步制定针对性配套管控措施，强化</w:t>
      </w:r>
      <w:r>
        <w:t>pH</w:t>
      </w:r>
      <w:proofErr w:type="gramStart"/>
      <w:r>
        <w:t>值全过程</w:t>
      </w:r>
      <w:proofErr w:type="gramEnd"/>
      <w:r>
        <w:t>跟踪监测，防范各类环境风险，经评估论证合格后方可入场回填</w:t>
      </w:r>
      <w:r>
        <w:rPr>
          <w:rFonts w:hint="eastAsia"/>
        </w:rPr>
        <w:t>。</w:t>
      </w:r>
    </w:p>
    <w:p w14:paraId="4483D9DA" w14:textId="77777777" w:rsidR="00595FD3" w:rsidRDefault="00000000">
      <w:pPr>
        <w:ind w:firstLine="480"/>
      </w:pPr>
      <w:r>
        <w:rPr>
          <w:rFonts w:hint="eastAsia"/>
        </w:rPr>
        <w:t>（</w:t>
      </w:r>
      <w:r>
        <w:rPr>
          <w:rFonts w:hint="eastAsia"/>
        </w:rPr>
        <w:t>3</w:t>
      </w:r>
      <w:r>
        <w:rPr>
          <w:rFonts w:hint="eastAsia"/>
        </w:rPr>
        <w:t>）细化补充部分固</w:t>
      </w:r>
      <w:proofErr w:type="gramStart"/>
      <w:r>
        <w:rPr>
          <w:rFonts w:hint="eastAsia"/>
        </w:rPr>
        <w:t>废特殊管</w:t>
      </w:r>
      <w:proofErr w:type="gramEnd"/>
      <w:r>
        <w:rPr>
          <w:rFonts w:hint="eastAsia"/>
        </w:rPr>
        <w:t>控要求。本标准依据</w:t>
      </w:r>
      <w:r>
        <w:rPr>
          <w:rFonts w:hint="eastAsia"/>
        </w:rPr>
        <w:t>GB/T 45015</w:t>
      </w:r>
      <w:r>
        <w:rPr>
          <w:rFonts w:hint="eastAsia"/>
        </w:rPr>
        <w:t>—</w:t>
      </w:r>
      <w:r>
        <w:rPr>
          <w:rFonts w:hint="eastAsia"/>
        </w:rPr>
        <w:t>2024</w:t>
      </w:r>
      <w:r>
        <w:rPr>
          <w:rFonts w:hint="eastAsia"/>
        </w:rPr>
        <w:t>、</w:t>
      </w:r>
      <w:r>
        <w:rPr>
          <w:rFonts w:hint="eastAsia"/>
        </w:rPr>
        <w:t>GB/T 47193-2026</w:t>
      </w:r>
      <w:r>
        <w:rPr>
          <w:rFonts w:hint="eastAsia"/>
        </w:rPr>
        <w:t>、《赤泥利用污染控制技术规范（征求意见稿）》相关规定，</w:t>
      </w:r>
      <w:proofErr w:type="gramStart"/>
      <w:r>
        <w:rPr>
          <w:rFonts w:hint="eastAsia"/>
        </w:rPr>
        <w:t>分别对</w:t>
      </w:r>
      <w:r>
        <w:rPr>
          <w:rFonts w:hint="eastAsia"/>
        </w:rPr>
        <w:lastRenderedPageBreak/>
        <w:t>钛石膏</w:t>
      </w:r>
      <w:proofErr w:type="gramEnd"/>
      <w:r>
        <w:rPr>
          <w:rFonts w:hint="eastAsia"/>
        </w:rPr>
        <w:t>、钢渣及赤泥补充细化特殊管控要求，确保此类</w:t>
      </w:r>
      <w:proofErr w:type="gramStart"/>
      <w:r>
        <w:rPr>
          <w:rFonts w:hint="eastAsia"/>
        </w:rPr>
        <w:t>难利用固</w:t>
      </w:r>
      <w:proofErr w:type="gramEnd"/>
      <w:r>
        <w:rPr>
          <w:rFonts w:hint="eastAsia"/>
        </w:rPr>
        <w:t>废回填利用的环境安全。</w:t>
      </w:r>
    </w:p>
    <w:p w14:paraId="11496414" w14:textId="77777777" w:rsidR="00595FD3" w:rsidRDefault="00000000">
      <w:pPr>
        <w:ind w:firstLine="480"/>
      </w:pPr>
      <w:r>
        <w:rPr>
          <w:rFonts w:hint="eastAsia"/>
        </w:rPr>
        <w:t>（</w:t>
      </w:r>
      <w:r>
        <w:rPr>
          <w:rFonts w:hint="eastAsia"/>
        </w:rPr>
        <w:t>4</w:t>
      </w:r>
      <w:r>
        <w:rPr>
          <w:rFonts w:hint="eastAsia"/>
        </w:rPr>
        <w:t>）规定回填物料污染特征识别结果的应用。明确回填物料污染特征识别结果，与环境本底调查、环境风险评估、回填物料入场检测工作相互衔接、形成闭环管理。识别出的特征污染因子需纳入环境质量本底调查范围，提前监测并明确区域环境本底值，为后续分析判断周边环境污染风险是否由固废回填利用引发提供参照；识别得出的污染物浓度，可作为环境风险评估中的源强参数，识别精准度直接影响评估结论与实际环境风险的贴合度；同时可作为回填物料入场监测的对照标准，明确物料“能否入场”的判定依据，强化入场管控。</w:t>
      </w:r>
    </w:p>
    <w:p w14:paraId="47910B9D" w14:textId="77777777" w:rsidR="00595FD3" w:rsidRDefault="00000000">
      <w:pPr>
        <w:pStyle w:val="2"/>
      </w:pPr>
      <w:bookmarkStart w:id="49" w:name="_Toc230073431"/>
      <w:r>
        <w:t>环境本底调查</w:t>
      </w:r>
      <w:bookmarkEnd w:id="49"/>
    </w:p>
    <w:p w14:paraId="2277504B" w14:textId="77777777" w:rsidR="00595FD3" w:rsidRDefault="00000000">
      <w:pPr>
        <w:pStyle w:val="3"/>
      </w:pPr>
      <w:r>
        <w:t>水文地质工程地质勘察</w:t>
      </w:r>
      <w:bookmarkEnd w:id="48"/>
    </w:p>
    <w:p w14:paraId="565000F2" w14:textId="77777777" w:rsidR="00595FD3" w:rsidRDefault="00000000">
      <w:pPr>
        <w:ind w:firstLine="480"/>
        <w:rPr>
          <w:rFonts w:cs="Times New Roman"/>
        </w:rPr>
      </w:pPr>
      <w:r>
        <w:rPr>
          <w:rFonts w:cs="Times New Roman" w:hint="eastAsia"/>
        </w:rPr>
        <w:t>（</w:t>
      </w:r>
      <w:r>
        <w:rPr>
          <w:rFonts w:cs="Times New Roman" w:hint="eastAsia"/>
        </w:rPr>
        <w:t>1</w:t>
      </w:r>
      <w:r>
        <w:rPr>
          <w:rFonts w:cs="Times New Roman" w:hint="eastAsia"/>
        </w:rPr>
        <w:t>）规定了开展水文地质工程地质勘察的总体要求。从技术经济角度上对水文地质工程地质勘察提出了先收集资料的要求，提前判断回填场地选址的环境适宜性和潜在地质风险。</w:t>
      </w:r>
      <w:proofErr w:type="gramStart"/>
      <w:r>
        <w:rPr>
          <w:rFonts w:cs="Times New Roman" w:hint="eastAsia"/>
        </w:rPr>
        <w:t>若资料</w:t>
      </w:r>
      <w:proofErr w:type="gramEnd"/>
      <w:r>
        <w:rPr>
          <w:rFonts w:cs="Times New Roman" w:hint="eastAsia"/>
        </w:rPr>
        <w:t>不足且在回填场地满足基本要求的前提下可进一步按照</w:t>
      </w:r>
      <w:r>
        <w:rPr>
          <w:rFonts w:cs="Times New Roman" w:hint="eastAsia"/>
        </w:rPr>
        <w:t>GB 55017</w:t>
      </w:r>
      <w:r>
        <w:rPr>
          <w:rFonts w:cs="Times New Roman" w:hint="eastAsia"/>
        </w:rPr>
        <w:t>、</w:t>
      </w:r>
      <w:r>
        <w:rPr>
          <w:rFonts w:cs="Times New Roman" w:hint="eastAsia"/>
        </w:rPr>
        <w:t>GB 50021</w:t>
      </w:r>
      <w:r>
        <w:rPr>
          <w:rFonts w:cs="Times New Roman" w:hint="eastAsia"/>
        </w:rPr>
        <w:t>、</w:t>
      </w:r>
      <w:r>
        <w:rPr>
          <w:rFonts w:cs="Times New Roman" w:hint="eastAsia"/>
        </w:rPr>
        <w:t>DZ/T 0282</w:t>
      </w:r>
      <w:r>
        <w:rPr>
          <w:rFonts w:cs="Times New Roman" w:hint="eastAsia"/>
        </w:rPr>
        <w:t>有关规定开展勘察工作，进一步明确场地选址是否满足回填工程实施要求，为分析回填场地环境可行性分析提供技术支撑</w:t>
      </w:r>
      <w:r>
        <w:rPr>
          <w:rFonts w:cs="Times New Roman"/>
        </w:rPr>
        <w:t>。</w:t>
      </w:r>
    </w:p>
    <w:p w14:paraId="56412A7D" w14:textId="77777777" w:rsidR="00595FD3" w:rsidRDefault="00000000">
      <w:pPr>
        <w:ind w:firstLine="480"/>
        <w:rPr>
          <w:rFonts w:cs="Times New Roman"/>
        </w:rPr>
      </w:pPr>
      <w:r>
        <w:rPr>
          <w:rFonts w:cs="Times New Roman" w:hint="eastAsia"/>
        </w:rPr>
        <w:t>（</w:t>
      </w:r>
      <w:r>
        <w:rPr>
          <w:rFonts w:cs="Times New Roman" w:hint="eastAsia"/>
        </w:rPr>
        <w:t>2</w:t>
      </w:r>
      <w:r>
        <w:rPr>
          <w:rFonts w:cs="Times New Roman" w:hint="eastAsia"/>
        </w:rPr>
        <w:t>）结合工程开展情况和相关标准，从自然环境、地质结构、地形地貌、水文地质等方面，规定了回填利用工程实施需勘察的重点工作内容，用于评估回填场地的地址稳定性和识别固废中污染物的迁移途径和影响范围。</w:t>
      </w:r>
    </w:p>
    <w:p w14:paraId="1D07F0CD" w14:textId="77777777" w:rsidR="00595FD3" w:rsidRDefault="00000000">
      <w:pPr>
        <w:pStyle w:val="3"/>
      </w:pPr>
      <w:r>
        <w:t>环境质量本底调查</w:t>
      </w:r>
    </w:p>
    <w:p w14:paraId="54ADB7D2" w14:textId="77777777" w:rsidR="00595FD3" w:rsidRDefault="00000000">
      <w:pPr>
        <w:ind w:firstLine="480"/>
        <w:rPr>
          <w:rFonts w:cs="Times New Roman"/>
        </w:rPr>
      </w:pPr>
      <w:r>
        <w:rPr>
          <w:rFonts w:cs="Times New Roman" w:hint="eastAsia"/>
        </w:rPr>
        <w:t>本部分从调查内容、调查范围、布点采样、监测项目等方面提出了具体要求</w:t>
      </w:r>
      <w:r>
        <w:rPr>
          <w:rFonts w:cs="Times New Roman"/>
        </w:rPr>
        <w:t>。</w:t>
      </w:r>
    </w:p>
    <w:p w14:paraId="2771DAD7" w14:textId="77777777" w:rsidR="00595FD3" w:rsidRDefault="00000000">
      <w:pPr>
        <w:ind w:firstLine="480"/>
        <w:rPr>
          <w:rFonts w:cs="Times New Roman"/>
        </w:rPr>
      </w:pPr>
      <w:r>
        <w:rPr>
          <w:rFonts w:cs="Times New Roman" w:hint="eastAsia"/>
        </w:rPr>
        <w:t>（</w:t>
      </w:r>
      <w:r>
        <w:rPr>
          <w:rFonts w:cs="Times New Roman" w:hint="eastAsia"/>
        </w:rPr>
        <w:t>1</w:t>
      </w:r>
      <w:r>
        <w:rPr>
          <w:rFonts w:cs="Times New Roman" w:hint="eastAsia"/>
        </w:rPr>
        <w:t>）规定了环境质量本底调查内容。其中土壤根据土地利用类型，分别选取</w:t>
      </w:r>
      <w:r>
        <w:rPr>
          <w:rFonts w:cs="Times New Roman" w:hint="eastAsia"/>
        </w:rPr>
        <w:t>GB15618</w:t>
      </w:r>
      <w:r>
        <w:rPr>
          <w:rFonts w:cs="Times New Roman" w:hint="eastAsia"/>
        </w:rPr>
        <w:t>、</w:t>
      </w:r>
      <w:r>
        <w:rPr>
          <w:rFonts w:cs="Times New Roman" w:hint="eastAsia"/>
        </w:rPr>
        <w:t>GB36600</w:t>
      </w:r>
      <w:r>
        <w:rPr>
          <w:rFonts w:cs="Times New Roman" w:hint="eastAsia"/>
        </w:rPr>
        <w:t>等标准中的筛选值进行评价，土地利用类型无相应标准的可只给出现状监测值。监测因子在</w:t>
      </w:r>
      <w:r>
        <w:rPr>
          <w:rFonts w:cs="Times New Roman" w:hint="eastAsia"/>
        </w:rPr>
        <w:t>GB 15618</w:t>
      </w:r>
      <w:r>
        <w:rPr>
          <w:rFonts w:cs="Times New Roman" w:hint="eastAsia"/>
        </w:rPr>
        <w:t>、</w:t>
      </w:r>
      <w:r>
        <w:rPr>
          <w:rFonts w:cs="Times New Roman" w:hint="eastAsia"/>
        </w:rPr>
        <w:t>GB 36600</w:t>
      </w:r>
      <w:r>
        <w:rPr>
          <w:rFonts w:cs="Times New Roman" w:hint="eastAsia"/>
        </w:rPr>
        <w:t>等标准中未规定的，可参照行业、地方或国外相关标准进行评价，无可参照标准的可只给出监测值。</w:t>
      </w:r>
      <w:r>
        <w:rPr>
          <w:rFonts w:cs="Times New Roman" w:hint="eastAsia"/>
        </w:rPr>
        <w:lastRenderedPageBreak/>
        <w:t>对属于</w:t>
      </w:r>
      <w:r>
        <w:rPr>
          <w:rFonts w:cs="Times New Roman" w:hint="eastAsia"/>
        </w:rPr>
        <w:t>GB/T 14848</w:t>
      </w:r>
      <w:r>
        <w:rPr>
          <w:rFonts w:cs="Times New Roman" w:hint="eastAsia"/>
        </w:rPr>
        <w:t>水质指标的监测因子，地下水应按其规定的水质分类标准值进行评价；对于不属于</w:t>
      </w:r>
      <w:r>
        <w:rPr>
          <w:rFonts w:cs="Times New Roman" w:hint="eastAsia"/>
        </w:rPr>
        <w:t>GB/T 14848</w:t>
      </w:r>
      <w:r>
        <w:rPr>
          <w:rFonts w:cs="Times New Roman" w:hint="eastAsia"/>
        </w:rPr>
        <w:t>水质指标的评价因子，可参照</w:t>
      </w:r>
      <w:r>
        <w:rPr>
          <w:rFonts w:cs="Times New Roman" w:hint="eastAsia"/>
        </w:rPr>
        <w:t>GB 3838</w:t>
      </w:r>
      <w:r>
        <w:rPr>
          <w:rFonts w:cs="Times New Roman" w:hint="eastAsia"/>
        </w:rPr>
        <w:t>相关标准进行评价。地表水应按</w:t>
      </w:r>
      <w:r>
        <w:rPr>
          <w:rFonts w:cs="Times New Roman" w:hint="eastAsia"/>
        </w:rPr>
        <w:t>GB/T 14848</w:t>
      </w:r>
      <w:r>
        <w:rPr>
          <w:rFonts w:cs="Times New Roman" w:hint="eastAsia"/>
        </w:rPr>
        <w:t>其规定的水质分类标准值进行评价。</w:t>
      </w:r>
    </w:p>
    <w:p w14:paraId="55E544FE" w14:textId="77777777" w:rsidR="00595FD3" w:rsidRDefault="00000000">
      <w:pPr>
        <w:ind w:firstLine="480"/>
        <w:rPr>
          <w:rFonts w:cs="Times New Roman"/>
        </w:rPr>
      </w:pPr>
      <w:r>
        <w:rPr>
          <w:rFonts w:cs="Times New Roman" w:hint="eastAsia"/>
        </w:rPr>
        <w:t>（</w:t>
      </w:r>
      <w:r>
        <w:rPr>
          <w:rFonts w:cs="Times New Roman" w:hint="eastAsia"/>
        </w:rPr>
        <w:t>2</w:t>
      </w:r>
      <w:r>
        <w:rPr>
          <w:rFonts w:cs="Times New Roman" w:hint="eastAsia"/>
        </w:rPr>
        <w:t>）规定了土壤环境质量本底调查的技术要求，其中调查范围参考</w:t>
      </w:r>
      <w:r>
        <w:rPr>
          <w:rFonts w:cs="Times New Roman" w:hint="eastAsia"/>
        </w:rPr>
        <w:t>HJ 964</w:t>
      </w:r>
      <w:r>
        <w:rPr>
          <w:rFonts w:cs="Times New Roman" w:hint="eastAsia"/>
        </w:rPr>
        <w:t>，确定本技术规范土壤调查范围为回填场地及其周边</w:t>
      </w:r>
      <w:r>
        <w:rPr>
          <w:rFonts w:cs="Times New Roman" w:hint="eastAsia"/>
        </w:rPr>
        <w:t>1km</w:t>
      </w:r>
      <w:r>
        <w:rPr>
          <w:rFonts w:cs="Times New Roman" w:hint="eastAsia"/>
        </w:rPr>
        <w:t>的范围。布点采样参考《土壤环境监测技术规范》（</w:t>
      </w:r>
      <w:r>
        <w:rPr>
          <w:rFonts w:cs="Times New Roman" w:hint="eastAsia"/>
        </w:rPr>
        <w:t>HJ/T 166 -2026</w:t>
      </w:r>
      <w:r>
        <w:rPr>
          <w:rFonts w:cs="Times New Roman" w:hint="eastAsia"/>
        </w:rPr>
        <w:t>）中“</w:t>
      </w:r>
      <w:r>
        <w:rPr>
          <w:rFonts w:cs="Times New Roman"/>
        </w:rPr>
        <w:t>6.4.2</w:t>
      </w:r>
      <w:r>
        <w:rPr>
          <w:rFonts w:cs="Times New Roman" w:hint="eastAsia"/>
        </w:rPr>
        <w:t>条及</w:t>
      </w:r>
      <w:r>
        <w:rPr>
          <w:rFonts w:cs="Times New Roman" w:hint="eastAsia"/>
        </w:rPr>
        <w:t>HJ 964</w:t>
      </w:r>
      <w:r>
        <w:rPr>
          <w:rFonts w:cs="Times New Roman" w:hint="eastAsia"/>
        </w:rPr>
        <w:t>相关要求执行。监测因子结合土地利用历史情况及规划用途及固体废物污染特征识别确定。</w:t>
      </w:r>
    </w:p>
    <w:p w14:paraId="5794AAC6" w14:textId="77777777" w:rsidR="00595FD3" w:rsidRDefault="00000000">
      <w:pPr>
        <w:ind w:firstLine="480"/>
      </w:pPr>
      <w:r>
        <w:rPr>
          <w:rFonts w:cs="Times New Roman" w:hint="eastAsia"/>
        </w:rPr>
        <w:t>（</w:t>
      </w:r>
      <w:r>
        <w:rPr>
          <w:rFonts w:cs="Times New Roman" w:hint="eastAsia"/>
        </w:rPr>
        <w:t>3</w:t>
      </w:r>
      <w:r>
        <w:rPr>
          <w:rFonts w:cs="Times New Roman" w:hint="eastAsia"/>
        </w:rPr>
        <w:t>）规定了地下水环境质量本底调查的技术要求，其中调查范围参</w:t>
      </w:r>
      <w:r>
        <w:rPr>
          <w:rFonts w:hint="eastAsia"/>
        </w:rPr>
        <w:t>考</w:t>
      </w:r>
      <w:r>
        <w:rPr>
          <w:rFonts w:hint="eastAsia"/>
        </w:rPr>
        <w:t>HJ 610</w:t>
      </w:r>
      <w:r>
        <w:rPr>
          <w:rFonts w:hint="eastAsia"/>
        </w:rPr>
        <w:t>，明确地下水调查面积≤</w:t>
      </w:r>
      <w:r>
        <w:rPr>
          <w:rFonts w:hint="eastAsia"/>
        </w:rPr>
        <w:t>6 km</w:t>
      </w:r>
      <w:r>
        <w:rPr>
          <w:rFonts w:hint="eastAsia"/>
          <w:vertAlign w:val="superscript"/>
        </w:rPr>
        <w:t>2</w:t>
      </w:r>
      <w:r>
        <w:rPr>
          <w:rFonts w:hint="eastAsia"/>
        </w:rPr>
        <w:t>。布点采样结合回填场地内及其地下水流向在上游、下游，可能受污染物扩散影响的周边区域内布设监测井。监测因子根据</w:t>
      </w:r>
      <w:r>
        <w:rPr>
          <w:rFonts w:hint="eastAsia"/>
        </w:rPr>
        <w:t>GB/T 14848</w:t>
      </w:r>
      <w:r>
        <w:rPr>
          <w:rFonts w:hint="eastAsia"/>
        </w:rPr>
        <w:t>及固体废物污染特征识别确定。</w:t>
      </w:r>
    </w:p>
    <w:p w14:paraId="7D685A59" w14:textId="77777777" w:rsidR="00595FD3" w:rsidRDefault="00000000">
      <w:pPr>
        <w:ind w:firstLine="480"/>
        <w:rPr>
          <w:rFonts w:cs="Times New Roman"/>
        </w:rPr>
      </w:pPr>
      <w:r>
        <w:rPr>
          <w:rFonts w:cs="Times New Roman" w:hint="eastAsia"/>
        </w:rPr>
        <w:t>（</w:t>
      </w:r>
      <w:r>
        <w:rPr>
          <w:rFonts w:cs="Times New Roman" w:hint="eastAsia"/>
        </w:rPr>
        <w:t>4</w:t>
      </w:r>
      <w:r>
        <w:rPr>
          <w:rFonts w:cs="Times New Roman" w:hint="eastAsia"/>
        </w:rPr>
        <w:t>）规定了地表水环境质量本底调查的技术要求，其中调查范围参考《地下水环境状况调查评价工作指南》《磷石膏库环境风险隐患排查整治工作指南》，并综合考虑回填场地污染物进入到周边地表水环境的途径，明确地表水调查范围为回填场地周边</w:t>
      </w:r>
      <w:r>
        <w:rPr>
          <w:rFonts w:cs="Times New Roman" w:hint="eastAsia"/>
        </w:rPr>
        <w:t>3 km</w:t>
      </w:r>
      <w:r>
        <w:rPr>
          <w:rFonts w:cs="Times New Roman" w:hint="eastAsia"/>
        </w:rPr>
        <w:t>范围内。采样布点依据</w:t>
      </w:r>
      <w:r>
        <w:rPr>
          <w:rFonts w:cs="Times New Roman" w:hint="eastAsia"/>
        </w:rPr>
        <w:t>HJ 2.3</w:t>
      </w:r>
      <w:r>
        <w:rPr>
          <w:rFonts w:cs="Times New Roman" w:hint="eastAsia"/>
        </w:rPr>
        <w:t>、《地表水环境质量监测技术规范》</w:t>
      </w:r>
      <w:r>
        <w:rPr>
          <w:rFonts w:cs="Times New Roman" w:hint="eastAsia"/>
        </w:rPr>
        <w:t>(</w:t>
      </w:r>
      <w:r>
        <w:rPr>
          <w:rFonts w:cs="Times New Roman"/>
        </w:rPr>
        <w:t xml:space="preserve">HJ 91.2-2022 </w:t>
      </w:r>
      <w:r>
        <w:rPr>
          <w:rFonts w:cs="Times New Roman" w:hint="eastAsia"/>
        </w:rPr>
        <w:t>)</w:t>
      </w:r>
      <w:r>
        <w:rPr>
          <w:rFonts w:cs="Times New Roman" w:hint="eastAsia"/>
        </w:rPr>
        <w:t>规定。监测因子结合地表水水域环境功能和保护目标及固体废物污染特征识别确定。</w:t>
      </w:r>
    </w:p>
    <w:p w14:paraId="275F022B" w14:textId="77777777" w:rsidR="00595FD3" w:rsidRDefault="00000000">
      <w:pPr>
        <w:pStyle w:val="2"/>
      </w:pPr>
      <w:bookmarkStart w:id="50" w:name="_Toc230073432"/>
      <w:r>
        <w:t>环境风险评估</w:t>
      </w:r>
      <w:bookmarkEnd w:id="50"/>
    </w:p>
    <w:p w14:paraId="638BBDA1" w14:textId="77777777" w:rsidR="00646CE2" w:rsidRDefault="00000000" w:rsidP="00646CE2">
      <w:pPr>
        <w:ind w:firstLine="480"/>
        <w:rPr>
          <w:rFonts w:cs="Times New Roman"/>
        </w:rPr>
      </w:pPr>
      <w:r>
        <w:rPr>
          <w:rFonts w:hint="eastAsia"/>
        </w:rPr>
        <w:t>GB 18599</w:t>
      </w:r>
      <w:r>
        <w:rPr>
          <w:rFonts w:hint="eastAsia"/>
        </w:rPr>
        <w:t>及生态环境部相关复函（</w:t>
      </w:r>
      <w:proofErr w:type="gramStart"/>
      <w:r>
        <w:rPr>
          <w:rFonts w:hint="eastAsia"/>
        </w:rPr>
        <w:t>环办便函</w:t>
      </w:r>
      <w:proofErr w:type="gramEnd"/>
      <w:r>
        <w:rPr>
          <w:rFonts w:hint="eastAsia"/>
        </w:rPr>
        <w:t>〔</w:t>
      </w:r>
      <w:r>
        <w:rPr>
          <w:rFonts w:hint="eastAsia"/>
        </w:rPr>
        <w:t>2025</w:t>
      </w:r>
      <w:r>
        <w:rPr>
          <w:rFonts w:hint="eastAsia"/>
        </w:rPr>
        <w:t>〕</w:t>
      </w:r>
      <w:r>
        <w:rPr>
          <w:rFonts w:hint="eastAsia"/>
        </w:rPr>
        <w:t>218</w:t>
      </w:r>
      <w:r>
        <w:rPr>
          <w:rFonts w:hint="eastAsia"/>
        </w:rPr>
        <w:t>号）均明确要求，固废回填工程实施前必须开展地下水、地表水及土壤环境风险评估</w:t>
      </w:r>
      <w:r>
        <w:t>。</w:t>
      </w:r>
      <w:r>
        <w:rPr>
          <w:rFonts w:cs="Times New Roman" w:hint="eastAsia"/>
        </w:rPr>
        <w:t>本部</w:t>
      </w:r>
      <w:proofErr w:type="gramStart"/>
      <w:r>
        <w:rPr>
          <w:rFonts w:cs="Times New Roman" w:hint="eastAsia"/>
        </w:rPr>
        <w:t>分按照</w:t>
      </w:r>
      <w:proofErr w:type="gramEnd"/>
      <w:r>
        <w:rPr>
          <w:rFonts w:cs="Times New Roman" w:hint="eastAsia"/>
        </w:rPr>
        <w:t>回填物料浸出液污染物浓度梯度，提出差异化环境风险评估要求。当前国家及地方相关标准大多参照</w:t>
      </w:r>
      <w:r>
        <w:rPr>
          <w:rFonts w:cs="Times New Roman" w:hint="eastAsia"/>
        </w:rPr>
        <w:t>HJ 25.3</w:t>
      </w:r>
      <w:r>
        <w:rPr>
          <w:rFonts w:cs="Times New Roman" w:hint="eastAsia"/>
        </w:rPr>
        <w:t>执行，该导则主要适用于评估对人体健康的影响，无法完全适配一般工业固体废物回填的风险评估需求。其次，部分技术规范参照环境影响评价导则中的预测模型，评估回填活动对地表水、地下水环境的影响，该模型主要针对突发型环境风险。另外，</w:t>
      </w:r>
      <w:r>
        <w:rPr>
          <w:rFonts w:cs="Times New Roman"/>
        </w:rPr>
        <w:t>浸出试验条件与实际渗滤液环境存在偏差</w:t>
      </w:r>
      <w:r>
        <w:rPr>
          <w:rFonts w:cs="Times New Roman" w:hint="eastAsia"/>
        </w:rPr>
        <w:t>，</w:t>
      </w:r>
      <w:r>
        <w:rPr>
          <w:rFonts w:cs="Times New Roman"/>
        </w:rPr>
        <w:t>回填物料按</w:t>
      </w:r>
      <w:r>
        <w:rPr>
          <w:rFonts w:cs="Times New Roman"/>
        </w:rPr>
        <w:t xml:space="preserve"> HJ 557</w:t>
      </w:r>
      <w:r>
        <w:rPr>
          <w:rFonts w:cs="Times New Roman"/>
        </w:rPr>
        <w:t>制备浸出</w:t>
      </w:r>
      <w:proofErr w:type="gramStart"/>
      <w:r>
        <w:rPr>
          <w:rFonts w:cs="Times New Roman"/>
        </w:rPr>
        <w:t>液采用固液</w:t>
      </w:r>
      <w:proofErr w:type="gramEnd"/>
      <w:r>
        <w:rPr>
          <w:rFonts w:cs="Times New Roman"/>
        </w:rPr>
        <w:t>比</w:t>
      </w:r>
      <w:r>
        <w:rPr>
          <w:rFonts w:cs="Times New Roman"/>
        </w:rPr>
        <w:t>1:10</w:t>
      </w:r>
      <w:r>
        <w:rPr>
          <w:rFonts w:cs="Times New Roman"/>
        </w:rPr>
        <w:t>开展检测，受区域降水量、</w:t>
      </w:r>
      <w:r>
        <w:rPr>
          <w:rFonts w:cs="Times New Roman"/>
        </w:rPr>
        <w:lastRenderedPageBreak/>
        <w:t>回填规模等因素影响，回填过程中实际产生的渗滤液污染物浓度通常高于标准浸出液检测结果</w:t>
      </w:r>
      <w:r>
        <w:rPr>
          <w:rFonts w:cs="Times New Roman" w:hint="eastAsia"/>
        </w:rPr>
        <w:t>。因此，本标准结合不同回填物料浸出液污染物浓度制定差异化评估方法，用以反映实际风险状况，具体如下：</w:t>
      </w:r>
    </w:p>
    <w:p w14:paraId="569AFC79" w14:textId="239F0F64" w:rsidR="00595FD3" w:rsidRPr="00646CE2" w:rsidRDefault="00646CE2" w:rsidP="00646CE2">
      <w:pPr>
        <w:ind w:firstLine="480"/>
      </w:pPr>
      <w:r w:rsidRPr="00646CE2">
        <w:rPr>
          <w:rFonts w:cs="Times New Roman" w:hint="eastAsia"/>
        </w:rPr>
        <w:t>（</w:t>
      </w:r>
      <w:r w:rsidRPr="00646CE2">
        <w:rPr>
          <w:rFonts w:cs="Times New Roman" w:hint="eastAsia"/>
        </w:rPr>
        <w:t>1</w:t>
      </w:r>
      <w:r>
        <w:rPr>
          <w:rFonts w:cs="Times New Roman" w:hint="eastAsia"/>
        </w:rPr>
        <w:t>）</w:t>
      </w:r>
      <w:r w:rsidR="00000000" w:rsidRPr="00646CE2">
        <w:rPr>
          <w:rFonts w:cs="Times New Roman" w:hint="eastAsia"/>
        </w:rPr>
        <w:t>相关研究及管理实践表明，回填利用主要环境风险受体为地下水</w:t>
      </w:r>
      <w:r w:rsidRPr="00646CE2">
        <w:rPr>
          <w:rFonts w:cs="Times New Roman" w:hint="eastAsia"/>
        </w:rPr>
        <w:t>。</w:t>
      </w:r>
      <w:r w:rsidRPr="00646CE2">
        <w:rPr>
          <w:rFonts w:cs="Times New Roman"/>
        </w:rPr>
        <w:t>回填物料中有毒有害污染物可通过淋溶、渗滤等途径持续下渗，对区域地下水水质安全构成潜在威胁</w:t>
      </w:r>
      <w:r w:rsidR="0019063F">
        <w:rPr>
          <w:rFonts w:cs="Times New Roman" w:hint="eastAsia"/>
        </w:rPr>
        <w:t>。</w:t>
      </w:r>
      <w:r w:rsidRPr="00646CE2">
        <w:rPr>
          <w:rFonts w:cs="Times New Roman"/>
        </w:rPr>
        <w:t>当回填物料浸出液中各类特征污染物浓度能够长期稳定控制在</w:t>
      </w:r>
      <w:r w:rsidRPr="00646CE2">
        <w:rPr>
          <w:rFonts w:cs="Times New Roman"/>
        </w:rPr>
        <w:t>GB/T 14848</w:t>
      </w:r>
      <w:r>
        <w:rPr>
          <w:rFonts w:cs="Times New Roman" w:hint="eastAsia"/>
        </w:rPr>
        <w:t xml:space="preserve"> </w:t>
      </w:r>
      <w:r w:rsidRPr="00646CE2">
        <w:rPr>
          <w:rFonts w:cs="Times New Roman"/>
        </w:rPr>
        <w:t xml:space="preserve">Ⅲ </w:t>
      </w:r>
      <w:r w:rsidRPr="00646CE2">
        <w:rPr>
          <w:rFonts w:cs="Times New Roman"/>
        </w:rPr>
        <w:t>类标准限值以内时，其对整体环境风险处于可接受、可管控范围。为兼顾科学性与实操性，减少不必要的评估环节、提升标准落地应用效率，本标准</w:t>
      </w:r>
      <w:r w:rsidR="006D1BCE" w:rsidRPr="00646CE2">
        <w:rPr>
          <w:rFonts w:cs="Times New Roman"/>
        </w:rPr>
        <w:t>回填物料浸出液</w:t>
      </w:r>
      <w:r w:rsidR="006D1BCE">
        <w:rPr>
          <w:rFonts w:cs="Times New Roman" w:hint="eastAsia"/>
        </w:rPr>
        <w:t>浓度</w:t>
      </w:r>
      <w:r w:rsidRPr="00646CE2">
        <w:rPr>
          <w:rFonts w:cs="Times New Roman"/>
        </w:rPr>
        <w:t>以</w:t>
      </w:r>
      <w:r w:rsidRPr="00646CE2">
        <w:rPr>
          <w:rFonts w:cs="Times New Roman"/>
        </w:rPr>
        <w:t xml:space="preserve"> GB/T 14848</w:t>
      </w:r>
      <w:r>
        <w:rPr>
          <w:rFonts w:cs="Times New Roman" w:hint="eastAsia"/>
        </w:rPr>
        <w:t xml:space="preserve"> </w:t>
      </w:r>
      <w:r w:rsidRPr="00646CE2">
        <w:rPr>
          <w:rFonts w:cs="Times New Roman"/>
        </w:rPr>
        <w:t xml:space="preserve">Ⅲ </w:t>
      </w:r>
      <w:r w:rsidRPr="00646CE2">
        <w:rPr>
          <w:rFonts w:cs="Times New Roman"/>
        </w:rPr>
        <w:t>类地下水质量标准限值作为核心管控阈值，</w:t>
      </w:r>
      <w:r w:rsidR="00000000" w:rsidRPr="00646CE2">
        <w:rPr>
          <w:rFonts w:hint="eastAsia"/>
        </w:rPr>
        <w:t>简化环境风险评估工作。</w:t>
      </w:r>
    </w:p>
    <w:p w14:paraId="12D4A0D4" w14:textId="77777777" w:rsidR="00595FD3" w:rsidRDefault="00000000">
      <w:pPr>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针对不满足上述情形的回填物料，</w:t>
      </w:r>
      <w:r>
        <w:rPr>
          <w:rFonts w:hint="eastAsia"/>
          <w:color w:val="000000" w:themeColor="text1"/>
        </w:rPr>
        <w:t>综合考虑</w:t>
      </w:r>
      <w:r>
        <w:rPr>
          <w:color w:val="000000" w:themeColor="text1"/>
        </w:rPr>
        <w:t>固体废物长期浸出的</w:t>
      </w:r>
      <w:r>
        <w:rPr>
          <w:rFonts w:hint="eastAsia"/>
          <w:color w:val="000000" w:themeColor="text1"/>
        </w:rPr>
        <w:t>不稳定性及</w:t>
      </w:r>
      <w:r>
        <w:rPr>
          <w:color w:val="000000" w:themeColor="text1"/>
        </w:rPr>
        <w:t>累积效应，</w:t>
      </w:r>
      <w:r>
        <w:rPr>
          <w:rFonts w:hint="eastAsia"/>
          <w:color w:val="000000" w:themeColor="text1"/>
        </w:rPr>
        <w:t>依据</w:t>
      </w:r>
      <w:r>
        <w:rPr>
          <w:rFonts w:hint="eastAsia"/>
          <w:color w:val="000000" w:themeColor="text1"/>
        </w:rPr>
        <w:t>HJ 1091</w:t>
      </w:r>
      <w:r>
        <w:rPr>
          <w:rFonts w:hint="eastAsia"/>
          <w:color w:val="000000" w:themeColor="text1"/>
        </w:rPr>
        <w:t>中相关要求明确</w:t>
      </w:r>
      <w:r>
        <w:rPr>
          <w:color w:val="000000" w:themeColor="text1"/>
        </w:rPr>
        <w:t>更具针对性的环境风险评估工作程序</w:t>
      </w:r>
      <w:r>
        <w:rPr>
          <w:rFonts w:hint="eastAsia"/>
          <w:color w:val="000000" w:themeColor="text1"/>
        </w:rPr>
        <w:t>和</w:t>
      </w:r>
      <w:r>
        <w:rPr>
          <w:color w:val="000000" w:themeColor="text1"/>
        </w:rPr>
        <w:t>评估内容，满足实际应用需求</w:t>
      </w:r>
      <w:r>
        <w:rPr>
          <w:rFonts w:hint="eastAsia"/>
          <w:color w:val="000000" w:themeColor="text1"/>
        </w:rPr>
        <w:t>：</w:t>
      </w:r>
    </w:p>
    <w:p w14:paraId="022A9A98" w14:textId="77777777" w:rsidR="00595FD3" w:rsidRDefault="00000000">
      <w:pPr>
        <w:ind w:firstLine="480"/>
        <w:rPr>
          <w:rFonts w:cs="Times New Roman"/>
        </w:rPr>
      </w:pPr>
      <w:r>
        <w:rPr>
          <w:rFonts w:cs="Times New Roman" w:hint="eastAsia"/>
        </w:rPr>
        <w:t>a</w:t>
      </w:r>
      <w:r>
        <w:rPr>
          <w:rFonts w:cs="Times New Roman" w:hint="eastAsia"/>
        </w:rPr>
        <w:t>）条规定了危害因子识别需结合本标准中</w:t>
      </w:r>
      <w:r>
        <w:rPr>
          <w:rFonts w:cs="Times New Roman" w:hint="eastAsia"/>
        </w:rPr>
        <w:t>7.1</w:t>
      </w:r>
      <w:r>
        <w:rPr>
          <w:rFonts w:cs="Times New Roman" w:hint="eastAsia"/>
        </w:rPr>
        <w:t>条污染特征识别开展工作。</w:t>
      </w:r>
    </w:p>
    <w:p w14:paraId="377967D3" w14:textId="77777777" w:rsidR="00595FD3" w:rsidRDefault="00000000">
      <w:pPr>
        <w:ind w:firstLine="480"/>
        <w:rPr>
          <w:rFonts w:cs="Times New Roman"/>
        </w:rPr>
      </w:pPr>
      <w:r>
        <w:rPr>
          <w:rFonts w:cs="Times New Roman" w:hint="eastAsia"/>
        </w:rPr>
        <w:t>b</w:t>
      </w:r>
      <w:r>
        <w:rPr>
          <w:rFonts w:cs="Times New Roman" w:hint="eastAsia"/>
        </w:rPr>
        <w:t>）</w:t>
      </w:r>
      <w:proofErr w:type="gramStart"/>
      <w:r>
        <w:rPr>
          <w:rFonts w:cs="Times New Roman" w:hint="eastAsia"/>
        </w:rPr>
        <w:t>条综合</w:t>
      </w:r>
      <w:proofErr w:type="gramEnd"/>
      <w:r>
        <w:rPr>
          <w:rFonts w:cs="Times New Roman" w:hint="eastAsia"/>
        </w:rPr>
        <w:t>考虑固体废物类型与回填场景基础上，在</w:t>
      </w:r>
      <w:r>
        <w:rPr>
          <w:rFonts w:cs="Times New Roman" w:hint="eastAsia"/>
        </w:rPr>
        <w:t>GB 18599</w:t>
      </w:r>
      <w:r>
        <w:rPr>
          <w:rFonts w:cs="Times New Roman" w:hint="eastAsia"/>
        </w:rPr>
        <w:t>基础上进一步细化了评估内容和相关技术要求，明确了环境风险评估的重点内容，应重点评估对地下水、地表水及周边土壤的环境污染风险，确保环境风险可以接受。</w:t>
      </w:r>
    </w:p>
    <w:p w14:paraId="4790E2BF" w14:textId="77777777" w:rsidR="00595FD3" w:rsidRDefault="00000000">
      <w:pPr>
        <w:ind w:firstLine="480"/>
        <w:rPr>
          <w:rFonts w:cs="Times New Roman"/>
        </w:rPr>
      </w:pPr>
      <w:r>
        <w:rPr>
          <w:rFonts w:cs="Times New Roman" w:hint="eastAsia"/>
        </w:rPr>
        <w:t>c</w:t>
      </w:r>
      <w:r>
        <w:rPr>
          <w:rFonts w:cs="Times New Roman" w:hint="eastAsia"/>
        </w:rPr>
        <w:t>）条规定了无适用暴露模型或迁移转化条件不明确的回填场景的评估方法。</w:t>
      </w:r>
    </w:p>
    <w:p w14:paraId="1C5782BE" w14:textId="77777777" w:rsidR="00595FD3" w:rsidRDefault="00000000">
      <w:pPr>
        <w:ind w:firstLine="480"/>
        <w:rPr>
          <w:rFonts w:cs="Times New Roman"/>
        </w:rPr>
      </w:pPr>
      <w:r>
        <w:rPr>
          <w:rFonts w:cs="Times New Roman" w:hint="eastAsia"/>
        </w:rPr>
        <w:t>d</w:t>
      </w:r>
      <w:r>
        <w:rPr>
          <w:rFonts w:cs="Times New Roman" w:hint="eastAsia"/>
        </w:rPr>
        <w:t>）条规定了环境风险评估的数据和信息获取方式。主要参照《生态环境健康风险评估技术指南</w:t>
      </w:r>
      <w:r>
        <w:rPr>
          <w:rFonts w:cs="Times New Roman" w:hint="eastAsia"/>
        </w:rPr>
        <w:t xml:space="preserve"> </w:t>
      </w:r>
      <w:r>
        <w:rPr>
          <w:rFonts w:cs="Times New Roman" w:hint="eastAsia"/>
        </w:rPr>
        <w:t>总纲》（</w:t>
      </w:r>
      <w:r>
        <w:rPr>
          <w:rFonts w:cs="Times New Roman" w:hint="eastAsia"/>
        </w:rPr>
        <w:t>HJ 1111</w:t>
      </w:r>
      <w:r>
        <w:rPr>
          <w:rFonts w:cs="Times New Roman" w:hint="eastAsia"/>
        </w:rPr>
        <w:t>）中</w:t>
      </w:r>
      <w:r>
        <w:rPr>
          <w:rFonts w:cs="Times New Roman" w:hint="eastAsia"/>
        </w:rPr>
        <w:t>5.4</w:t>
      </w:r>
      <w:r>
        <w:rPr>
          <w:rFonts w:cs="Times New Roman" w:hint="eastAsia"/>
        </w:rPr>
        <w:t>“确定数据获取方法。根据评估目的和评估类型，采用文献资料、模型预测、实验研究或现场调查等方法获取所需数据资料。评估时应充分利用现有数据资料，必要时开展实验研究和现场调查”。</w:t>
      </w:r>
      <w:r>
        <w:rPr>
          <w:rFonts w:cs="Times New Roman"/>
        </w:rPr>
        <w:t xml:space="preserve"> </w:t>
      </w:r>
    </w:p>
    <w:p w14:paraId="643F8631" w14:textId="77777777" w:rsidR="00595FD3" w:rsidRDefault="00000000">
      <w:pPr>
        <w:pStyle w:val="2"/>
      </w:pPr>
      <w:bookmarkStart w:id="51" w:name="_Toc230073433"/>
      <w:r>
        <w:t>回填利用工程实施</w:t>
      </w:r>
      <w:bookmarkEnd w:id="51"/>
    </w:p>
    <w:p w14:paraId="740BF777" w14:textId="77777777" w:rsidR="00595FD3" w:rsidRDefault="00000000">
      <w:pPr>
        <w:ind w:firstLine="480"/>
        <w:rPr>
          <w:rFonts w:cs="Times New Roman"/>
        </w:rPr>
      </w:pPr>
      <w:r>
        <w:rPr>
          <w:rFonts w:cs="Times New Roman" w:hint="eastAsia"/>
        </w:rPr>
        <w:t>（</w:t>
      </w:r>
      <w:r>
        <w:rPr>
          <w:rFonts w:cs="Times New Roman" w:hint="eastAsia"/>
        </w:rPr>
        <w:t>1</w:t>
      </w:r>
      <w:r>
        <w:rPr>
          <w:rFonts w:cs="Times New Roman" w:hint="eastAsia"/>
        </w:rPr>
        <w:t>）明确回填场地地下水水位管控要求。我市喀斯特地貌发育广泛，约占全市国土面积的</w:t>
      </w:r>
      <w:r>
        <w:rPr>
          <w:rFonts w:cs="Times New Roman" w:hint="eastAsia"/>
        </w:rPr>
        <w:t>36%</w:t>
      </w:r>
      <w:r>
        <w:rPr>
          <w:rFonts w:cs="Times New Roman" w:hint="eastAsia"/>
        </w:rPr>
        <w:t>，地下水环境敏感且脆弱。为进一步强化回填利用工程地下水污染防控，本标准明确规定了回填场地的地下水水位管控标准；若场地地下水</w:t>
      </w:r>
      <w:r>
        <w:rPr>
          <w:rFonts w:cs="Times New Roman" w:hint="eastAsia"/>
        </w:rPr>
        <w:lastRenderedPageBreak/>
        <w:t>水位不满足相关要求，可通过建设地下水导排系统，确保地下水水位维持在回填基础层底部以下，有效</w:t>
      </w:r>
      <w:proofErr w:type="gramStart"/>
      <w:r>
        <w:rPr>
          <w:rFonts w:cs="Times New Roman" w:hint="eastAsia"/>
        </w:rPr>
        <w:t>防范因</w:t>
      </w:r>
      <w:proofErr w:type="gramEnd"/>
      <w:r>
        <w:rPr>
          <w:rFonts w:cs="Times New Roman" w:hint="eastAsia"/>
        </w:rPr>
        <w:t>地下水渗透、地基沉陷等引发的地下水污染问题。</w:t>
      </w:r>
    </w:p>
    <w:p w14:paraId="0A217F21" w14:textId="77777777" w:rsidR="00595FD3" w:rsidRDefault="00000000">
      <w:pPr>
        <w:ind w:firstLine="480"/>
        <w:rPr>
          <w:rFonts w:cs="Times New Roman"/>
        </w:rPr>
      </w:pPr>
      <w:r>
        <w:rPr>
          <w:rFonts w:cs="Times New Roman" w:hint="eastAsia"/>
        </w:rPr>
        <w:t>（</w:t>
      </w:r>
      <w:r>
        <w:rPr>
          <w:rFonts w:cs="Times New Roman" w:hint="eastAsia"/>
        </w:rPr>
        <w:t>2</w:t>
      </w:r>
      <w:r>
        <w:rPr>
          <w:rFonts w:cs="Times New Roman" w:hint="eastAsia"/>
        </w:rPr>
        <w:t>）制定差异化防渗技术措施。依据回填物料浸出液污染物浓度，结合《一般工业固体废物贮存和填埋污染控制标准》（</w:t>
      </w:r>
      <w:r>
        <w:rPr>
          <w:rFonts w:cs="Times New Roman" w:hint="eastAsia"/>
        </w:rPr>
        <w:t>GB 18599</w:t>
      </w:r>
      <w:r>
        <w:rPr>
          <w:rFonts w:cs="Times New Roman" w:hint="eastAsia"/>
        </w:rPr>
        <w:t>—</w:t>
      </w:r>
      <w:r>
        <w:rPr>
          <w:rFonts w:cs="Times New Roman" w:hint="eastAsia"/>
        </w:rPr>
        <w:t>2020</w:t>
      </w:r>
      <w:r>
        <w:rPr>
          <w:rFonts w:cs="Times New Roman" w:hint="eastAsia"/>
        </w:rPr>
        <w:t>）中第</w:t>
      </w:r>
      <w:r>
        <w:rPr>
          <w:rFonts w:cs="Times New Roman" w:hint="eastAsia"/>
        </w:rPr>
        <w:t>I</w:t>
      </w:r>
      <w:r>
        <w:rPr>
          <w:rFonts w:cs="Times New Roman" w:hint="eastAsia"/>
        </w:rPr>
        <w:t>类场的技术要求，提出针对性的防渗技术措施，从工程层面阻断污染物渗透路径，防范土壤及地下水污染。</w:t>
      </w:r>
    </w:p>
    <w:p w14:paraId="4216C1DF" w14:textId="77777777" w:rsidR="00595FD3" w:rsidRDefault="00000000">
      <w:pPr>
        <w:ind w:firstLine="480"/>
        <w:rPr>
          <w:rFonts w:cs="Times New Roman"/>
        </w:rPr>
      </w:pPr>
      <w:r>
        <w:rPr>
          <w:rFonts w:cs="Times New Roman" w:hint="eastAsia"/>
        </w:rPr>
        <w:t>（</w:t>
      </w:r>
      <w:r>
        <w:rPr>
          <w:rFonts w:cs="Times New Roman" w:hint="eastAsia"/>
        </w:rPr>
        <w:t>3</w:t>
      </w:r>
      <w:r>
        <w:rPr>
          <w:rFonts w:cs="Times New Roman" w:hint="eastAsia"/>
        </w:rPr>
        <w:t>）明确回填作业后污染防控措施。为从源头阻断雨水入渗、削减渗滤液产生量，防止污染物迁移扩散引发环境污染和生态破坏，本标准要求，回填作业结束后，应结合回填场地土地利用规划、后续建设活动及环境风险评估结论，针对性采取阻隔防护、雨水导排、覆盖土层等污染防控措施，实现作业后长期环境管控。</w:t>
      </w:r>
    </w:p>
    <w:p w14:paraId="7E185A48" w14:textId="77777777" w:rsidR="00595FD3" w:rsidRDefault="00000000">
      <w:pPr>
        <w:ind w:firstLine="480"/>
        <w:rPr>
          <w:rFonts w:cs="Times New Roman"/>
        </w:rPr>
      </w:pPr>
      <w:r>
        <w:rPr>
          <w:rFonts w:cs="Times New Roman" w:hint="eastAsia"/>
        </w:rPr>
        <w:t>（</w:t>
      </w:r>
      <w:r>
        <w:rPr>
          <w:rFonts w:cs="Times New Roman" w:hint="eastAsia"/>
        </w:rPr>
        <w:t>4</w:t>
      </w:r>
      <w:r>
        <w:rPr>
          <w:rFonts w:cs="Times New Roman" w:hint="eastAsia"/>
        </w:rPr>
        <w:t>）规定了回填利用工程结束后土地复垦的技术要求。主要依据</w:t>
      </w:r>
      <w:r>
        <w:rPr>
          <w:rFonts w:cs="Times New Roman" w:hint="eastAsia"/>
        </w:rPr>
        <w:t>GB 18599</w:t>
      </w:r>
      <w:r>
        <w:rPr>
          <w:rFonts w:cs="Times New Roman" w:hint="eastAsia"/>
        </w:rPr>
        <w:t>中</w:t>
      </w:r>
      <w:r>
        <w:rPr>
          <w:rFonts w:cs="Times New Roman" w:hint="eastAsia"/>
        </w:rPr>
        <w:t>8.4</w:t>
      </w:r>
      <w:r>
        <w:rPr>
          <w:rFonts w:cs="Times New Roman" w:hint="eastAsia"/>
        </w:rPr>
        <w:t>条和</w:t>
      </w:r>
      <w:r>
        <w:rPr>
          <w:rFonts w:cs="Times New Roman" w:hint="eastAsia"/>
        </w:rPr>
        <w:t>9.9</w:t>
      </w:r>
      <w:r>
        <w:rPr>
          <w:rFonts w:cs="Times New Roman" w:hint="eastAsia"/>
        </w:rPr>
        <w:t>条。“</w:t>
      </w:r>
      <w:r>
        <w:rPr>
          <w:rFonts w:cs="Times New Roman" w:hint="eastAsia"/>
        </w:rPr>
        <w:t>8.4</w:t>
      </w:r>
      <w:r>
        <w:rPr>
          <w:rFonts w:cs="Times New Roman" w:hint="eastAsia"/>
        </w:rPr>
        <w:t>一般工业固体废物回填作业结束后应立即实施土地复垦（回填地下的除外），土地复垦应符合本标准</w:t>
      </w:r>
      <w:r>
        <w:rPr>
          <w:rFonts w:cs="Times New Roman" w:hint="eastAsia"/>
        </w:rPr>
        <w:t>9.9</w:t>
      </w:r>
      <w:r>
        <w:rPr>
          <w:rFonts w:cs="Times New Roman" w:hint="eastAsia"/>
        </w:rPr>
        <w:t>条的规定。”“</w:t>
      </w:r>
      <w:r>
        <w:rPr>
          <w:rFonts w:cs="Times New Roman" w:hint="eastAsia"/>
        </w:rPr>
        <w:t>9.9</w:t>
      </w:r>
      <w:r>
        <w:rPr>
          <w:rFonts w:cs="Times New Roman" w:hint="eastAsia"/>
        </w:rPr>
        <w:t>贮存场、填埋场封场完成后，可依据当地地形条件、水资源及表土资源等自然环境条件和社会发展需求并按照相关规定进行土地复垦。土地复垦实施过程应满足</w:t>
      </w:r>
      <w:r>
        <w:rPr>
          <w:rFonts w:cs="Times New Roman" w:hint="eastAsia"/>
        </w:rPr>
        <w:t>TD/T 1036</w:t>
      </w:r>
      <w:r>
        <w:rPr>
          <w:rFonts w:cs="Times New Roman" w:hint="eastAsia"/>
        </w:rPr>
        <w:t>规定的相关土地复垦质量控制要求。土地复垦后用作建设用地的，还应满足</w:t>
      </w:r>
      <w:r>
        <w:rPr>
          <w:rFonts w:cs="Times New Roman" w:hint="eastAsia"/>
        </w:rPr>
        <w:t>GB36600</w:t>
      </w:r>
      <w:r>
        <w:rPr>
          <w:rFonts w:cs="Times New Roman" w:hint="eastAsia"/>
        </w:rPr>
        <w:t>的要求；用作农用地的，还应满足</w:t>
      </w:r>
      <w:r>
        <w:rPr>
          <w:rFonts w:cs="Times New Roman" w:hint="eastAsia"/>
        </w:rPr>
        <w:t>GB15618</w:t>
      </w:r>
      <w:r>
        <w:rPr>
          <w:rFonts w:cs="Times New Roman" w:hint="eastAsia"/>
        </w:rPr>
        <w:t>的要求。”</w:t>
      </w:r>
    </w:p>
    <w:sectPr w:rsidR="00595FD3">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35D0" w14:textId="77777777" w:rsidR="00182E34" w:rsidRDefault="00182E34">
      <w:pPr>
        <w:spacing w:line="240" w:lineRule="auto"/>
        <w:ind w:firstLine="480"/>
      </w:pPr>
      <w:r>
        <w:separator/>
      </w:r>
    </w:p>
  </w:endnote>
  <w:endnote w:type="continuationSeparator" w:id="0">
    <w:p w14:paraId="4CC5CD35" w14:textId="77777777" w:rsidR="00182E34" w:rsidRDefault="00182E3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公文小标宋">
    <w:panose1 w:val="02000500000000000000"/>
    <w:charset w:val="86"/>
    <w:family w:val="auto"/>
    <w:pitch w:val="variable"/>
    <w:sig w:usb0="A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C52E" w14:textId="77777777" w:rsidR="00595FD3" w:rsidRDefault="00595FD3">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9557" w14:textId="77777777" w:rsidR="00595FD3" w:rsidRDefault="00595FD3">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9A91" w14:textId="77777777" w:rsidR="00595FD3" w:rsidRDefault="00595FD3">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910945"/>
    </w:sdtPr>
    <w:sdtContent>
      <w:p w14:paraId="5350AD21" w14:textId="77777777" w:rsidR="00595FD3" w:rsidRDefault="00000000">
        <w:pPr>
          <w:pStyle w:val="af1"/>
          <w:ind w:firstLine="360"/>
          <w:jc w:val="center"/>
        </w:pPr>
        <w:r>
          <w:fldChar w:fldCharType="begin"/>
        </w:r>
        <w:r>
          <w:instrText>PAGE   \* MERGEFORMAT</w:instrText>
        </w:r>
        <w:r>
          <w:fldChar w:fldCharType="separate"/>
        </w:r>
        <w:r>
          <w:rPr>
            <w:lang w:val="zh-CN"/>
          </w:rPr>
          <w:t>2</w:t>
        </w:r>
        <w:r>
          <w:fldChar w:fldCharType="end"/>
        </w:r>
      </w:p>
    </w:sdtContent>
  </w:sdt>
  <w:p w14:paraId="590EAA39" w14:textId="77777777" w:rsidR="00595FD3" w:rsidRDefault="00595FD3">
    <w:pPr>
      <w:pStyle w:val="af1"/>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84277"/>
    </w:sdtPr>
    <w:sdtContent>
      <w:p w14:paraId="33FE4375" w14:textId="77777777" w:rsidR="00595FD3" w:rsidRDefault="00000000">
        <w:pPr>
          <w:pStyle w:val="af1"/>
          <w:ind w:firstLine="360"/>
          <w:jc w:val="center"/>
        </w:pPr>
        <w:r>
          <w:fldChar w:fldCharType="begin"/>
        </w:r>
        <w:r>
          <w:instrText>PAGE   \* MERGEFORMAT</w:instrText>
        </w:r>
        <w:r>
          <w:fldChar w:fldCharType="separate"/>
        </w:r>
        <w:r>
          <w:rPr>
            <w:lang w:val="zh-CN"/>
          </w:rPr>
          <w:t>2</w:t>
        </w:r>
        <w:r>
          <w:fldChar w:fldCharType="end"/>
        </w:r>
      </w:p>
    </w:sdtContent>
  </w:sdt>
  <w:p w14:paraId="3C6EA257" w14:textId="77777777" w:rsidR="00595FD3" w:rsidRDefault="00595FD3">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4D47" w14:textId="77777777" w:rsidR="00182E34" w:rsidRDefault="00182E34">
      <w:pPr>
        <w:ind w:firstLine="480"/>
      </w:pPr>
      <w:r>
        <w:separator/>
      </w:r>
    </w:p>
  </w:footnote>
  <w:footnote w:type="continuationSeparator" w:id="0">
    <w:p w14:paraId="5097F992" w14:textId="77777777" w:rsidR="00182E34" w:rsidRDefault="00182E34">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1FAE" w14:textId="77777777" w:rsidR="00595FD3" w:rsidRDefault="00595FD3">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E693" w14:textId="77777777" w:rsidR="00595FD3" w:rsidRDefault="00595FD3">
    <w:pPr>
      <w:pStyle w:val="af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0B50" w14:textId="77777777" w:rsidR="00595FD3" w:rsidRDefault="00595FD3">
    <w:pPr>
      <w:pStyle w:val="af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2438"/>
    <w:multiLevelType w:val="multilevel"/>
    <w:tmpl w:val="09F1243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2074BFF"/>
    <w:multiLevelType w:val="multilevel"/>
    <w:tmpl w:val="12074BFF"/>
    <w:lvl w:ilvl="0">
      <w:start w:val="1"/>
      <w:numFmt w:val="decimal"/>
      <w:pStyle w:val="1"/>
      <w:lvlText w:val="%1"/>
      <w:lvlJc w:val="left"/>
      <w:pPr>
        <w:ind w:left="851"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suff w:val="space"/>
      <w:lvlText w:val="%1.%2"/>
      <w:lvlJc w:val="left"/>
      <w:pPr>
        <w:ind w:left="0" w:firstLine="57"/>
      </w:pPr>
      <w:rPr>
        <w:rFonts w:ascii="Times New Roman" w:eastAsia="华文细黑" w:hAnsi="Times New Roman" w:cs="Times New Roman" w:hint="default"/>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suff w:val="space"/>
      <w:lvlText w:val="%1.%2.%3"/>
      <w:lvlJc w:val="left"/>
      <w:pPr>
        <w:ind w:left="0" w:firstLine="113"/>
      </w:pPr>
      <w:rPr>
        <w:rFonts w:ascii="Times New Roman" w:eastAsia="宋体" w:hAnsi="Times New Roman" w:hint="default"/>
        <w:b w:val="0"/>
        <w:bCs/>
        <w:i w:val="0"/>
        <w:iCs w:val="0"/>
        <w:caps w:val="0"/>
        <w:smallCaps w:val="0"/>
        <w:strike w:val="0"/>
        <w:dstrike w:val="0"/>
        <w:vanish w:val="0"/>
        <w:color w:val="00000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space"/>
      <w:lvlText w:val="%1.%2.%3.%4"/>
      <w:lvlJc w:val="left"/>
      <w:pPr>
        <w:ind w:left="0" w:firstLine="170"/>
      </w:pPr>
      <w:rPr>
        <w:rFonts w:ascii="Times New Roman" w:eastAsia="宋体" w:hAnsi="Times New Roman" w:hint="default"/>
        <w:b/>
        <w:bCs w:val="0"/>
        <w:i w:val="0"/>
        <w:iCs w:val="0"/>
        <w:caps w:val="0"/>
        <w:smallCaps w:val="0"/>
        <w:strike w:val="0"/>
        <w:dstrike w:val="0"/>
        <w:vanish w:val="0"/>
        <w:color w:val="000000"/>
        <w:spacing w:val="0"/>
        <w:position w:val="0"/>
        <w:sz w:val="32"/>
        <w:szCs w:val="3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Restart w:val="2"/>
      <w:pStyle w:val="5"/>
      <w:suff w:val="space"/>
      <w:lvlText w:val="表%1.%2-%5"/>
      <w:lvlJc w:val="center"/>
      <w:pPr>
        <w:ind w:left="1980" w:firstLine="288"/>
      </w:pPr>
      <w:rPr>
        <w:rFonts w:ascii="Times New Roman" w:eastAsia="方正仿宋_GBK" w:hAnsi="Times New Roman" w:cs="Times New Roman" w:hint="default"/>
        <w:b/>
        <w:bCs/>
        <w:i w:val="0"/>
        <w:sz w:val="24"/>
        <w:szCs w:val="24"/>
        <w:lang w:val="en-US"/>
      </w:rPr>
    </w:lvl>
    <w:lvl w:ilvl="5">
      <w:start w:val="1"/>
      <w:numFmt w:val="decimal"/>
      <w:lvlRestart w:val="2"/>
      <w:pStyle w:val="6"/>
      <w:lvlText w:val="图%1.%2-%6."/>
      <w:lvlJc w:val="center"/>
      <w:pPr>
        <w:ind w:left="0" w:firstLine="288"/>
      </w:pPr>
      <w:rPr>
        <w:rFonts w:ascii="Times New Roman" w:eastAsia="方正仿宋_GBK" w:hAnsi="Times New Roman" w:cs="Times New Roman" w:hint="default"/>
        <w:b/>
        <w:i w:val="0"/>
        <w:sz w:val="28"/>
        <w:szCs w:val="28"/>
      </w:rPr>
    </w:lvl>
    <w:lvl w:ilvl="6">
      <w:start w:val="1"/>
      <w:numFmt w:val="decimal"/>
      <w:lvlRestart w:val="2"/>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1595345C"/>
    <w:multiLevelType w:val="multilevel"/>
    <w:tmpl w:val="159534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B8F6C7F"/>
    <w:multiLevelType w:val="hybridMultilevel"/>
    <w:tmpl w:val="CDD4EE74"/>
    <w:lvl w:ilvl="0" w:tplc="1C9A8384">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39F0708D"/>
    <w:multiLevelType w:val="multilevel"/>
    <w:tmpl w:val="39F0708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3A8F30F2"/>
    <w:multiLevelType w:val="multilevel"/>
    <w:tmpl w:val="3A8F30F2"/>
    <w:lvl w:ilvl="0">
      <w:start w:val="1"/>
      <w:numFmt w:val="decimal"/>
      <w:lvlText w:val="（%1）"/>
      <w:lvlJc w:val="left"/>
      <w:pPr>
        <w:ind w:left="1291" w:hanging="440"/>
      </w:pPr>
      <w:rPr>
        <w:rFonts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6" w15:restartNumberingAfterBreak="0">
    <w:nsid w:val="3C3332EA"/>
    <w:multiLevelType w:val="multilevel"/>
    <w:tmpl w:val="3C3332E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40497685"/>
    <w:multiLevelType w:val="multilevel"/>
    <w:tmpl w:val="4049768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3957EB2"/>
    <w:multiLevelType w:val="multilevel"/>
    <w:tmpl w:val="43957EB2"/>
    <w:lvl w:ilvl="0">
      <w:start w:val="1"/>
      <w:numFmt w:val="decimal"/>
      <w:lvlText w:val="（%1）"/>
      <w:lvlJc w:val="left"/>
      <w:pPr>
        <w:ind w:left="1080" w:hanging="440"/>
      </w:pPr>
      <w:rPr>
        <w:rFonts w:hint="eastAsia"/>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9" w15:restartNumberingAfterBreak="0">
    <w:nsid w:val="52A00ADC"/>
    <w:multiLevelType w:val="multilevel"/>
    <w:tmpl w:val="52A00AD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53D66F85"/>
    <w:multiLevelType w:val="multilevel"/>
    <w:tmpl w:val="53D66F8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C9F15C3"/>
    <w:multiLevelType w:val="multilevel"/>
    <w:tmpl w:val="5C9F15C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5E8F6669"/>
    <w:multiLevelType w:val="multilevel"/>
    <w:tmpl w:val="5E8F666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46260FA"/>
    <w:multiLevelType w:val="multilevel"/>
    <w:tmpl w:val="646260FA"/>
    <w:lvl w:ilvl="0">
      <w:start w:val="1"/>
      <w:numFmt w:val="decimal"/>
      <w:pStyle w:val="a"/>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6CEA2025"/>
    <w:multiLevelType w:val="multilevel"/>
    <w:tmpl w:val="6CEA2025"/>
    <w:lvl w:ilvl="0">
      <w:start w:val="1"/>
      <w:numFmt w:val="none"/>
      <w:pStyle w:val="a0"/>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3403"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pStyle w:val="a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15:restartNumberingAfterBreak="0">
    <w:nsid w:val="76C24661"/>
    <w:multiLevelType w:val="hybridMultilevel"/>
    <w:tmpl w:val="D1FC6018"/>
    <w:lvl w:ilvl="0" w:tplc="18D02D3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6" w15:restartNumberingAfterBreak="0">
    <w:nsid w:val="7943607C"/>
    <w:multiLevelType w:val="multilevel"/>
    <w:tmpl w:val="794360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3140548">
    <w:abstractNumId w:val="1"/>
  </w:num>
  <w:num w:numId="2" w16cid:durableId="85080506">
    <w:abstractNumId w:val="14"/>
  </w:num>
  <w:num w:numId="3" w16cid:durableId="1618483599">
    <w:abstractNumId w:val="13"/>
  </w:num>
  <w:num w:numId="4" w16cid:durableId="830411648">
    <w:abstractNumId w:val="5"/>
  </w:num>
  <w:num w:numId="5" w16cid:durableId="771972193">
    <w:abstractNumId w:val="9"/>
  </w:num>
  <w:num w:numId="6" w16cid:durableId="1724673971">
    <w:abstractNumId w:val="0"/>
  </w:num>
  <w:num w:numId="7" w16cid:durableId="1409614164">
    <w:abstractNumId w:val="10"/>
  </w:num>
  <w:num w:numId="8" w16cid:durableId="1490289482">
    <w:abstractNumId w:val="2"/>
  </w:num>
  <w:num w:numId="9" w16cid:durableId="204560484">
    <w:abstractNumId w:val="12"/>
  </w:num>
  <w:num w:numId="10" w16cid:durableId="192309155">
    <w:abstractNumId w:val="11"/>
  </w:num>
  <w:num w:numId="11" w16cid:durableId="19747542">
    <w:abstractNumId w:val="6"/>
  </w:num>
  <w:num w:numId="12" w16cid:durableId="424693878">
    <w:abstractNumId w:val="16"/>
  </w:num>
  <w:num w:numId="13" w16cid:durableId="1482502582">
    <w:abstractNumId w:val="7"/>
  </w:num>
  <w:num w:numId="14" w16cid:durableId="1409614514">
    <w:abstractNumId w:val="4"/>
  </w:num>
  <w:num w:numId="15" w16cid:durableId="1756784543">
    <w:abstractNumId w:val="8"/>
  </w:num>
  <w:num w:numId="16" w16cid:durableId="1455754867">
    <w:abstractNumId w:val="15"/>
  </w:num>
  <w:num w:numId="17" w16cid:durableId="1865824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0"/>
  <w:drawingGridHorizontalSpacing w:val="140"/>
  <w:drawingGridVerticalSpacing w:val="38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nese Std GBT7714 (numeric)&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s9vtxf0g0wrd8epd2bp09wx0afse02ee5xv&quot;&gt;My EndNote Library&lt;record-ids&gt;&lt;item&gt;128&lt;/item&gt;&lt;item&gt;129&lt;/item&gt;&lt;item&gt;130&lt;/item&gt;&lt;item&gt;131&lt;/item&gt;&lt;item&gt;132&lt;/item&gt;&lt;item&gt;133&lt;/item&gt;&lt;item&gt;134&lt;/item&gt;&lt;/record-ids&gt;&lt;/item&gt;&lt;/Libraries&gt;"/>
  </w:docVars>
  <w:rsids>
    <w:rsidRoot w:val="007921B5"/>
    <w:rsid w:val="00001F6B"/>
    <w:rsid w:val="00003794"/>
    <w:rsid w:val="000111AA"/>
    <w:rsid w:val="000126B6"/>
    <w:rsid w:val="00015331"/>
    <w:rsid w:val="000206B8"/>
    <w:rsid w:val="00020F8F"/>
    <w:rsid w:val="00023C30"/>
    <w:rsid w:val="00025771"/>
    <w:rsid w:val="00025FD7"/>
    <w:rsid w:val="00026FAD"/>
    <w:rsid w:val="00032BA0"/>
    <w:rsid w:val="00032DF9"/>
    <w:rsid w:val="00034735"/>
    <w:rsid w:val="00037060"/>
    <w:rsid w:val="00041FE4"/>
    <w:rsid w:val="00042E81"/>
    <w:rsid w:val="00042F02"/>
    <w:rsid w:val="00045570"/>
    <w:rsid w:val="000455D6"/>
    <w:rsid w:val="0005729A"/>
    <w:rsid w:val="00066729"/>
    <w:rsid w:val="00067A96"/>
    <w:rsid w:val="0007089C"/>
    <w:rsid w:val="00072DF0"/>
    <w:rsid w:val="00073237"/>
    <w:rsid w:val="000745B7"/>
    <w:rsid w:val="00074A6A"/>
    <w:rsid w:val="00075957"/>
    <w:rsid w:val="00085713"/>
    <w:rsid w:val="0009625A"/>
    <w:rsid w:val="000A16E5"/>
    <w:rsid w:val="000A185D"/>
    <w:rsid w:val="000A1D44"/>
    <w:rsid w:val="000A637E"/>
    <w:rsid w:val="000A7ADD"/>
    <w:rsid w:val="000B1119"/>
    <w:rsid w:val="000B23B9"/>
    <w:rsid w:val="000B3358"/>
    <w:rsid w:val="000B734D"/>
    <w:rsid w:val="000C4E17"/>
    <w:rsid w:val="000C5626"/>
    <w:rsid w:val="000C5C10"/>
    <w:rsid w:val="000C5CAA"/>
    <w:rsid w:val="000C5CD4"/>
    <w:rsid w:val="000C6B81"/>
    <w:rsid w:val="000C7047"/>
    <w:rsid w:val="000C7224"/>
    <w:rsid w:val="000C7838"/>
    <w:rsid w:val="000D2FDC"/>
    <w:rsid w:val="000D313E"/>
    <w:rsid w:val="000D3364"/>
    <w:rsid w:val="000D4790"/>
    <w:rsid w:val="000D5549"/>
    <w:rsid w:val="000E64FF"/>
    <w:rsid w:val="000E6D2B"/>
    <w:rsid w:val="000F04BE"/>
    <w:rsid w:val="000F1963"/>
    <w:rsid w:val="000F3259"/>
    <w:rsid w:val="000F42F9"/>
    <w:rsid w:val="001000F9"/>
    <w:rsid w:val="00100FBB"/>
    <w:rsid w:val="00103DF5"/>
    <w:rsid w:val="00107683"/>
    <w:rsid w:val="00107A1E"/>
    <w:rsid w:val="0011191B"/>
    <w:rsid w:val="0011593D"/>
    <w:rsid w:val="0011653A"/>
    <w:rsid w:val="00123812"/>
    <w:rsid w:val="00126C80"/>
    <w:rsid w:val="001300B0"/>
    <w:rsid w:val="00130831"/>
    <w:rsid w:val="0014000F"/>
    <w:rsid w:val="001400DB"/>
    <w:rsid w:val="00140787"/>
    <w:rsid w:val="0014434F"/>
    <w:rsid w:val="0014514F"/>
    <w:rsid w:val="00152393"/>
    <w:rsid w:val="001572C5"/>
    <w:rsid w:val="001627C8"/>
    <w:rsid w:val="00164D25"/>
    <w:rsid w:val="001671CF"/>
    <w:rsid w:val="0016768E"/>
    <w:rsid w:val="0017116D"/>
    <w:rsid w:val="00171DC7"/>
    <w:rsid w:val="00174C26"/>
    <w:rsid w:val="00174CE6"/>
    <w:rsid w:val="00177B53"/>
    <w:rsid w:val="00180CBA"/>
    <w:rsid w:val="00182E34"/>
    <w:rsid w:val="00183F1A"/>
    <w:rsid w:val="00185E70"/>
    <w:rsid w:val="00186BD9"/>
    <w:rsid w:val="0018715F"/>
    <w:rsid w:val="00187D2E"/>
    <w:rsid w:val="0019063F"/>
    <w:rsid w:val="00192AC9"/>
    <w:rsid w:val="00193EE0"/>
    <w:rsid w:val="00196761"/>
    <w:rsid w:val="001968E7"/>
    <w:rsid w:val="00197A17"/>
    <w:rsid w:val="001A4493"/>
    <w:rsid w:val="001B01FD"/>
    <w:rsid w:val="001B6B16"/>
    <w:rsid w:val="001C0BF3"/>
    <w:rsid w:val="001C3076"/>
    <w:rsid w:val="001C4D97"/>
    <w:rsid w:val="001C7838"/>
    <w:rsid w:val="001D0630"/>
    <w:rsid w:val="001D3332"/>
    <w:rsid w:val="001D39E9"/>
    <w:rsid w:val="001D4DD7"/>
    <w:rsid w:val="001E4061"/>
    <w:rsid w:val="001E43EC"/>
    <w:rsid w:val="001E6091"/>
    <w:rsid w:val="001F1D09"/>
    <w:rsid w:val="001F21E4"/>
    <w:rsid w:val="001F4007"/>
    <w:rsid w:val="001F63FA"/>
    <w:rsid w:val="00207F60"/>
    <w:rsid w:val="0021134D"/>
    <w:rsid w:val="00213963"/>
    <w:rsid w:val="00214BFC"/>
    <w:rsid w:val="002161AC"/>
    <w:rsid w:val="00216B64"/>
    <w:rsid w:val="0022067A"/>
    <w:rsid w:val="00221635"/>
    <w:rsid w:val="00222A36"/>
    <w:rsid w:val="00227167"/>
    <w:rsid w:val="00231EA4"/>
    <w:rsid w:val="00233D5F"/>
    <w:rsid w:val="00235380"/>
    <w:rsid w:val="00237884"/>
    <w:rsid w:val="002402B1"/>
    <w:rsid w:val="00241626"/>
    <w:rsid w:val="00242FF5"/>
    <w:rsid w:val="00243554"/>
    <w:rsid w:val="002450F9"/>
    <w:rsid w:val="00246569"/>
    <w:rsid w:val="0025189E"/>
    <w:rsid w:val="0025363E"/>
    <w:rsid w:val="002537BD"/>
    <w:rsid w:val="00264B3D"/>
    <w:rsid w:val="00265C0E"/>
    <w:rsid w:val="00266101"/>
    <w:rsid w:val="00273190"/>
    <w:rsid w:val="0027345D"/>
    <w:rsid w:val="0027376B"/>
    <w:rsid w:val="00274769"/>
    <w:rsid w:val="0027757D"/>
    <w:rsid w:val="002802D5"/>
    <w:rsid w:val="00281A25"/>
    <w:rsid w:val="00281D37"/>
    <w:rsid w:val="00282036"/>
    <w:rsid w:val="00283038"/>
    <w:rsid w:val="002831F3"/>
    <w:rsid w:val="00283FFA"/>
    <w:rsid w:val="00292BBA"/>
    <w:rsid w:val="00295549"/>
    <w:rsid w:val="00295B43"/>
    <w:rsid w:val="00297159"/>
    <w:rsid w:val="002978B6"/>
    <w:rsid w:val="00297ECD"/>
    <w:rsid w:val="002A1430"/>
    <w:rsid w:val="002A1543"/>
    <w:rsid w:val="002A1E61"/>
    <w:rsid w:val="002A4D55"/>
    <w:rsid w:val="002A5DC8"/>
    <w:rsid w:val="002A6CF2"/>
    <w:rsid w:val="002B1D26"/>
    <w:rsid w:val="002B251F"/>
    <w:rsid w:val="002B6C44"/>
    <w:rsid w:val="002B7D9B"/>
    <w:rsid w:val="002B7F71"/>
    <w:rsid w:val="002C2296"/>
    <w:rsid w:val="002C2841"/>
    <w:rsid w:val="002C632B"/>
    <w:rsid w:val="002C6A3C"/>
    <w:rsid w:val="002D1736"/>
    <w:rsid w:val="002D61C9"/>
    <w:rsid w:val="002D7224"/>
    <w:rsid w:val="002E0D07"/>
    <w:rsid w:val="002E7BD8"/>
    <w:rsid w:val="002F0491"/>
    <w:rsid w:val="002F04F2"/>
    <w:rsid w:val="002F060A"/>
    <w:rsid w:val="002F0BD0"/>
    <w:rsid w:val="002F2CC9"/>
    <w:rsid w:val="002F5775"/>
    <w:rsid w:val="002F5B61"/>
    <w:rsid w:val="00300AF4"/>
    <w:rsid w:val="0030471E"/>
    <w:rsid w:val="0030518C"/>
    <w:rsid w:val="00305224"/>
    <w:rsid w:val="00305F16"/>
    <w:rsid w:val="00310606"/>
    <w:rsid w:val="003111EE"/>
    <w:rsid w:val="00313191"/>
    <w:rsid w:val="003162D5"/>
    <w:rsid w:val="00321080"/>
    <w:rsid w:val="00323A38"/>
    <w:rsid w:val="00323D39"/>
    <w:rsid w:val="0032541E"/>
    <w:rsid w:val="00325805"/>
    <w:rsid w:val="00326B7A"/>
    <w:rsid w:val="00326FB6"/>
    <w:rsid w:val="00331BF4"/>
    <w:rsid w:val="003325FC"/>
    <w:rsid w:val="00333FB3"/>
    <w:rsid w:val="00336F78"/>
    <w:rsid w:val="00337401"/>
    <w:rsid w:val="003400F3"/>
    <w:rsid w:val="003404E1"/>
    <w:rsid w:val="00340A4A"/>
    <w:rsid w:val="00345DE6"/>
    <w:rsid w:val="003466B9"/>
    <w:rsid w:val="0034721E"/>
    <w:rsid w:val="0034745D"/>
    <w:rsid w:val="00347EF6"/>
    <w:rsid w:val="00350692"/>
    <w:rsid w:val="00362286"/>
    <w:rsid w:val="003645E1"/>
    <w:rsid w:val="00364EB1"/>
    <w:rsid w:val="0036543B"/>
    <w:rsid w:val="00366386"/>
    <w:rsid w:val="00366656"/>
    <w:rsid w:val="00367C15"/>
    <w:rsid w:val="00374685"/>
    <w:rsid w:val="0037660C"/>
    <w:rsid w:val="00376780"/>
    <w:rsid w:val="00376807"/>
    <w:rsid w:val="00386A40"/>
    <w:rsid w:val="00387888"/>
    <w:rsid w:val="00393735"/>
    <w:rsid w:val="00393AE5"/>
    <w:rsid w:val="0039481C"/>
    <w:rsid w:val="003955A7"/>
    <w:rsid w:val="003A0032"/>
    <w:rsid w:val="003A3029"/>
    <w:rsid w:val="003A76FB"/>
    <w:rsid w:val="003B17C2"/>
    <w:rsid w:val="003B38FB"/>
    <w:rsid w:val="003B4C89"/>
    <w:rsid w:val="003B6F53"/>
    <w:rsid w:val="003B7424"/>
    <w:rsid w:val="003C1BF6"/>
    <w:rsid w:val="003C2A24"/>
    <w:rsid w:val="003C45CA"/>
    <w:rsid w:val="003C4F2F"/>
    <w:rsid w:val="003C52C2"/>
    <w:rsid w:val="003C56D9"/>
    <w:rsid w:val="003C6502"/>
    <w:rsid w:val="003C7A90"/>
    <w:rsid w:val="003C7F50"/>
    <w:rsid w:val="003D23CD"/>
    <w:rsid w:val="003D3124"/>
    <w:rsid w:val="003D338C"/>
    <w:rsid w:val="003D439F"/>
    <w:rsid w:val="003D6E89"/>
    <w:rsid w:val="003E038F"/>
    <w:rsid w:val="003E080C"/>
    <w:rsid w:val="003E1899"/>
    <w:rsid w:val="003E2AD4"/>
    <w:rsid w:val="003E331A"/>
    <w:rsid w:val="003E3415"/>
    <w:rsid w:val="003E3A5D"/>
    <w:rsid w:val="003E47FD"/>
    <w:rsid w:val="003E51F2"/>
    <w:rsid w:val="004023BD"/>
    <w:rsid w:val="004039E0"/>
    <w:rsid w:val="00411998"/>
    <w:rsid w:val="00411D68"/>
    <w:rsid w:val="00412F4D"/>
    <w:rsid w:val="00414480"/>
    <w:rsid w:val="00416EE3"/>
    <w:rsid w:val="00423EF5"/>
    <w:rsid w:val="004247EC"/>
    <w:rsid w:val="004257D6"/>
    <w:rsid w:val="004268AD"/>
    <w:rsid w:val="00430031"/>
    <w:rsid w:val="004323C2"/>
    <w:rsid w:val="004346A4"/>
    <w:rsid w:val="00435625"/>
    <w:rsid w:val="00435743"/>
    <w:rsid w:val="00435D3C"/>
    <w:rsid w:val="00446345"/>
    <w:rsid w:val="004556F5"/>
    <w:rsid w:val="0045606C"/>
    <w:rsid w:val="00463D8D"/>
    <w:rsid w:val="00467915"/>
    <w:rsid w:val="0047246B"/>
    <w:rsid w:val="00473A52"/>
    <w:rsid w:val="00475B79"/>
    <w:rsid w:val="00477DDC"/>
    <w:rsid w:val="00484486"/>
    <w:rsid w:val="00485093"/>
    <w:rsid w:val="004853F4"/>
    <w:rsid w:val="00490309"/>
    <w:rsid w:val="00490553"/>
    <w:rsid w:val="00491A6A"/>
    <w:rsid w:val="00496B5C"/>
    <w:rsid w:val="004A264D"/>
    <w:rsid w:val="004B0385"/>
    <w:rsid w:val="004B328D"/>
    <w:rsid w:val="004B61F5"/>
    <w:rsid w:val="004B7031"/>
    <w:rsid w:val="004B7A1E"/>
    <w:rsid w:val="004C04F8"/>
    <w:rsid w:val="004C1C03"/>
    <w:rsid w:val="004C2601"/>
    <w:rsid w:val="004C3227"/>
    <w:rsid w:val="004C5D82"/>
    <w:rsid w:val="004C6CDA"/>
    <w:rsid w:val="004D0294"/>
    <w:rsid w:val="004D02C5"/>
    <w:rsid w:val="004D0B96"/>
    <w:rsid w:val="004D243A"/>
    <w:rsid w:val="004D3A4E"/>
    <w:rsid w:val="004D6240"/>
    <w:rsid w:val="004E3DAC"/>
    <w:rsid w:val="004E4731"/>
    <w:rsid w:val="004E4EF3"/>
    <w:rsid w:val="004E5C48"/>
    <w:rsid w:val="004E682C"/>
    <w:rsid w:val="004F0FBB"/>
    <w:rsid w:val="004F1C93"/>
    <w:rsid w:val="004F3C19"/>
    <w:rsid w:val="004F73B6"/>
    <w:rsid w:val="004F7491"/>
    <w:rsid w:val="00501BB8"/>
    <w:rsid w:val="005103C5"/>
    <w:rsid w:val="005113A3"/>
    <w:rsid w:val="00512180"/>
    <w:rsid w:val="00512EB3"/>
    <w:rsid w:val="00516E9B"/>
    <w:rsid w:val="00516FED"/>
    <w:rsid w:val="0051743B"/>
    <w:rsid w:val="005222A2"/>
    <w:rsid w:val="0052384D"/>
    <w:rsid w:val="0052436E"/>
    <w:rsid w:val="00526A4F"/>
    <w:rsid w:val="00527AC2"/>
    <w:rsid w:val="005306B1"/>
    <w:rsid w:val="00534F32"/>
    <w:rsid w:val="00540609"/>
    <w:rsid w:val="00541C2B"/>
    <w:rsid w:val="005420BB"/>
    <w:rsid w:val="005425D0"/>
    <w:rsid w:val="0054274F"/>
    <w:rsid w:val="005443C4"/>
    <w:rsid w:val="005446EB"/>
    <w:rsid w:val="00545973"/>
    <w:rsid w:val="0054623A"/>
    <w:rsid w:val="00547145"/>
    <w:rsid w:val="005516AF"/>
    <w:rsid w:val="00553639"/>
    <w:rsid w:val="00554A26"/>
    <w:rsid w:val="0055520B"/>
    <w:rsid w:val="00556583"/>
    <w:rsid w:val="00556D20"/>
    <w:rsid w:val="005612FE"/>
    <w:rsid w:val="0056252B"/>
    <w:rsid w:val="00564696"/>
    <w:rsid w:val="00567922"/>
    <w:rsid w:val="00567EBC"/>
    <w:rsid w:val="00570C60"/>
    <w:rsid w:val="005752EC"/>
    <w:rsid w:val="005820B8"/>
    <w:rsid w:val="0058372E"/>
    <w:rsid w:val="0058466D"/>
    <w:rsid w:val="00584A19"/>
    <w:rsid w:val="00584CCF"/>
    <w:rsid w:val="00585930"/>
    <w:rsid w:val="00585EC0"/>
    <w:rsid w:val="00591A0C"/>
    <w:rsid w:val="00592E30"/>
    <w:rsid w:val="00595303"/>
    <w:rsid w:val="00595FD3"/>
    <w:rsid w:val="0059704D"/>
    <w:rsid w:val="005A2A19"/>
    <w:rsid w:val="005A2AE0"/>
    <w:rsid w:val="005A58A8"/>
    <w:rsid w:val="005A697E"/>
    <w:rsid w:val="005A6C09"/>
    <w:rsid w:val="005A761C"/>
    <w:rsid w:val="005B18FD"/>
    <w:rsid w:val="005B3581"/>
    <w:rsid w:val="005B524F"/>
    <w:rsid w:val="005B734E"/>
    <w:rsid w:val="005C0337"/>
    <w:rsid w:val="005D0499"/>
    <w:rsid w:val="005D4C05"/>
    <w:rsid w:val="005D4CFA"/>
    <w:rsid w:val="005D6B62"/>
    <w:rsid w:val="005E0495"/>
    <w:rsid w:val="005E2FB6"/>
    <w:rsid w:val="005E32AA"/>
    <w:rsid w:val="005E466B"/>
    <w:rsid w:val="005E7281"/>
    <w:rsid w:val="005F3747"/>
    <w:rsid w:val="005F3F5F"/>
    <w:rsid w:val="00600F70"/>
    <w:rsid w:val="006012A4"/>
    <w:rsid w:val="00604721"/>
    <w:rsid w:val="0060632C"/>
    <w:rsid w:val="00610338"/>
    <w:rsid w:val="006111C0"/>
    <w:rsid w:val="00611554"/>
    <w:rsid w:val="006178B4"/>
    <w:rsid w:val="00622A21"/>
    <w:rsid w:val="00624ED6"/>
    <w:rsid w:val="00625E11"/>
    <w:rsid w:val="00627F48"/>
    <w:rsid w:val="00630056"/>
    <w:rsid w:val="00630343"/>
    <w:rsid w:val="00632029"/>
    <w:rsid w:val="00636A5E"/>
    <w:rsid w:val="006372B8"/>
    <w:rsid w:val="00646352"/>
    <w:rsid w:val="006465D3"/>
    <w:rsid w:val="00646CE2"/>
    <w:rsid w:val="006477C6"/>
    <w:rsid w:val="006508EF"/>
    <w:rsid w:val="00654D53"/>
    <w:rsid w:val="00657570"/>
    <w:rsid w:val="00660F63"/>
    <w:rsid w:val="00661D0A"/>
    <w:rsid w:val="00662CDB"/>
    <w:rsid w:val="00662F83"/>
    <w:rsid w:val="0066395A"/>
    <w:rsid w:val="00665518"/>
    <w:rsid w:val="0066723E"/>
    <w:rsid w:val="00670C1F"/>
    <w:rsid w:val="006725A9"/>
    <w:rsid w:val="0067400A"/>
    <w:rsid w:val="00682659"/>
    <w:rsid w:val="00684C42"/>
    <w:rsid w:val="00685E95"/>
    <w:rsid w:val="006877F7"/>
    <w:rsid w:val="00687D8C"/>
    <w:rsid w:val="006907B0"/>
    <w:rsid w:val="0069163D"/>
    <w:rsid w:val="0069220E"/>
    <w:rsid w:val="006A0C49"/>
    <w:rsid w:val="006A3C9F"/>
    <w:rsid w:val="006A4F1E"/>
    <w:rsid w:val="006A7C93"/>
    <w:rsid w:val="006B1DED"/>
    <w:rsid w:val="006B2925"/>
    <w:rsid w:val="006B433E"/>
    <w:rsid w:val="006B4AEC"/>
    <w:rsid w:val="006B734D"/>
    <w:rsid w:val="006B76C3"/>
    <w:rsid w:val="006C04F4"/>
    <w:rsid w:val="006C2663"/>
    <w:rsid w:val="006D0F8A"/>
    <w:rsid w:val="006D1BCE"/>
    <w:rsid w:val="006D4C49"/>
    <w:rsid w:val="006D56D5"/>
    <w:rsid w:val="006D5C13"/>
    <w:rsid w:val="006D732F"/>
    <w:rsid w:val="006D7B9B"/>
    <w:rsid w:val="006E34B9"/>
    <w:rsid w:val="006E3DEF"/>
    <w:rsid w:val="006E42E8"/>
    <w:rsid w:val="006E608B"/>
    <w:rsid w:val="006F1245"/>
    <w:rsid w:val="006F3271"/>
    <w:rsid w:val="006F3A96"/>
    <w:rsid w:val="006F41F2"/>
    <w:rsid w:val="006F447F"/>
    <w:rsid w:val="006F4BE3"/>
    <w:rsid w:val="006F72A1"/>
    <w:rsid w:val="00702468"/>
    <w:rsid w:val="00702671"/>
    <w:rsid w:val="00702844"/>
    <w:rsid w:val="00704175"/>
    <w:rsid w:val="007041FB"/>
    <w:rsid w:val="00704F2A"/>
    <w:rsid w:val="007065EC"/>
    <w:rsid w:val="00711AA7"/>
    <w:rsid w:val="0071209D"/>
    <w:rsid w:val="0071305A"/>
    <w:rsid w:val="007130C7"/>
    <w:rsid w:val="00720B62"/>
    <w:rsid w:val="0073056B"/>
    <w:rsid w:val="0073230B"/>
    <w:rsid w:val="007328CC"/>
    <w:rsid w:val="00732DF4"/>
    <w:rsid w:val="007340AC"/>
    <w:rsid w:val="00734506"/>
    <w:rsid w:val="007357D7"/>
    <w:rsid w:val="00737489"/>
    <w:rsid w:val="0074274F"/>
    <w:rsid w:val="00747B38"/>
    <w:rsid w:val="00747CBA"/>
    <w:rsid w:val="00750021"/>
    <w:rsid w:val="00751294"/>
    <w:rsid w:val="00752338"/>
    <w:rsid w:val="00752625"/>
    <w:rsid w:val="007531F7"/>
    <w:rsid w:val="007559DF"/>
    <w:rsid w:val="00760BEE"/>
    <w:rsid w:val="00760F62"/>
    <w:rsid w:val="00765BF1"/>
    <w:rsid w:val="00767250"/>
    <w:rsid w:val="007701F1"/>
    <w:rsid w:val="007734A1"/>
    <w:rsid w:val="00783AF4"/>
    <w:rsid w:val="007849B9"/>
    <w:rsid w:val="007914D6"/>
    <w:rsid w:val="007921B5"/>
    <w:rsid w:val="00793643"/>
    <w:rsid w:val="00794171"/>
    <w:rsid w:val="00794DF6"/>
    <w:rsid w:val="007A260A"/>
    <w:rsid w:val="007A35F7"/>
    <w:rsid w:val="007A483E"/>
    <w:rsid w:val="007A4D5F"/>
    <w:rsid w:val="007A4FE9"/>
    <w:rsid w:val="007B3729"/>
    <w:rsid w:val="007B3DBF"/>
    <w:rsid w:val="007B6EE8"/>
    <w:rsid w:val="007C1CFB"/>
    <w:rsid w:val="007C3BC4"/>
    <w:rsid w:val="007C7F82"/>
    <w:rsid w:val="007D0ECB"/>
    <w:rsid w:val="007D1B13"/>
    <w:rsid w:val="007D50AB"/>
    <w:rsid w:val="007D7798"/>
    <w:rsid w:val="007E04EC"/>
    <w:rsid w:val="007E127A"/>
    <w:rsid w:val="007E4AEF"/>
    <w:rsid w:val="007F26B2"/>
    <w:rsid w:val="007F3753"/>
    <w:rsid w:val="007F3991"/>
    <w:rsid w:val="007F43AE"/>
    <w:rsid w:val="007F66B5"/>
    <w:rsid w:val="0080020F"/>
    <w:rsid w:val="0080050A"/>
    <w:rsid w:val="00800E89"/>
    <w:rsid w:val="0080188A"/>
    <w:rsid w:val="008026F0"/>
    <w:rsid w:val="00805B5B"/>
    <w:rsid w:val="00805BA4"/>
    <w:rsid w:val="00810CAB"/>
    <w:rsid w:val="00811517"/>
    <w:rsid w:val="00811C4D"/>
    <w:rsid w:val="008132E0"/>
    <w:rsid w:val="00813936"/>
    <w:rsid w:val="00814B74"/>
    <w:rsid w:val="00814BAA"/>
    <w:rsid w:val="00815E5E"/>
    <w:rsid w:val="008203E8"/>
    <w:rsid w:val="00820C26"/>
    <w:rsid w:val="0082252E"/>
    <w:rsid w:val="00823979"/>
    <w:rsid w:val="00824390"/>
    <w:rsid w:val="008255B6"/>
    <w:rsid w:val="0083141E"/>
    <w:rsid w:val="00832BC0"/>
    <w:rsid w:val="0083416E"/>
    <w:rsid w:val="0083449C"/>
    <w:rsid w:val="00842440"/>
    <w:rsid w:val="008428C9"/>
    <w:rsid w:val="00844A14"/>
    <w:rsid w:val="0084703B"/>
    <w:rsid w:val="0085210A"/>
    <w:rsid w:val="00852B2D"/>
    <w:rsid w:val="008558D7"/>
    <w:rsid w:val="0085632E"/>
    <w:rsid w:val="008566B2"/>
    <w:rsid w:val="008600CE"/>
    <w:rsid w:val="00862E30"/>
    <w:rsid w:val="0086375D"/>
    <w:rsid w:val="008642FD"/>
    <w:rsid w:val="008651BF"/>
    <w:rsid w:val="00866644"/>
    <w:rsid w:val="00867DCF"/>
    <w:rsid w:val="008701A6"/>
    <w:rsid w:val="00871D32"/>
    <w:rsid w:val="00873212"/>
    <w:rsid w:val="00873EC8"/>
    <w:rsid w:val="00877F28"/>
    <w:rsid w:val="00883A2C"/>
    <w:rsid w:val="00891FA2"/>
    <w:rsid w:val="008943DB"/>
    <w:rsid w:val="008A08C9"/>
    <w:rsid w:val="008A3CEA"/>
    <w:rsid w:val="008A5272"/>
    <w:rsid w:val="008A554F"/>
    <w:rsid w:val="008A767E"/>
    <w:rsid w:val="008A7E4B"/>
    <w:rsid w:val="008B0FB3"/>
    <w:rsid w:val="008B3D4C"/>
    <w:rsid w:val="008B4044"/>
    <w:rsid w:val="008B41E3"/>
    <w:rsid w:val="008B53F0"/>
    <w:rsid w:val="008B556B"/>
    <w:rsid w:val="008C2579"/>
    <w:rsid w:val="008C2E17"/>
    <w:rsid w:val="008C5D75"/>
    <w:rsid w:val="008C5EE6"/>
    <w:rsid w:val="008C5F83"/>
    <w:rsid w:val="008C6B2A"/>
    <w:rsid w:val="008D04A1"/>
    <w:rsid w:val="008D2623"/>
    <w:rsid w:val="008D3CD3"/>
    <w:rsid w:val="008D59C9"/>
    <w:rsid w:val="008D5A4C"/>
    <w:rsid w:val="008D7888"/>
    <w:rsid w:val="008E0658"/>
    <w:rsid w:val="008E4EFB"/>
    <w:rsid w:val="008F4986"/>
    <w:rsid w:val="008F4E7C"/>
    <w:rsid w:val="008F513E"/>
    <w:rsid w:val="008F7DC6"/>
    <w:rsid w:val="00901D6F"/>
    <w:rsid w:val="00905910"/>
    <w:rsid w:val="0090594F"/>
    <w:rsid w:val="009122E6"/>
    <w:rsid w:val="00912A64"/>
    <w:rsid w:val="009209D5"/>
    <w:rsid w:val="00922413"/>
    <w:rsid w:val="00923F02"/>
    <w:rsid w:val="009246C1"/>
    <w:rsid w:val="0092550A"/>
    <w:rsid w:val="009268C9"/>
    <w:rsid w:val="00926C09"/>
    <w:rsid w:val="00927855"/>
    <w:rsid w:val="00927BC9"/>
    <w:rsid w:val="0093018B"/>
    <w:rsid w:val="009309D2"/>
    <w:rsid w:val="00931046"/>
    <w:rsid w:val="0093192F"/>
    <w:rsid w:val="009354CE"/>
    <w:rsid w:val="00936006"/>
    <w:rsid w:val="00936EBB"/>
    <w:rsid w:val="00940115"/>
    <w:rsid w:val="00941E72"/>
    <w:rsid w:val="00945D8E"/>
    <w:rsid w:val="00946395"/>
    <w:rsid w:val="009514D8"/>
    <w:rsid w:val="00951693"/>
    <w:rsid w:val="009529F1"/>
    <w:rsid w:val="00953B80"/>
    <w:rsid w:val="00957106"/>
    <w:rsid w:val="00957132"/>
    <w:rsid w:val="00957251"/>
    <w:rsid w:val="00957E4B"/>
    <w:rsid w:val="00962BE4"/>
    <w:rsid w:val="00963852"/>
    <w:rsid w:val="00967054"/>
    <w:rsid w:val="0097056C"/>
    <w:rsid w:val="0097213F"/>
    <w:rsid w:val="009738BB"/>
    <w:rsid w:val="00975767"/>
    <w:rsid w:val="00977B8A"/>
    <w:rsid w:val="00983DE8"/>
    <w:rsid w:val="009937AF"/>
    <w:rsid w:val="009947DA"/>
    <w:rsid w:val="00995735"/>
    <w:rsid w:val="009A1EFB"/>
    <w:rsid w:val="009A2410"/>
    <w:rsid w:val="009A4741"/>
    <w:rsid w:val="009A54D2"/>
    <w:rsid w:val="009B044F"/>
    <w:rsid w:val="009B077D"/>
    <w:rsid w:val="009B15C7"/>
    <w:rsid w:val="009B1918"/>
    <w:rsid w:val="009B1D59"/>
    <w:rsid w:val="009B3C60"/>
    <w:rsid w:val="009B480B"/>
    <w:rsid w:val="009B61EC"/>
    <w:rsid w:val="009B777B"/>
    <w:rsid w:val="009C0F6D"/>
    <w:rsid w:val="009C6C9B"/>
    <w:rsid w:val="009C6F72"/>
    <w:rsid w:val="009C75CF"/>
    <w:rsid w:val="009C781A"/>
    <w:rsid w:val="009D210D"/>
    <w:rsid w:val="009D2E91"/>
    <w:rsid w:val="009D3AA4"/>
    <w:rsid w:val="009E29F8"/>
    <w:rsid w:val="009E5776"/>
    <w:rsid w:val="009E7346"/>
    <w:rsid w:val="009F2506"/>
    <w:rsid w:val="009F4A30"/>
    <w:rsid w:val="009F67A4"/>
    <w:rsid w:val="009F77BB"/>
    <w:rsid w:val="00A00070"/>
    <w:rsid w:val="00A02059"/>
    <w:rsid w:val="00A02C7E"/>
    <w:rsid w:val="00A05C63"/>
    <w:rsid w:val="00A05C8F"/>
    <w:rsid w:val="00A07680"/>
    <w:rsid w:val="00A1079C"/>
    <w:rsid w:val="00A12D2E"/>
    <w:rsid w:val="00A15737"/>
    <w:rsid w:val="00A165CA"/>
    <w:rsid w:val="00A17A67"/>
    <w:rsid w:val="00A21C21"/>
    <w:rsid w:val="00A23C84"/>
    <w:rsid w:val="00A261E3"/>
    <w:rsid w:val="00A310C3"/>
    <w:rsid w:val="00A33054"/>
    <w:rsid w:val="00A336B6"/>
    <w:rsid w:val="00A340BD"/>
    <w:rsid w:val="00A34FAC"/>
    <w:rsid w:val="00A4079E"/>
    <w:rsid w:val="00A40811"/>
    <w:rsid w:val="00A420A8"/>
    <w:rsid w:val="00A42662"/>
    <w:rsid w:val="00A4397C"/>
    <w:rsid w:val="00A45C81"/>
    <w:rsid w:val="00A47668"/>
    <w:rsid w:val="00A5153F"/>
    <w:rsid w:val="00A539A7"/>
    <w:rsid w:val="00A54DF3"/>
    <w:rsid w:val="00A563B3"/>
    <w:rsid w:val="00A578DA"/>
    <w:rsid w:val="00A6278F"/>
    <w:rsid w:val="00A663B5"/>
    <w:rsid w:val="00A74B09"/>
    <w:rsid w:val="00A7607B"/>
    <w:rsid w:val="00A801D8"/>
    <w:rsid w:val="00A81C6C"/>
    <w:rsid w:val="00A84CE6"/>
    <w:rsid w:val="00A85338"/>
    <w:rsid w:val="00A8551E"/>
    <w:rsid w:val="00A855F1"/>
    <w:rsid w:val="00A8580A"/>
    <w:rsid w:val="00A86406"/>
    <w:rsid w:val="00A91597"/>
    <w:rsid w:val="00A91A42"/>
    <w:rsid w:val="00A93F24"/>
    <w:rsid w:val="00A93FA7"/>
    <w:rsid w:val="00A95458"/>
    <w:rsid w:val="00AA6009"/>
    <w:rsid w:val="00AA6495"/>
    <w:rsid w:val="00AB281E"/>
    <w:rsid w:val="00AB4201"/>
    <w:rsid w:val="00AB4FCD"/>
    <w:rsid w:val="00AB6CA7"/>
    <w:rsid w:val="00AC1668"/>
    <w:rsid w:val="00AC212A"/>
    <w:rsid w:val="00AC317B"/>
    <w:rsid w:val="00AC4A2A"/>
    <w:rsid w:val="00AC55D8"/>
    <w:rsid w:val="00AC6431"/>
    <w:rsid w:val="00AC67FD"/>
    <w:rsid w:val="00AD5634"/>
    <w:rsid w:val="00AD5E82"/>
    <w:rsid w:val="00AD7AAE"/>
    <w:rsid w:val="00AE1A79"/>
    <w:rsid w:val="00AF0116"/>
    <w:rsid w:val="00AF1F2F"/>
    <w:rsid w:val="00AF2477"/>
    <w:rsid w:val="00B0080F"/>
    <w:rsid w:val="00B029E2"/>
    <w:rsid w:val="00B046E5"/>
    <w:rsid w:val="00B04E0D"/>
    <w:rsid w:val="00B07DF5"/>
    <w:rsid w:val="00B137DB"/>
    <w:rsid w:val="00B13D0B"/>
    <w:rsid w:val="00B147B6"/>
    <w:rsid w:val="00B220BD"/>
    <w:rsid w:val="00B31332"/>
    <w:rsid w:val="00B32A49"/>
    <w:rsid w:val="00B32F28"/>
    <w:rsid w:val="00B32F34"/>
    <w:rsid w:val="00B32FB6"/>
    <w:rsid w:val="00B356F1"/>
    <w:rsid w:val="00B35954"/>
    <w:rsid w:val="00B35C20"/>
    <w:rsid w:val="00B3642B"/>
    <w:rsid w:val="00B407D3"/>
    <w:rsid w:val="00B42A7A"/>
    <w:rsid w:val="00B4487E"/>
    <w:rsid w:val="00B51D90"/>
    <w:rsid w:val="00B52055"/>
    <w:rsid w:val="00B5508C"/>
    <w:rsid w:val="00B5517B"/>
    <w:rsid w:val="00B55AD7"/>
    <w:rsid w:val="00B64EA9"/>
    <w:rsid w:val="00B70CDE"/>
    <w:rsid w:val="00B712FF"/>
    <w:rsid w:val="00B71455"/>
    <w:rsid w:val="00B76DB4"/>
    <w:rsid w:val="00B76EE2"/>
    <w:rsid w:val="00B80BB3"/>
    <w:rsid w:val="00B82430"/>
    <w:rsid w:val="00B83B3B"/>
    <w:rsid w:val="00B8644C"/>
    <w:rsid w:val="00B86BC7"/>
    <w:rsid w:val="00B90DE7"/>
    <w:rsid w:val="00B9409D"/>
    <w:rsid w:val="00B95F89"/>
    <w:rsid w:val="00B9614E"/>
    <w:rsid w:val="00BA197B"/>
    <w:rsid w:val="00BA2B17"/>
    <w:rsid w:val="00BA3690"/>
    <w:rsid w:val="00BA5B36"/>
    <w:rsid w:val="00BA648C"/>
    <w:rsid w:val="00BB03E5"/>
    <w:rsid w:val="00BB271F"/>
    <w:rsid w:val="00BB30E1"/>
    <w:rsid w:val="00BB3D76"/>
    <w:rsid w:val="00BB3E69"/>
    <w:rsid w:val="00BB3EC4"/>
    <w:rsid w:val="00BC0E95"/>
    <w:rsid w:val="00BC3712"/>
    <w:rsid w:val="00BC6489"/>
    <w:rsid w:val="00BC6750"/>
    <w:rsid w:val="00BD4561"/>
    <w:rsid w:val="00BD6729"/>
    <w:rsid w:val="00BE07B6"/>
    <w:rsid w:val="00BE2A1A"/>
    <w:rsid w:val="00BE2DCE"/>
    <w:rsid w:val="00BE43E8"/>
    <w:rsid w:val="00BE5489"/>
    <w:rsid w:val="00BF10A3"/>
    <w:rsid w:val="00BF632F"/>
    <w:rsid w:val="00BF64A5"/>
    <w:rsid w:val="00C00FA1"/>
    <w:rsid w:val="00C01A84"/>
    <w:rsid w:val="00C01C72"/>
    <w:rsid w:val="00C032F9"/>
    <w:rsid w:val="00C03601"/>
    <w:rsid w:val="00C03F6E"/>
    <w:rsid w:val="00C06D3F"/>
    <w:rsid w:val="00C07C5D"/>
    <w:rsid w:val="00C1375F"/>
    <w:rsid w:val="00C14C4D"/>
    <w:rsid w:val="00C15E85"/>
    <w:rsid w:val="00C17B51"/>
    <w:rsid w:val="00C17FE5"/>
    <w:rsid w:val="00C21C66"/>
    <w:rsid w:val="00C25339"/>
    <w:rsid w:val="00C25997"/>
    <w:rsid w:val="00C26A13"/>
    <w:rsid w:val="00C26CC5"/>
    <w:rsid w:val="00C2747F"/>
    <w:rsid w:val="00C27618"/>
    <w:rsid w:val="00C31B32"/>
    <w:rsid w:val="00C32B80"/>
    <w:rsid w:val="00C3538C"/>
    <w:rsid w:val="00C35ADB"/>
    <w:rsid w:val="00C36B6B"/>
    <w:rsid w:val="00C452B4"/>
    <w:rsid w:val="00C4557A"/>
    <w:rsid w:val="00C473F3"/>
    <w:rsid w:val="00C47FA1"/>
    <w:rsid w:val="00C513F1"/>
    <w:rsid w:val="00C51E11"/>
    <w:rsid w:val="00C54498"/>
    <w:rsid w:val="00C5798C"/>
    <w:rsid w:val="00C645E3"/>
    <w:rsid w:val="00C65153"/>
    <w:rsid w:val="00C65795"/>
    <w:rsid w:val="00C67746"/>
    <w:rsid w:val="00C73CEF"/>
    <w:rsid w:val="00C75A0D"/>
    <w:rsid w:val="00C75A9F"/>
    <w:rsid w:val="00C8272C"/>
    <w:rsid w:val="00C83B38"/>
    <w:rsid w:val="00C85B47"/>
    <w:rsid w:val="00C90273"/>
    <w:rsid w:val="00C90BAD"/>
    <w:rsid w:val="00C9412D"/>
    <w:rsid w:val="00C95888"/>
    <w:rsid w:val="00C97182"/>
    <w:rsid w:val="00CA1C50"/>
    <w:rsid w:val="00CA25E2"/>
    <w:rsid w:val="00CA296E"/>
    <w:rsid w:val="00CA392A"/>
    <w:rsid w:val="00CA5EF3"/>
    <w:rsid w:val="00CA6F98"/>
    <w:rsid w:val="00CA7381"/>
    <w:rsid w:val="00CB0A02"/>
    <w:rsid w:val="00CB1D26"/>
    <w:rsid w:val="00CB2CB9"/>
    <w:rsid w:val="00CB382F"/>
    <w:rsid w:val="00CB4E7A"/>
    <w:rsid w:val="00CC3243"/>
    <w:rsid w:val="00CC39DB"/>
    <w:rsid w:val="00CC5BE0"/>
    <w:rsid w:val="00CC6935"/>
    <w:rsid w:val="00CC6BA4"/>
    <w:rsid w:val="00CC7E7E"/>
    <w:rsid w:val="00CD0C7C"/>
    <w:rsid w:val="00CD4FAC"/>
    <w:rsid w:val="00CD6408"/>
    <w:rsid w:val="00CD6DB9"/>
    <w:rsid w:val="00CD7511"/>
    <w:rsid w:val="00CE01B4"/>
    <w:rsid w:val="00CE064A"/>
    <w:rsid w:val="00CE3460"/>
    <w:rsid w:val="00CE3AA0"/>
    <w:rsid w:val="00CE473A"/>
    <w:rsid w:val="00CE7443"/>
    <w:rsid w:val="00CE7610"/>
    <w:rsid w:val="00CF1304"/>
    <w:rsid w:val="00CF2EAC"/>
    <w:rsid w:val="00CF6A3C"/>
    <w:rsid w:val="00CF6BD6"/>
    <w:rsid w:val="00D04CDC"/>
    <w:rsid w:val="00D052AE"/>
    <w:rsid w:val="00D07ECD"/>
    <w:rsid w:val="00D10B76"/>
    <w:rsid w:val="00D1200F"/>
    <w:rsid w:val="00D13A60"/>
    <w:rsid w:val="00D172CE"/>
    <w:rsid w:val="00D20167"/>
    <w:rsid w:val="00D21ABA"/>
    <w:rsid w:val="00D23856"/>
    <w:rsid w:val="00D243D4"/>
    <w:rsid w:val="00D25021"/>
    <w:rsid w:val="00D25717"/>
    <w:rsid w:val="00D25791"/>
    <w:rsid w:val="00D271B5"/>
    <w:rsid w:val="00D27B1F"/>
    <w:rsid w:val="00D300DE"/>
    <w:rsid w:val="00D304AF"/>
    <w:rsid w:val="00D3090F"/>
    <w:rsid w:val="00D32949"/>
    <w:rsid w:val="00D34107"/>
    <w:rsid w:val="00D34AE1"/>
    <w:rsid w:val="00D35F7D"/>
    <w:rsid w:val="00D42F8F"/>
    <w:rsid w:val="00D47D59"/>
    <w:rsid w:val="00D5170D"/>
    <w:rsid w:val="00D53391"/>
    <w:rsid w:val="00D554C6"/>
    <w:rsid w:val="00D61CF5"/>
    <w:rsid w:val="00D64755"/>
    <w:rsid w:val="00D6525B"/>
    <w:rsid w:val="00D748C5"/>
    <w:rsid w:val="00D74FBC"/>
    <w:rsid w:val="00D76893"/>
    <w:rsid w:val="00D8403C"/>
    <w:rsid w:val="00D846AB"/>
    <w:rsid w:val="00D906E2"/>
    <w:rsid w:val="00D933D2"/>
    <w:rsid w:val="00D96453"/>
    <w:rsid w:val="00D96D8A"/>
    <w:rsid w:val="00DA0EBF"/>
    <w:rsid w:val="00DA6407"/>
    <w:rsid w:val="00DA7848"/>
    <w:rsid w:val="00DB1064"/>
    <w:rsid w:val="00DB1EA6"/>
    <w:rsid w:val="00DB429C"/>
    <w:rsid w:val="00DB6BF7"/>
    <w:rsid w:val="00DC7366"/>
    <w:rsid w:val="00DD0876"/>
    <w:rsid w:val="00DD7C06"/>
    <w:rsid w:val="00DE0FE0"/>
    <w:rsid w:val="00DE74D8"/>
    <w:rsid w:val="00DF2A67"/>
    <w:rsid w:val="00DF348C"/>
    <w:rsid w:val="00DF70B9"/>
    <w:rsid w:val="00DF7FF6"/>
    <w:rsid w:val="00E00AB3"/>
    <w:rsid w:val="00E00C43"/>
    <w:rsid w:val="00E03D8E"/>
    <w:rsid w:val="00E053F9"/>
    <w:rsid w:val="00E06C46"/>
    <w:rsid w:val="00E07E83"/>
    <w:rsid w:val="00E117C5"/>
    <w:rsid w:val="00E2241A"/>
    <w:rsid w:val="00E2259A"/>
    <w:rsid w:val="00E31CDC"/>
    <w:rsid w:val="00E36066"/>
    <w:rsid w:val="00E41101"/>
    <w:rsid w:val="00E42346"/>
    <w:rsid w:val="00E4615F"/>
    <w:rsid w:val="00E46E10"/>
    <w:rsid w:val="00E53A07"/>
    <w:rsid w:val="00E5479B"/>
    <w:rsid w:val="00E56397"/>
    <w:rsid w:val="00E56AEF"/>
    <w:rsid w:val="00E60123"/>
    <w:rsid w:val="00E60172"/>
    <w:rsid w:val="00E60C24"/>
    <w:rsid w:val="00E612F8"/>
    <w:rsid w:val="00E620A1"/>
    <w:rsid w:val="00E623A2"/>
    <w:rsid w:val="00E66AB9"/>
    <w:rsid w:val="00E67419"/>
    <w:rsid w:val="00E716E3"/>
    <w:rsid w:val="00E725FF"/>
    <w:rsid w:val="00E72B32"/>
    <w:rsid w:val="00E75220"/>
    <w:rsid w:val="00E756E1"/>
    <w:rsid w:val="00E8084C"/>
    <w:rsid w:val="00E825A7"/>
    <w:rsid w:val="00E82DA8"/>
    <w:rsid w:val="00E837A3"/>
    <w:rsid w:val="00E84C38"/>
    <w:rsid w:val="00E85277"/>
    <w:rsid w:val="00E85D78"/>
    <w:rsid w:val="00E86090"/>
    <w:rsid w:val="00E870C8"/>
    <w:rsid w:val="00E90778"/>
    <w:rsid w:val="00E90DA9"/>
    <w:rsid w:val="00E93B7A"/>
    <w:rsid w:val="00E955E0"/>
    <w:rsid w:val="00E97518"/>
    <w:rsid w:val="00EA1D72"/>
    <w:rsid w:val="00EA2048"/>
    <w:rsid w:val="00EA329D"/>
    <w:rsid w:val="00EA4301"/>
    <w:rsid w:val="00EA6BC4"/>
    <w:rsid w:val="00EB0A26"/>
    <w:rsid w:val="00EB2DAA"/>
    <w:rsid w:val="00EB3DBC"/>
    <w:rsid w:val="00EB47E9"/>
    <w:rsid w:val="00EB5231"/>
    <w:rsid w:val="00EB5940"/>
    <w:rsid w:val="00EB5A96"/>
    <w:rsid w:val="00EB6E29"/>
    <w:rsid w:val="00EB7EB1"/>
    <w:rsid w:val="00EC0F08"/>
    <w:rsid w:val="00EC33FD"/>
    <w:rsid w:val="00EC3A09"/>
    <w:rsid w:val="00EC412A"/>
    <w:rsid w:val="00EC4E24"/>
    <w:rsid w:val="00ED2A4F"/>
    <w:rsid w:val="00ED2EAB"/>
    <w:rsid w:val="00ED308E"/>
    <w:rsid w:val="00ED3326"/>
    <w:rsid w:val="00ED3D30"/>
    <w:rsid w:val="00ED5110"/>
    <w:rsid w:val="00EE390E"/>
    <w:rsid w:val="00EE60D9"/>
    <w:rsid w:val="00EE796D"/>
    <w:rsid w:val="00EF04CC"/>
    <w:rsid w:val="00EF3293"/>
    <w:rsid w:val="00EF3B90"/>
    <w:rsid w:val="00EF4E11"/>
    <w:rsid w:val="00EF5935"/>
    <w:rsid w:val="00EF6DDA"/>
    <w:rsid w:val="00F025B3"/>
    <w:rsid w:val="00F02EEB"/>
    <w:rsid w:val="00F03D79"/>
    <w:rsid w:val="00F05277"/>
    <w:rsid w:val="00F0653C"/>
    <w:rsid w:val="00F06EDE"/>
    <w:rsid w:val="00F12E54"/>
    <w:rsid w:val="00F1495A"/>
    <w:rsid w:val="00F177F0"/>
    <w:rsid w:val="00F243AC"/>
    <w:rsid w:val="00F24B07"/>
    <w:rsid w:val="00F26B9B"/>
    <w:rsid w:val="00F27472"/>
    <w:rsid w:val="00F314BC"/>
    <w:rsid w:val="00F40DD0"/>
    <w:rsid w:val="00F43667"/>
    <w:rsid w:val="00F45A44"/>
    <w:rsid w:val="00F45C18"/>
    <w:rsid w:val="00F476CA"/>
    <w:rsid w:val="00F52ABE"/>
    <w:rsid w:val="00F53136"/>
    <w:rsid w:val="00F5501E"/>
    <w:rsid w:val="00F557FA"/>
    <w:rsid w:val="00F563AF"/>
    <w:rsid w:val="00F60177"/>
    <w:rsid w:val="00F607CD"/>
    <w:rsid w:val="00F61443"/>
    <w:rsid w:val="00F638E0"/>
    <w:rsid w:val="00F648DD"/>
    <w:rsid w:val="00F66B00"/>
    <w:rsid w:val="00F677FD"/>
    <w:rsid w:val="00F70DD0"/>
    <w:rsid w:val="00F740F6"/>
    <w:rsid w:val="00F7777F"/>
    <w:rsid w:val="00F8003D"/>
    <w:rsid w:val="00F8049A"/>
    <w:rsid w:val="00F814D8"/>
    <w:rsid w:val="00F83189"/>
    <w:rsid w:val="00F84CD7"/>
    <w:rsid w:val="00F86EF4"/>
    <w:rsid w:val="00F90BE3"/>
    <w:rsid w:val="00F91AB1"/>
    <w:rsid w:val="00F92D29"/>
    <w:rsid w:val="00FA24E0"/>
    <w:rsid w:val="00FA2B42"/>
    <w:rsid w:val="00FB085A"/>
    <w:rsid w:val="00FB13A7"/>
    <w:rsid w:val="00FB23D6"/>
    <w:rsid w:val="00FB7170"/>
    <w:rsid w:val="00FB750B"/>
    <w:rsid w:val="00FC1F71"/>
    <w:rsid w:val="00FC3130"/>
    <w:rsid w:val="00FC3A57"/>
    <w:rsid w:val="00FC4457"/>
    <w:rsid w:val="00FC6E86"/>
    <w:rsid w:val="00FD0115"/>
    <w:rsid w:val="00FD0AD2"/>
    <w:rsid w:val="00FD4C62"/>
    <w:rsid w:val="00FD50FE"/>
    <w:rsid w:val="00FE0BCF"/>
    <w:rsid w:val="00FE1873"/>
    <w:rsid w:val="00FE7842"/>
    <w:rsid w:val="00FE7C59"/>
    <w:rsid w:val="00FF134B"/>
    <w:rsid w:val="00FF2433"/>
    <w:rsid w:val="00FF2EA0"/>
    <w:rsid w:val="00FF5F22"/>
    <w:rsid w:val="15FC10E4"/>
    <w:rsid w:val="19E96131"/>
    <w:rsid w:val="47AA76FA"/>
    <w:rsid w:val="53E03816"/>
    <w:rsid w:val="6A5404EB"/>
    <w:rsid w:val="FE7DB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E9291"/>
  <w15:docId w15:val="{AB8C1854-D64B-44AF-B79B-76A55CD4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adjustRightInd w:val="0"/>
      <w:snapToGrid w:val="0"/>
      <w:spacing w:line="360" w:lineRule="auto"/>
      <w:ind w:firstLineChars="200" w:firstLine="200"/>
      <w:jc w:val="both"/>
    </w:pPr>
    <w:rPr>
      <w:rFonts w:eastAsia="方正仿宋_GBK" w:cstheme="minorBidi"/>
      <w:kern w:val="2"/>
      <w:sz w:val="24"/>
      <w:szCs w:val="22"/>
    </w:rPr>
  </w:style>
  <w:style w:type="paragraph" w:styleId="10">
    <w:name w:val="heading 1"/>
    <w:basedOn w:val="a7"/>
    <w:next w:val="a7"/>
    <w:link w:val="11"/>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7"/>
    <w:next w:val="a7"/>
    <w:link w:val="21"/>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7"/>
    <w:next w:val="a7"/>
    <w:link w:val="31"/>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0">
    <w:name w:val="heading 4"/>
    <w:basedOn w:val="a7"/>
    <w:next w:val="a7"/>
    <w:link w:val="41"/>
    <w:uiPriority w:val="9"/>
    <w:semiHidden/>
    <w:unhideWhenUsed/>
    <w:qFormat/>
    <w:pPr>
      <w:keepNext/>
      <w:keepLines/>
      <w:spacing w:before="80" w:after="40"/>
      <w:outlineLvl w:val="3"/>
    </w:pPr>
    <w:rPr>
      <w:rFonts w:cstheme="majorBidi"/>
      <w:color w:val="2F5496" w:themeColor="accent1" w:themeShade="BF"/>
      <w:szCs w:val="28"/>
    </w:rPr>
  </w:style>
  <w:style w:type="paragraph" w:styleId="50">
    <w:name w:val="heading 5"/>
    <w:basedOn w:val="a7"/>
    <w:next w:val="a7"/>
    <w:link w:val="51"/>
    <w:uiPriority w:val="9"/>
    <w:semiHidden/>
    <w:unhideWhenUsed/>
    <w:qFormat/>
    <w:pPr>
      <w:keepNext/>
      <w:keepLines/>
      <w:spacing w:before="80" w:after="40"/>
      <w:outlineLvl w:val="4"/>
    </w:pPr>
    <w:rPr>
      <w:rFonts w:cstheme="majorBidi"/>
      <w:color w:val="2F5496" w:themeColor="accent1" w:themeShade="BF"/>
    </w:rPr>
  </w:style>
  <w:style w:type="paragraph" w:styleId="60">
    <w:name w:val="heading 6"/>
    <w:basedOn w:val="a7"/>
    <w:next w:val="a7"/>
    <w:link w:val="61"/>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7"/>
    <w:next w:val="a7"/>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7"/>
    <w:next w:val="a7"/>
    <w:link w:val="80"/>
    <w:uiPriority w:val="9"/>
    <w:semiHidden/>
    <w:unhideWhenUsed/>
    <w:qFormat/>
    <w:pPr>
      <w:keepNext/>
      <w:keepLines/>
      <w:outlineLvl w:val="7"/>
    </w:pPr>
    <w:rPr>
      <w:rFonts w:cstheme="majorBidi"/>
      <w:color w:val="595959" w:themeColor="text1" w:themeTint="A6"/>
    </w:rPr>
  </w:style>
  <w:style w:type="paragraph" w:styleId="9">
    <w:name w:val="heading 9"/>
    <w:basedOn w:val="a7"/>
    <w:next w:val="a7"/>
    <w:link w:val="90"/>
    <w:uiPriority w:val="9"/>
    <w:semiHidden/>
    <w:unhideWhenUsed/>
    <w:qFormat/>
    <w:pPr>
      <w:keepNext/>
      <w:keepLines/>
      <w:outlineLvl w:val="8"/>
    </w:pPr>
    <w:rPr>
      <w:rFonts w:eastAsiaTheme="majorEastAsia" w:cstheme="majorBidi"/>
      <w:color w:val="595959" w:themeColor="text1" w:themeTint="A6"/>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w:basedOn w:val="a7"/>
    <w:link w:val="ac"/>
    <w:uiPriority w:val="99"/>
    <w:unhideWhenUsed/>
    <w:qFormat/>
    <w:pPr>
      <w:adjustRightInd/>
      <w:snapToGrid/>
      <w:spacing w:after="120" w:line="240" w:lineRule="auto"/>
      <w:ind w:firstLineChars="0" w:firstLine="0"/>
    </w:pPr>
    <w:rPr>
      <w:rFonts w:cs="Times New Roman"/>
      <w:szCs w:val="20"/>
    </w:rPr>
  </w:style>
  <w:style w:type="paragraph" w:styleId="ad">
    <w:name w:val="Date"/>
    <w:basedOn w:val="a7"/>
    <w:next w:val="a7"/>
    <w:link w:val="ae"/>
    <w:uiPriority w:val="99"/>
    <w:semiHidden/>
    <w:unhideWhenUsed/>
    <w:qFormat/>
    <w:pPr>
      <w:ind w:leftChars="2500" w:left="100"/>
    </w:pPr>
  </w:style>
  <w:style w:type="paragraph" w:styleId="af">
    <w:name w:val="Balloon Text"/>
    <w:basedOn w:val="a7"/>
    <w:link w:val="af0"/>
    <w:pPr>
      <w:adjustRightInd/>
      <w:snapToGrid/>
      <w:spacing w:line="240" w:lineRule="auto"/>
      <w:ind w:firstLineChars="0" w:firstLine="0"/>
    </w:pPr>
    <w:rPr>
      <w:rFonts w:asciiTheme="minorHAnsi" w:eastAsiaTheme="minorEastAsia" w:hAnsiTheme="minorHAnsi"/>
      <w:sz w:val="18"/>
      <w:szCs w:val="18"/>
    </w:rPr>
  </w:style>
  <w:style w:type="paragraph" w:styleId="af1">
    <w:name w:val="footer"/>
    <w:basedOn w:val="a7"/>
    <w:link w:val="af2"/>
    <w:unhideWhenUsed/>
    <w:qFormat/>
    <w:pPr>
      <w:tabs>
        <w:tab w:val="center" w:pos="4153"/>
        <w:tab w:val="right" w:pos="8306"/>
      </w:tabs>
      <w:spacing w:line="240" w:lineRule="auto"/>
    </w:pPr>
    <w:rPr>
      <w:sz w:val="18"/>
      <w:szCs w:val="18"/>
    </w:rPr>
  </w:style>
  <w:style w:type="paragraph" w:styleId="af3">
    <w:name w:val="header"/>
    <w:basedOn w:val="a7"/>
    <w:link w:val="af4"/>
    <w:unhideWhenUsed/>
    <w:qFormat/>
    <w:pPr>
      <w:tabs>
        <w:tab w:val="center" w:pos="4153"/>
        <w:tab w:val="right" w:pos="8306"/>
      </w:tabs>
      <w:spacing w:line="240" w:lineRule="auto"/>
      <w:jc w:val="center"/>
    </w:pPr>
    <w:rPr>
      <w:sz w:val="18"/>
      <w:szCs w:val="18"/>
    </w:rPr>
  </w:style>
  <w:style w:type="paragraph" w:styleId="TOC1">
    <w:name w:val="toc 1"/>
    <w:basedOn w:val="a7"/>
    <w:next w:val="a7"/>
    <w:autoRedefine/>
    <w:uiPriority w:val="39"/>
    <w:unhideWhenUsed/>
    <w:qFormat/>
    <w:pPr>
      <w:ind w:firstLineChars="0" w:firstLine="0"/>
    </w:pPr>
  </w:style>
  <w:style w:type="paragraph" w:styleId="af5">
    <w:name w:val="Subtitle"/>
    <w:basedOn w:val="a7"/>
    <w:next w:val="a7"/>
    <w:link w:val="af6"/>
    <w:uiPriority w:val="11"/>
    <w:qFormat/>
    <w:pPr>
      <w:jc w:val="center"/>
    </w:pPr>
    <w:rPr>
      <w:rFonts w:asciiTheme="majorHAnsi" w:eastAsiaTheme="majorEastAsia" w:hAnsiTheme="majorHAnsi" w:cstheme="majorBidi"/>
      <w:color w:val="595959" w:themeColor="text1" w:themeTint="A6"/>
      <w:spacing w:val="15"/>
      <w:szCs w:val="28"/>
    </w:rPr>
  </w:style>
  <w:style w:type="paragraph" w:styleId="TOC2">
    <w:name w:val="toc 2"/>
    <w:basedOn w:val="a7"/>
    <w:next w:val="a7"/>
    <w:autoRedefine/>
    <w:uiPriority w:val="39"/>
    <w:unhideWhenUsed/>
    <w:qFormat/>
    <w:pPr>
      <w:ind w:leftChars="200" w:left="200" w:firstLineChars="0" w:firstLine="0"/>
    </w:pPr>
  </w:style>
  <w:style w:type="paragraph" w:styleId="22">
    <w:name w:val="Body Text 2"/>
    <w:basedOn w:val="a7"/>
    <w:link w:val="23"/>
    <w:qFormat/>
    <w:pPr>
      <w:adjustRightInd/>
      <w:snapToGrid/>
      <w:spacing w:after="120" w:line="480" w:lineRule="auto"/>
      <w:ind w:firstLineChars="0" w:firstLine="0"/>
    </w:pPr>
    <w:rPr>
      <w:rFonts w:asciiTheme="minorHAnsi" w:eastAsiaTheme="minorEastAsia" w:hAnsiTheme="minorHAnsi"/>
      <w:sz w:val="21"/>
      <w:szCs w:val="24"/>
    </w:rPr>
  </w:style>
  <w:style w:type="paragraph" w:styleId="af7">
    <w:name w:val="Normal (Web)"/>
    <w:basedOn w:val="a7"/>
    <w:uiPriority w:val="99"/>
    <w:semiHidden/>
    <w:unhideWhenUsed/>
    <w:qFormat/>
    <w:pPr>
      <w:widowControl/>
      <w:adjustRightInd/>
      <w:snapToGrid/>
      <w:spacing w:before="100" w:beforeAutospacing="1" w:after="100" w:afterAutospacing="1" w:line="240" w:lineRule="auto"/>
      <w:ind w:firstLineChars="0" w:firstLine="0"/>
      <w:jc w:val="left"/>
    </w:pPr>
    <w:rPr>
      <w:rFonts w:ascii="宋体" w:eastAsia="宋体" w:hAnsi="宋体" w:cs="宋体"/>
      <w:kern w:val="0"/>
      <w:szCs w:val="24"/>
    </w:rPr>
  </w:style>
  <w:style w:type="paragraph" w:styleId="af8">
    <w:name w:val="Title"/>
    <w:basedOn w:val="a7"/>
    <w:next w:val="a7"/>
    <w:link w:val="af9"/>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fa">
    <w:name w:val="Table Grid"/>
    <w:basedOn w:val="a9"/>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uiPriority w:val="20"/>
    <w:qFormat/>
    <w:rPr>
      <w:i/>
      <w:iCs/>
    </w:rPr>
  </w:style>
  <w:style w:type="character" w:styleId="afc">
    <w:name w:val="Hyperlink"/>
    <w:basedOn w:val="a8"/>
    <w:uiPriority w:val="99"/>
    <w:unhideWhenUsed/>
    <w:qFormat/>
    <w:rPr>
      <w:color w:val="0563C1" w:themeColor="hyperlink"/>
      <w:u w:val="single"/>
    </w:rPr>
  </w:style>
  <w:style w:type="character" w:customStyle="1" w:styleId="11">
    <w:name w:val="标题 1 字符"/>
    <w:basedOn w:val="a8"/>
    <w:link w:val="10"/>
    <w:uiPriority w:val="9"/>
    <w:rPr>
      <w:rFonts w:asciiTheme="majorHAnsi" w:eastAsiaTheme="majorEastAsia" w:hAnsiTheme="majorHAnsi" w:cstheme="majorBidi"/>
      <w:color w:val="2F5496" w:themeColor="accent1" w:themeShade="BF"/>
      <w:sz w:val="48"/>
      <w:szCs w:val="48"/>
    </w:rPr>
  </w:style>
  <w:style w:type="character" w:customStyle="1" w:styleId="21">
    <w:name w:val="标题 2 字符"/>
    <w:basedOn w:val="a8"/>
    <w:link w:val="20"/>
    <w:uiPriority w:val="9"/>
    <w:semiHidden/>
    <w:rPr>
      <w:rFonts w:asciiTheme="majorHAnsi" w:eastAsiaTheme="majorEastAsia" w:hAnsiTheme="majorHAnsi" w:cstheme="majorBidi"/>
      <w:color w:val="2F5496" w:themeColor="accent1" w:themeShade="BF"/>
      <w:sz w:val="40"/>
      <w:szCs w:val="40"/>
    </w:rPr>
  </w:style>
  <w:style w:type="character" w:customStyle="1" w:styleId="31">
    <w:name w:val="标题 3 字符"/>
    <w:basedOn w:val="a8"/>
    <w:link w:val="30"/>
    <w:uiPriority w:val="9"/>
    <w:semiHidden/>
    <w:rPr>
      <w:rFonts w:asciiTheme="majorHAnsi" w:eastAsiaTheme="majorEastAsia" w:hAnsiTheme="majorHAnsi" w:cstheme="majorBidi"/>
      <w:color w:val="2F5496" w:themeColor="accent1" w:themeShade="BF"/>
      <w:sz w:val="32"/>
      <w:szCs w:val="32"/>
    </w:rPr>
  </w:style>
  <w:style w:type="character" w:customStyle="1" w:styleId="41">
    <w:name w:val="标题 4 字符"/>
    <w:basedOn w:val="a8"/>
    <w:link w:val="40"/>
    <w:uiPriority w:val="9"/>
    <w:semiHidden/>
    <w:rPr>
      <w:rFonts w:cstheme="majorBidi"/>
      <w:color w:val="2F5496" w:themeColor="accent1" w:themeShade="BF"/>
      <w:sz w:val="28"/>
      <w:szCs w:val="28"/>
    </w:rPr>
  </w:style>
  <w:style w:type="character" w:customStyle="1" w:styleId="51">
    <w:name w:val="标题 5 字符"/>
    <w:basedOn w:val="a8"/>
    <w:link w:val="50"/>
    <w:uiPriority w:val="9"/>
    <w:semiHidden/>
    <w:rPr>
      <w:rFonts w:cstheme="majorBidi"/>
      <w:color w:val="2F5496" w:themeColor="accent1" w:themeShade="BF"/>
      <w:sz w:val="24"/>
    </w:rPr>
  </w:style>
  <w:style w:type="character" w:customStyle="1" w:styleId="61">
    <w:name w:val="标题 6 字符"/>
    <w:basedOn w:val="a8"/>
    <w:link w:val="60"/>
    <w:uiPriority w:val="9"/>
    <w:semiHidden/>
    <w:rPr>
      <w:rFonts w:cstheme="majorBidi"/>
      <w:b/>
      <w:bCs/>
      <w:color w:val="2F5496" w:themeColor="accent1" w:themeShade="BF"/>
    </w:rPr>
  </w:style>
  <w:style w:type="character" w:customStyle="1" w:styleId="70">
    <w:name w:val="标题 7 字符"/>
    <w:basedOn w:val="a8"/>
    <w:link w:val="7"/>
    <w:uiPriority w:val="9"/>
    <w:semiHidden/>
    <w:rPr>
      <w:rFonts w:cstheme="majorBidi"/>
      <w:b/>
      <w:bCs/>
      <w:color w:val="595959" w:themeColor="text1" w:themeTint="A6"/>
    </w:rPr>
  </w:style>
  <w:style w:type="character" w:customStyle="1" w:styleId="80">
    <w:name w:val="标题 8 字符"/>
    <w:basedOn w:val="a8"/>
    <w:link w:val="8"/>
    <w:uiPriority w:val="9"/>
    <w:semiHidden/>
    <w:rPr>
      <w:rFonts w:cstheme="majorBidi"/>
      <w:color w:val="595959" w:themeColor="text1" w:themeTint="A6"/>
    </w:rPr>
  </w:style>
  <w:style w:type="character" w:customStyle="1" w:styleId="90">
    <w:name w:val="标题 9 字符"/>
    <w:basedOn w:val="a8"/>
    <w:link w:val="9"/>
    <w:uiPriority w:val="9"/>
    <w:semiHidden/>
    <w:qFormat/>
    <w:rPr>
      <w:rFonts w:eastAsiaTheme="majorEastAsia" w:cstheme="majorBidi"/>
      <w:color w:val="595959" w:themeColor="text1" w:themeTint="A6"/>
    </w:rPr>
  </w:style>
  <w:style w:type="character" w:customStyle="1" w:styleId="af9">
    <w:name w:val="标题 字符"/>
    <w:basedOn w:val="a8"/>
    <w:link w:val="af8"/>
    <w:uiPriority w:val="10"/>
    <w:rPr>
      <w:rFonts w:asciiTheme="majorHAnsi" w:eastAsiaTheme="majorEastAsia" w:hAnsiTheme="majorHAnsi" w:cstheme="majorBidi"/>
      <w:spacing w:val="-10"/>
      <w:kern w:val="28"/>
      <w:sz w:val="56"/>
      <w:szCs w:val="56"/>
    </w:rPr>
  </w:style>
  <w:style w:type="character" w:customStyle="1" w:styleId="af6">
    <w:name w:val="副标题 字符"/>
    <w:basedOn w:val="a8"/>
    <w:link w:val="af5"/>
    <w:uiPriority w:val="11"/>
    <w:rPr>
      <w:rFonts w:asciiTheme="majorHAnsi" w:eastAsiaTheme="majorEastAsia" w:hAnsiTheme="majorHAnsi" w:cstheme="majorBidi"/>
      <w:color w:val="595959" w:themeColor="text1" w:themeTint="A6"/>
      <w:spacing w:val="15"/>
      <w:sz w:val="28"/>
      <w:szCs w:val="28"/>
    </w:rPr>
  </w:style>
  <w:style w:type="paragraph" w:styleId="afd">
    <w:name w:val="Quote"/>
    <w:basedOn w:val="a7"/>
    <w:next w:val="a7"/>
    <w:link w:val="afe"/>
    <w:uiPriority w:val="29"/>
    <w:qFormat/>
    <w:pPr>
      <w:spacing w:before="160"/>
      <w:jc w:val="center"/>
    </w:pPr>
    <w:rPr>
      <w:i/>
      <w:iCs/>
      <w:color w:val="404040" w:themeColor="text1" w:themeTint="BF"/>
    </w:rPr>
  </w:style>
  <w:style w:type="character" w:customStyle="1" w:styleId="afe">
    <w:name w:val="引用 字符"/>
    <w:basedOn w:val="a8"/>
    <w:link w:val="afd"/>
    <w:uiPriority w:val="29"/>
    <w:rPr>
      <w:i/>
      <w:iCs/>
      <w:color w:val="404040" w:themeColor="text1" w:themeTint="BF"/>
    </w:rPr>
  </w:style>
  <w:style w:type="paragraph" w:styleId="aff">
    <w:name w:val="List Paragraph"/>
    <w:basedOn w:val="a7"/>
    <w:uiPriority w:val="99"/>
    <w:qFormat/>
    <w:pPr>
      <w:ind w:left="720"/>
      <w:contextualSpacing/>
    </w:pPr>
  </w:style>
  <w:style w:type="character" w:customStyle="1" w:styleId="12">
    <w:name w:val="明显强调1"/>
    <w:basedOn w:val="a8"/>
    <w:uiPriority w:val="21"/>
    <w:qFormat/>
    <w:rPr>
      <w:i/>
      <w:iCs/>
      <w:color w:val="2F5496" w:themeColor="accent1" w:themeShade="BF"/>
    </w:rPr>
  </w:style>
  <w:style w:type="paragraph" w:styleId="aff0">
    <w:name w:val="Intense Quote"/>
    <w:basedOn w:val="a7"/>
    <w:next w:val="a7"/>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8"/>
    <w:link w:val="aff0"/>
    <w:uiPriority w:val="30"/>
    <w:rPr>
      <w:i/>
      <w:iCs/>
      <w:color w:val="2F5496" w:themeColor="accent1" w:themeShade="BF"/>
    </w:rPr>
  </w:style>
  <w:style w:type="character" w:customStyle="1" w:styleId="13">
    <w:name w:val="明显参考1"/>
    <w:basedOn w:val="a8"/>
    <w:uiPriority w:val="32"/>
    <w:qFormat/>
    <w:rPr>
      <w:b/>
      <w:bCs/>
      <w:smallCaps/>
      <w:color w:val="2F5496" w:themeColor="accent1" w:themeShade="BF"/>
      <w:spacing w:val="5"/>
    </w:rPr>
  </w:style>
  <w:style w:type="character" w:customStyle="1" w:styleId="af4">
    <w:name w:val="页眉 字符"/>
    <w:basedOn w:val="a8"/>
    <w:link w:val="af3"/>
    <w:qFormat/>
    <w:rPr>
      <w:sz w:val="18"/>
      <w:szCs w:val="18"/>
    </w:rPr>
  </w:style>
  <w:style w:type="character" w:customStyle="1" w:styleId="af2">
    <w:name w:val="页脚 字符"/>
    <w:basedOn w:val="a8"/>
    <w:link w:val="af1"/>
    <w:qFormat/>
    <w:rPr>
      <w:sz w:val="18"/>
      <w:szCs w:val="18"/>
    </w:rPr>
  </w:style>
  <w:style w:type="paragraph" w:customStyle="1" w:styleId="1">
    <w:name w:val="1级标题"/>
    <w:qFormat/>
    <w:pPr>
      <w:numPr>
        <w:numId w:val="1"/>
      </w:numPr>
      <w:spacing w:before="217" w:after="217"/>
      <w:ind w:left="0"/>
      <w:jc w:val="both"/>
      <w:outlineLvl w:val="0"/>
    </w:pPr>
    <w:rPr>
      <w:rFonts w:eastAsia="方正黑体_GBK"/>
      <w:b/>
      <w:sz w:val="30"/>
      <w:szCs w:val="44"/>
    </w:rPr>
  </w:style>
  <w:style w:type="paragraph" w:customStyle="1" w:styleId="2">
    <w:name w:val="2级标题"/>
    <w:qFormat/>
    <w:pPr>
      <w:numPr>
        <w:ilvl w:val="1"/>
        <w:numId w:val="1"/>
      </w:numPr>
      <w:tabs>
        <w:tab w:val="left" w:pos="57"/>
      </w:tabs>
      <w:spacing w:line="360" w:lineRule="auto"/>
      <w:outlineLvl w:val="1"/>
    </w:pPr>
    <w:rPr>
      <w:rFonts w:eastAsia="方正楷体_GBK"/>
      <w:b/>
      <w:sz w:val="28"/>
      <w:szCs w:val="30"/>
    </w:rPr>
  </w:style>
  <w:style w:type="paragraph" w:customStyle="1" w:styleId="3">
    <w:name w:val="3级标题"/>
    <w:qFormat/>
    <w:pPr>
      <w:numPr>
        <w:ilvl w:val="2"/>
        <w:numId w:val="1"/>
      </w:numPr>
      <w:spacing w:line="360" w:lineRule="auto"/>
      <w:ind w:firstLine="0"/>
      <w:outlineLvl w:val="2"/>
    </w:pPr>
    <w:rPr>
      <w:rFonts w:eastAsia="方正仿宋_GBK"/>
      <w:b/>
      <w:sz w:val="28"/>
      <w:szCs w:val="28"/>
    </w:rPr>
  </w:style>
  <w:style w:type="paragraph" w:customStyle="1" w:styleId="4">
    <w:name w:val="4级标题"/>
    <w:qFormat/>
    <w:pPr>
      <w:numPr>
        <w:ilvl w:val="3"/>
        <w:numId w:val="1"/>
      </w:numPr>
      <w:spacing w:line="360" w:lineRule="auto"/>
      <w:outlineLvl w:val="3"/>
    </w:pPr>
    <w:rPr>
      <w:rFonts w:eastAsia="方正仿宋_GBK"/>
      <w:b/>
      <w:sz w:val="32"/>
      <w:szCs w:val="24"/>
    </w:rPr>
  </w:style>
  <w:style w:type="paragraph" w:customStyle="1" w:styleId="5">
    <w:name w:val="5级表头"/>
    <w:link w:val="5Char"/>
    <w:qFormat/>
    <w:pPr>
      <w:numPr>
        <w:ilvl w:val="4"/>
        <w:numId w:val="1"/>
      </w:numPr>
      <w:ind w:left="0" w:firstLine="0"/>
      <w:jc w:val="center"/>
    </w:pPr>
    <w:rPr>
      <w:rFonts w:eastAsia="方正仿宋_GBK"/>
      <w:b/>
      <w:bCs/>
      <w:sz w:val="24"/>
    </w:rPr>
  </w:style>
  <w:style w:type="character" w:customStyle="1" w:styleId="5Char">
    <w:name w:val="5级表头 Char"/>
    <w:link w:val="5"/>
    <w:qFormat/>
    <w:rPr>
      <w:rFonts w:ascii="Times New Roman" w:eastAsia="方正仿宋_GBK" w:hAnsi="Times New Roman" w:cs="Times New Roman"/>
      <w:b/>
      <w:bCs/>
      <w:sz w:val="24"/>
    </w:rPr>
  </w:style>
  <w:style w:type="paragraph" w:customStyle="1" w:styleId="6">
    <w:name w:val="6级图头"/>
    <w:qFormat/>
    <w:pPr>
      <w:numPr>
        <w:ilvl w:val="5"/>
        <w:numId w:val="1"/>
      </w:numPr>
      <w:spacing w:afterLines="100" w:after="100" w:line="360" w:lineRule="auto"/>
      <w:ind w:firstLine="0"/>
      <w:jc w:val="center"/>
    </w:pPr>
    <w:rPr>
      <w:rFonts w:eastAsia="方正仿宋_GBK"/>
      <w:b/>
      <w:sz w:val="24"/>
    </w:rPr>
  </w:style>
  <w:style w:type="paragraph" w:customStyle="1" w:styleId="aff2">
    <w:name w:val="表格内容"/>
    <w:basedOn w:val="a7"/>
    <w:link w:val="aff3"/>
    <w:autoRedefine/>
    <w:qFormat/>
    <w:pPr>
      <w:widowControl/>
      <w:spacing w:line="240" w:lineRule="atLeast"/>
      <w:ind w:firstLineChars="0" w:firstLine="0"/>
      <w:jc w:val="center"/>
    </w:pPr>
    <w:rPr>
      <w:rFonts w:cs="宋体"/>
      <w:kern w:val="0"/>
    </w:rPr>
  </w:style>
  <w:style w:type="character" w:customStyle="1" w:styleId="aff3">
    <w:name w:val="表格内容 字符"/>
    <w:basedOn w:val="a8"/>
    <w:link w:val="aff2"/>
    <w:qFormat/>
    <w:rPr>
      <w:rFonts w:ascii="Times New Roman" w:eastAsia="方正仿宋_GBK" w:hAnsi="Times New Roman" w:cs="宋体"/>
      <w:sz w:val="24"/>
      <w:szCs w:val="22"/>
    </w:rPr>
  </w:style>
  <w:style w:type="paragraph" w:customStyle="1" w:styleId="EndNoteBibliographyTitle">
    <w:name w:val="EndNote Bibliography Title"/>
    <w:basedOn w:val="a7"/>
    <w:link w:val="EndNoteBibliographyTitle0"/>
    <w:pPr>
      <w:jc w:val="center"/>
    </w:pPr>
    <w:rPr>
      <w:rFonts w:cs="Times New Roman"/>
    </w:rPr>
  </w:style>
  <w:style w:type="character" w:customStyle="1" w:styleId="EndNoteBibliographyTitle0">
    <w:name w:val="EndNote Bibliography Title 字符"/>
    <w:basedOn w:val="a8"/>
    <w:link w:val="EndNoteBibliographyTitle"/>
    <w:rPr>
      <w:rFonts w:ascii="Times New Roman" w:eastAsia="方正仿宋_GBK" w:hAnsi="Times New Roman" w:cs="Times New Roman"/>
      <w:sz w:val="32"/>
      <w:szCs w:val="22"/>
      <w14:ligatures w14:val="none"/>
    </w:rPr>
  </w:style>
  <w:style w:type="paragraph" w:customStyle="1" w:styleId="EndNoteBibliography">
    <w:name w:val="EndNote Bibliography"/>
    <w:basedOn w:val="a7"/>
    <w:link w:val="EndNoteBibliography0"/>
    <w:pPr>
      <w:spacing w:line="240" w:lineRule="auto"/>
    </w:pPr>
    <w:rPr>
      <w:rFonts w:cs="Times New Roman"/>
    </w:rPr>
  </w:style>
  <w:style w:type="character" w:customStyle="1" w:styleId="EndNoteBibliography0">
    <w:name w:val="EndNote Bibliography 字符"/>
    <w:basedOn w:val="a8"/>
    <w:link w:val="EndNoteBibliography"/>
    <w:qFormat/>
    <w:rPr>
      <w:rFonts w:ascii="Times New Roman" w:eastAsia="方正仿宋_GBK" w:hAnsi="Times New Roman" w:cs="Times New Roman"/>
      <w:sz w:val="32"/>
      <w:szCs w:val="22"/>
      <w14:ligatures w14:val="none"/>
    </w:rPr>
  </w:style>
  <w:style w:type="character" w:customStyle="1" w:styleId="ac">
    <w:name w:val="正文文本 字符"/>
    <w:basedOn w:val="a8"/>
    <w:link w:val="ab"/>
    <w:uiPriority w:val="99"/>
    <w:qFormat/>
    <w:rPr>
      <w:rFonts w:ascii="Times New Roman" w:eastAsia="方正仿宋_GBK" w:hAnsi="Times New Roman" w:cs="Times New Roman"/>
      <w:sz w:val="32"/>
      <w:szCs w:val="20"/>
      <w14:ligatures w14:val="none"/>
    </w:rPr>
  </w:style>
  <w:style w:type="character" w:customStyle="1" w:styleId="110">
    <w:name w:val="明显参考11"/>
    <w:uiPriority w:val="32"/>
    <w:qFormat/>
    <w:rPr>
      <w:b/>
      <w:sz w:val="24"/>
      <w:u w:val="single"/>
    </w:rPr>
  </w:style>
  <w:style w:type="character" w:customStyle="1" w:styleId="ae">
    <w:name w:val="日期 字符"/>
    <w:basedOn w:val="a8"/>
    <w:link w:val="ad"/>
    <w:uiPriority w:val="99"/>
    <w:semiHidden/>
    <w:qFormat/>
    <w:rPr>
      <w:rFonts w:ascii="Times New Roman" w:eastAsia="方正仿宋_GBK" w:hAnsi="Times New Roman"/>
      <w:sz w:val="32"/>
      <w:szCs w:val="22"/>
      <w14:ligatures w14:val="none"/>
    </w:rPr>
  </w:style>
  <w:style w:type="character" w:customStyle="1" w:styleId="23">
    <w:name w:val="正文文本 2 字符"/>
    <w:basedOn w:val="a8"/>
    <w:link w:val="22"/>
    <w:qFormat/>
    <w:rPr>
      <w:sz w:val="21"/>
      <w14:ligatures w14:val="none"/>
    </w:rPr>
  </w:style>
  <w:style w:type="character" w:customStyle="1" w:styleId="af0">
    <w:name w:val="批注框文本 字符"/>
    <w:basedOn w:val="a8"/>
    <w:link w:val="af"/>
    <w:rPr>
      <w:sz w:val="18"/>
      <w:szCs w:val="18"/>
      <w14:ligatures w14:val="none"/>
    </w:rPr>
  </w:style>
  <w:style w:type="paragraph" w:customStyle="1" w:styleId="a3">
    <w:name w:val="标准文件_二级条标题"/>
    <w:next w:val="a7"/>
    <w:pPr>
      <w:widowControl w:val="0"/>
      <w:numPr>
        <w:ilvl w:val="3"/>
        <w:numId w:val="2"/>
      </w:numPr>
      <w:spacing w:beforeLines="50" w:before="50" w:afterLines="50" w:after="50"/>
      <w:jc w:val="both"/>
      <w:outlineLvl w:val="2"/>
    </w:pPr>
    <w:rPr>
      <w:rFonts w:ascii="黑体" w:eastAsia="黑体"/>
      <w:sz w:val="21"/>
    </w:rPr>
  </w:style>
  <w:style w:type="paragraph" w:customStyle="1" w:styleId="a4">
    <w:name w:val="标准文件_三级条标题"/>
    <w:basedOn w:val="a3"/>
    <w:next w:val="a7"/>
    <w:pPr>
      <w:widowControl/>
      <w:numPr>
        <w:ilvl w:val="4"/>
      </w:numPr>
      <w:outlineLvl w:val="3"/>
    </w:pPr>
  </w:style>
  <w:style w:type="paragraph" w:customStyle="1" w:styleId="a5">
    <w:name w:val="标准文件_四级条标题"/>
    <w:next w:val="a7"/>
    <w:qFormat/>
    <w:pPr>
      <w:widowControl w:val="0"/>
      <w:numPr>
        <w:ilvl w:val="5"/>
        <w:numId w:val="2"/>
      </w:numPr>
      <w:spacing w:beforeLines="50" w:before="50" w:afterLines="50" w:after="50"/>
      <w:jc w:val="both"/>
      <w:outlineLvl w:val="4"/>
    </w:pPr>
    <w:rPr>
      <w:rFonts w:ascii="黑体" w:eastAsia="黑体"/>
      <w:sz w:val="21"/>
    </w:rPr>
  </w:style>
  <w:style w:type="paragraph" w:customStyle="1" w:styleId="a6">
    <w:name w:val="标准文件_五级条标题"/>
    <w:next w:val="a7"/>
    <w:pPr>
      <w:widowControl w:val="0"/>
      <w:numPr>
        <w:ilvl w:val="6"/>
        <w:numId w:val="2"/>
      </w:numPr>
      <w:spacing w:beforeLines="50" w:before="50" w:afterLines="50" w:after="50"/>
      <w:jc w:val="both"/>
      <w:outlineLvl w:val="5"/>
    </w:pPr>
    <w:rPr>
      <w:rFonts w:ascii="黑体" w:eastAsia="黑体"/>
      <w:sz w:val="21"/>
    </w:rPr>
  </w:style>
  <w:style w:type="paragraph" w:customStyle="1" w:styleId="a1">
    <w:name w:val="标准文件_章标题"/>
    <w:next w:val="a7"/>
    <w:pPr>
      <w:numPr>
        <w:ilvl w:val="1"/>
        <w:numId w:val="2"/>
      </w:numPr>
      <w:spacing w:beforeLines="100" w:before="100" w:afterLines="100" w:after="100"/>
      <w:jc w:val="both"/>
      <w:outlineLvl w:val="0"/>
    </w:pPr>
    <w:rPr>
      <w:rFonts w:ascii="黑体" w:eastAsia="黑体"/>
      <w:sz w:val="21"/>
    </w:rPr>
  </w:style>
  <w:style w:type="paragraph" w:customStyle="1" w:styleId="a2">
    <w:name w:val="标准文件_一级条标题"/>
    <w:basedOn w:val="a1"/>
    <w:next w:val="a7"/>
    <w:pPr>
      <w:numPr>
        <w:ilvl w:val="2"/>
      </w:numPr>
      <w:spacing w:beforeLines="50" w:before="50" w:afterLines="50" w:after="50"/>
      <w:ind w:left="0"/>
      <w:outlineLvl w:val="1"/>
    </w:pPr>
  </w:style>
  <w:style w:type="paragraph" w:customStyle="1" w:styleId="a0">
    <w:name w:val="前言标题"/>
    <w:next w:val="a7"/>
    <w:qFormat/>
    <w:pPr>
      <w:numPr>
        <w:numId w:val="2"/>
      </w:numPr>
      <w:shd w:val="clear" w:color="FFFFFF" w:fill="FFFFFF"/>
      <w:spacing w:before="540" w:after="600"/>
      <w:jc w:val="center"/>
      <w:outlineLvl w:val="0"/>
    </w:pPr>
    <w:rPr>
      <w:rFonts w:ascii="黑体" w:eastAsia="黑体"/>
      <w:sz w:val="32"/>
    </w:rPr>
  </w:style>
  <w:style w:type="character" w:customStyle="1" w:styleId="14">
    <w:name w:val="未处理的提及1"/>
    <w:basedOn w:val="a8"/>
    <w:uiPriority w:val="99"/>
    <w:semiHidden/>
    <w:unhideWhenUsed/>
    <w:rPr>
      <w:color w:val="605E5C"/>
      <w:shd w:val="clear" w:color="auto" w:fill="E1DFDD"/>
    </w:rPr>
  </w:style>
  <w:style w:type="paragraph" w:customStyle="1" w:styleId="15">
    <w:name w:val="修订1"/>
    <w:hidden/>
    <w:uiPriority w:val="99"/>
    <w:semiHidden/>
    <w:rPr>
      <w:rFonts w:eastAsia="方正仿宋_GBK" w:cstheme="minorBidi"/>
      <w:kern w:val="2"/>
      <w:sz w:val="32"/>
      <w:szCs w:val="22"/>
    </w:rPr>
  </w:style>
  <w:style w:type="character" w:customStyle="1" w:styleId="zm">
    <w:name w:val="zm表内 字符"/>
    <w:basedOn w:val="a8"/>
    <w:qFormat/>
    <w:rPr>
      <w:rFonts w:ascii="Times New Roman" w:eastAsia="方正仿宋_GBK" w:hAnsi="Times New Roman" w:cs="宋体"/>
      <w:kern w:val="0"/>
      <w:sz w:val="24"/>
    </w:rPr>
  </w:style>
  <w:style w:type="character" w:customStyle="1" w:styleId="24">
    <w:name w:val="未处理的提及2"/>
    <w:basedOn w:val="a8"/>
    <w:uiPriority w:val="99"/>
    <w:semiHidden/>
    <w:unhideWhenUsed/>
    <w:rPr>
      <w:color w:val="605E5C"/>
      <w:shd w:val="clear" w:color="auto" w:fill="E1DFDD"/>
    </w:rPr>
  </w:style>
  <w:style w:type="paragraph" w:customStyle="1" w:styleId="25">
    <w:name w:val="修订2"/>
    <w:hidden/>
    <w:uiPriority w:val="99"/>
    <w:unhideWhenUsed/>
    <w:rPr>
      <w:rFonts w:eastAsia="方正仿宋_GBK" w:cstheme="minorBidi"/>
      <w:kern w:val="2"/>
      <w:sz w:val="28"/>
      <w:szCs w:val="22"/>
    </w:rPr>
  </w:style>
  <w:style w:type="paragraph" w:customStyle="1" w:styleId="a">
    <w:name w:val="标准文件_正文表标题"/>
    <w:next w:val="a7"/>
    <w:qFormat/>
    <w:pPr>
      <w:numPr>
        <w:numId w:val="3"/>
      </w:numPr>
      <w:tabs>
        <w:tab w:val="left" w:pos="0"/>
      </w:tabs>
      <w:spacing w:beforeLines="50" w:before="50" w:afterLines="50" w:after="50"/>
      <w:jc w:val="center"/>
    </w:pPr>
    <w:rPr>
      <w:rFonts w:ascii="黑体" w:eastAsia="黑体"/>
      <w:sz w:val="21"/>
    </w:rPr>
  </w:style>
  <w:style w:type="paragraph" w:customStyle="1" w:styleId="aff4">
    <w:name w:val="标准文件_表格"/>
    <w:basedOn w:val="a7"/>
    <w:qFormat/>
    <w:pPr>
      <w:widowControl/>
      <w:autoSpaceDE w:val="0"/>
      <w:autoSpaceDN w:val="0"/>
      <w:adjustRightInd/>
      <w:snapToGrid/>
      <w:spacing w:line="240" w:lineRule="auto"/>
      <w:ind w:firstLineChars="0" w:firstLine="0"/>
      <w:jc w:val="center"/>
    </w:pPr>
    <w:rPr>
      <w:rFonts w:eastAsia="宋体"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F1D43E82-6B8D-421E-B9E9-EC5B2412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7743</Words>
  <Characters>7976</Characters>
  <Application>Microsoft Office Word</Application>
  <DocSecurity>0</DocSecurity>
  <Lines>362</Lines>
  <Paragraphs>157</Paragraphs>
  <ScaleCrop>false</ScaleCrop>
  <Company>HP Inc.</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明星 王</dc:creator>
  <cp:lastModifiedBy>明星 王</cp:lastModifiedBy>
  <cp:revision>8</cp:revision>
  <cp:lastPrinted>2026-05-21T01:00:00Z</cp:lastPrinted>
  <dcterms:created xsi:type="dcterms:W3CDTF">2026-05-19T07:53:00Z</dcterms:created>
  <dcterms:modified xsi:type="dcterms:W3CDTF">2026-05-21T04:29:00Z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C4C5C6AF145ABD6DF97CBF69463195EC_42</vt:lpwstr>
  </property>
  <property fmtid="{D5CDD505-2E9C-101B-9397-08002B2CF9AE}" pid="4" name="KSOTemplateDocerSaveRecord">
    <vt:lpwstr>eyJoZGlkIjoiMDBhNWQ3ZGIzOTU5MWEwYTUxZDFkNGIyMjEzNmI2YWIiLCJ1c2VySWQiOiI0MTkxOTg5NjQifQ==</vt:lpwstr>
  </property>
</Properties>
</file>