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4"/>
        </w:tabs>
        <w:jc w:val="left"/>
        <w:rPr>
          <w:rFonts w:ascii="宋体" w:hAnsi="宋体" w:cs="宋体"/>
          <w:color w:val="000000" w:themeColor="text1"/>
          <w14:textFill>
            <w14:solidFill>
              <w14:schemeClr w14:val="tx1"/>
            </w14:solidFill>
          </w14:textFill>
        </w:rPr>
      </w:pPr>
    </w:p>
    <w:p>
      <w:pPr>
        <w:ind w:firstLine="1000" w:firstLineChars="100"/>
        <w:outlineLvl w:val="0"/>
        <w:rPr>
          <w:rFonts w:ascii="宋体" w:hAnsi="宋体" w:cs="宋体"/>
          <w:color w:val="000000" w:themeColor="text1"/>
          <w:spacing w:val="80"/>
          <w:sz w:val="84"/>
          <w:szCs w:val="84"/>
          <w14:textFill>
            <w14:solidFill>
              <w14:schemeClr w14:val="tx1"/>
            </w14:solidFill>
          </w14:textFill>
        </w:rPr>
      </w:pPr>
      <w:r>
        <w:rPr>
          <w:rFonts w:hint="eastAsia" w:ascii="宋体" w:hAnsi="宋体" w:cs="宋体"/>
          <w:color w:val="000000" w:themeColor="text1"/>
          <w:spacing w:val="80"/>
          <w:sz w:val="84"/>
          <w:szCs w:val="84"/>
          <w14:textFill>
            <w14:solidFill>
              <w14:schemeClr w14:val="tx1"/>
            </w14:solidFill>
          </w14:textFill>
        </w:rPr>
        <w:t>竞争性磋商文件</w:t>
      </w:r>
    </w:p>
    <w:p>
      <w:pPr>
        <w:spacing w:line="700" w:lineRule="exact"/>
        <w:jc w:val="center"/>
        <w:rPr>
          <w:rFonts w:ascii="宋体" w:hAnsi="宋体" w:cs="宋体"/>
          <w:color w:val="000000" w:themeColor="text1"/>
          <w:sz w:val="32"/>
          <w14:textFill>
            <w14:solidFill>
              <w14:schemeClr w14:val="tx1"/>
            </w14:solidFill>
          </w14:textFill>
        </w:rPr>
      </w:pPr>
    </w:p>
    <w:p>
      <w:pPr>
        <w:tabs>
          <w:tab w:val="center" w:pos="4766"/>
          <w:tab w:val="right" w:pos="9412"/>
        </w:tabs>
        <w:jc w:val="left"/>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ab/>
      </w:r>
      <w:r>
        <w:rPr>
          <w:rFonts w:hint="eastAsia" w:ascii="宋体" w:hAnsi="宋体" w:cs="宋体"/>
          <w:color w:val="000000" w:themeColor="text1"/>
          <w:sz w:val="32"/>
          <w14:textFill>
            <w14:solidFill>
              <w14:schemeClr w14:val="tx1"/>
            </w14:solidFill>
          </w14:textFill>
        </w:rPr>
        <w:drawing>
          <wp:inline distT="0" distB="0" distL="114300" distR="114300">
            <wp:extent cx="1905000" cy="1762125"/>
            <wp:effectExtent l="0" t="0" r="0" b="9525"/>
            <wp:docPr id="1" name="图片 1" descr="fbe40ee4982cf200ef9ed2230b20b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be40ee4982cf200ef9ed2230b20b83"/>
                    <pic:cNvPicPr>
                      <a:picLocks noChangeAspect="1"/>
                    </pic:cNvPicPr>
                  </pic:nvPicPr>
                  <pic:blipFill>
                    <a:blip r:embed="rId21"/>
                    <a:stretch>
                      <a:fillRect/>
                    </a:stretch>
                  </pic:blipFill>
                  <pic:spPr>
                    <a:xfrm>
                      <a:off x="0" y="0"/>
                      <a:ext cx="1905000" cy="1762125"/>
                    </a:xfrm>
                    <a:prstGeom prst="rect">
                      <a:avLst/>
                    </a:prstGeom>
                  </pic:spPr>
                </pic:pic>
              </a:graphicData>
            </a:graphic>
          </wp:inline>
        </w:drawing>
      </w:r>
      <w:r>
        <w:rPr>
          <w:rFonts w:hint="eastAsia" w:ascii="宋体" w:hAnsi="宋体" w:cs="宋体"/>
          <w:color w:val="000000" w:themeColor="text1"/>
          <w:sz w:val="32"/>
          <w14:textFill>
            <w14:solidFill>
              <w14:schemeClr w14:val="tx1"/>
            </w14:solidFill>
          </w14:textFill>
        </w:rPr>
        <w:tab/>
      </w:r>
    </w:p>
    <w:p>
      <w:pPr>
        <w:spacing w:line="700" w:lineRule="exact"/>
        <w:rPr>
          <w:rFonts w:ascii="宋体" w:hAnsi="宋体" w:cs="宋体"/>
          <w:color w:val="000000" w:themeColor="text1"/>
          <w:sz w:val="32"/>
          <w14:textFill>
            <w14:solidFill>
              <w14:schemeClr w14:val="tx1"/>
            </w14:solidFill>
          </w14:textFill>
        </w:rPr>
      </w:pPr>
    </w:p>
    <w:p>
      <w:pPr>
        <w:spacing w:line="700" w:lineRule="exact"/>
        <w:ind w:firstLine="960" w:firstLineChars="300"/>
        <w:rPr>
          <w:rFonts w:ascii="宋体" w:hAnsi="宋体" w:cs="宋体"/>
          <w:color w:val="000000" w:themeColor="text1"/>
          <w:sz w:val="32"/>
          <w:szCs w:val="32"/>
          <w14:textFill>
            <w14:solidFill>
              <w14:schemeClr w14:val="tx1"/>
            </w14:solidFill>
          </w14:textFill>
        </w:rPr>
      </w:pPr>
    </w:p>
    <w:p>
      <w:pPr>
        <w:spacing w:line="700" w:lineRule="exact"/>
        <w:ind w:firstLine="960" w:firstLineChars="300"/>
        <w:rPr>
          <w:rFonts w:ascii="宋体" w:hAnsi="宋体" w:cs="宋体"/>
          <w:color w:val="000000" w:themeColor="text1"/>
          <w:sz w:val="32"/>
          <w:szCs w:val="32"/>
          <w14:textFill>
            <w14:solidFill>
              <w14:schemeClr w14:val="tx1"/>
            </w14:solidFill>
          </w14:textFill>
        </w:rPr>
      </w:pPr>
    </w:p>
    <w:p>
      <w:pPr>
        <w:spacing w:line="700" w:lineRule="exact"/>
        <w:ind w:firstLine="960" w:firstLineChars="300"/>
        <w:rPr>
          <w:rFonts w:hint="default"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采购执行编号：DCZB-CQ-0</w:t>
      </w:r>
      <w:r>
        <w:rPr>
          <w:rFonts w:hint="eastAsia" w:ascii="宋体" w:hAnsi="宋体" w:cs="宋体"/>
          <w:color w:val="000000" w:themeColor="text1"/>
          <w:sz w:val="32"/>
          <w:szCs w:val="32"/>
          <w:lang w:val="en-US" w:eastAsia="zh-CN"/>
          <w14:textFill>
            <w14:solidFill>
              <w14:schemeClr w14:val="tx1"/>
            </w14:solidFill>
          </w14:textFill>
        </w:rPr>
        <w:t>468</w:t>
      </w:r>
    </w:p>
    <w:p>
      <w:pPr>
        <w:spacing w:line="700" w:lineRule="exact"/>
        <w:ind w:firstLine="960" w:firstLineChars="300"/>
        <w:rPr>
          <w:rFonts w:ascii="宋体" w:hAnsi="宋体" w:cs="宋体"/>
          <w:color w:val="FF0000"/>
          <w:sz w:val="32"/>
          <w:szCs w:val="32"/>
        </w:rPr>
      </w:pPr>
      <w:r>
        <w:rPr>
          <w:rFonts w:hint="eastAsia" w:ascii="宋体" w:hAnsi="宋体" w:cs="宋体"/>
          <w:color w:val="000000" w:themeColor="text1"/>
          <w:sz w:val="32"/>
          <w:szCs w:val="32"/>
          <w14:textFill>
            <w14:solidFill>
              <w14:schemeClr w14:val="tx1"/>
            </w14:solidFill>
          </w14:textFill>
        </w:rPr>
        <w:t>项目名称</w:t>
      </w:r>
      <w:r>
        <w:rPr>
          <w:rFonts w:hint="eastAsia" w:ascii="宋体" w:hAnsi="宋体" w:cs="宋体"/>
          <w:color w:val="auto"/>
          <w:sz w:val="32"/>
          <w:szCs w:val="32"/>
        </w:rPr>
        <w:t>：重庆市生态环境政务信息系统运维</w:t>
      </w:r>
      <w:bookmarkStart w:id="135" w:name="_GoBack"/>
      <w:bookmarkEnd w:id="135"/>
    </w:p>
    <w:p>
      <w:pPr>
        <w:spacing w:line="700" w:lineRule="exact"/>
        <w:ind w:firstLine="960" w:firstLineChars="300"/>
        <w:rPr>
          <w:rFonts w:ascii="宋体" w:hAnsi="宋体" w:cs="宋体"/>
          <w:color w:val="000000" w:themeColor="text1"/>
          <w:sz w:val="32"/>
          <w:szCs w:val="32"/>
          <w14:textFill>
            <w14:solidFill>
              <w14:schemeClr w14:val="tx1"/>
            </w14:solidFill>
          </w14:textFill>
        </w:rPr>
      </w:pPr>
    </w:p>
    <w:p>
      <w:pPr>
        <w:spacing w:line="700" w:lineRule="exact"/>
        <w:ind w:firstLine="960" w:firstLineChars="3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   购   人：重庆市生态环境大数据应用中心</w:t>
      </w:r>
    </w:p>
    <w:p>
      <w:pPr>
        <w:spacing w:line="700" w:lineRule="exact"/>
        <w:ind w:firstLine="960" w:firstLineChars="3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采购代理机构：重庆鼎创招标代理有限公司</w:t>
      </w:r>
    </w:p>
    <w:p>
      <w:pPr>
        <w:spacing w:line="720" w:lineRule="exact"/>
        <w:ind w:firstLine="3200" w:firstLineChars="1000"/>
        <w:outlineLvl w:val="0"/>
        <w:rPr>
          <w:rFonts w:ascii="宋体" w:hAnsi="宋体" w:cs="宋体"/>
          <w:color w:val="000000" w:themeColor="text1"/>
          <w:sz w:val="32"/>
          <w:szCs w:val="32"/>
          <w14:textFill>
            <w14:solidFill>
              <w14:schemeClr w14:val="tx1"/>
            </w14:solidFill>
          </w14:textFill>
        </w:rPr>
      </w:pPr>
    </w:p>
    <w:p>
      <w:pPr>
        <w:spacing w:line="720" w:lineRule="exact"/>
        <w:ind w:firstLine="3200" w:firstLineChars="1000"/>
        <w:outlineLvl w:val="0"/>
        <w:rPr>
          <w:rFonts w:ascii="宋体" w:hAnsi="宋体" w:cs="宋体"/>
          <w:color w:val="000000" w:themeColor="text1"/>
          <w:sz w:val="32"/>
          <w:szCs w:val="32"/>
          <w14:textFill>
            <w14:solidFill>
              <w14:schemeClr w14:val="tx1"/>
            </w14:solidFill>
          </w14:textFill>
        </w:rPr>
      </w:pPr>
    </w:p>
    <w:p>
      <w:pPr>
        <w:spacing w:line="720" w:lineRule="exact"/>
        <w:ind w:firstLine="3200" w:firstLineChars="100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二〇二二 年六月</w:t>
      </w:r>
    </w:p>
    <w:p>
      <w:pPr>
        <w:spacing w:line="720" w:lineRule="exact"/>
        <w:jc w:val="center"/>
        <w:outlineLvl w:val="0"/>
        <w:rPr>
          <w:rFonts w:ascii="宋体" w:hAnsi="宋体" w:cs="宋体"/>
          <w:color w:val="000000" w:themeColor="text1"/>
          <w:sz w:val="44"/>
          <w:szCs w:val="28"/>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br w:type="page"/>
      </w:r>
      <w:r>
        <w:rPr>
          <w:rFonts w:hint="eastAsia" w:ascii="宋体" w:hAnsi="宋体" w:cs="宋体"/>
          <w:color w:val="000000" w:themeColor="text1"/>
          <w:sz w:val="44"/>
          <w:szCs w:val="28"/>
          <w14:textFill>
            <w14:solidFill>
              <w14:schemeClr w14:val="tx1"/>
            </w14:solidFill>
          </w14:textFill>
        </w:rPr>
        <w:t>目   录</w:t>
      </w:r>
    </w:p>
    <w:p>
      <w:pPr>
        <w:pStyle w:val="45"/>
        <w:tabs>
          <w:tab w:val="right" w:leader="dot" w:pos="9412"/>
        </w:tabs>
        <w:ind w:left="56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TOC \o "1-3" \h \z </w:instrText>
      </w:r>
      <w:r>
        <w:rPr>
          <w:rFonts w:hint="eastAsia" w:ascii="宋体" w:hAnsi="宋体" w:cs="宋体"/>
          <w:color w:val="000000" w:themeColor="text1"/>
          <w:sz w:val="24"/>
          <w:szCs w:val="24"/>
          <w14:textFill>
            <w14:solidFill>
              <w14:schemeClr w14:val="tx1"/>
            </w14:solidFill>
          </w14:textFill>
        </w:rPr>
        <w:fldChar w:fldCharType="separate"/>
      </w:r>
      <w:r>
        <w:fldChar w:fldCharType="begin"/>
      </w:r>
      <w:r>
        <w:instrText xml:space="preserve"> HYPERLINK \l "_Toc31877" </w:instrText>
      </w:r>
      <w:r>
        <w:fldChar w:fldCharType="separate"/>
      </w:r>
      <w:r>
        <w:rPr>
          <w:rFonts w:hint="eastAsia" w:ascii="宋体" w:hAnsi="宋体" w:cs="宋体"/>
          <w:sz w:val="24"/>
          <w:szCs w:val="24"/>
        </w:rPr>
        <w:t>第一篇  采购邀请书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_Toc31877 \h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"_Toc16818" </w:instrText>
      </w:r>
      <w:r>
        <w:fldChar w:fldCharType="separate"/>
      </w:r>
      <w:r>
        <w:rPr>
          <w:rFonts w:hint="eastAsia" w:ascii="宋体" w:hAnsi="宋体" w:cs="宋体"/>
          <w:sz w:val="24"/>
          <w:szCs w:val="24"/>
        </w:rPr>
        <w:t>一、竞争性磋商内容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_Toc16818 \h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"_Toc19323" </w:instrText>
      </w:r>
      <w:r>
        <w:fldChar w:fldCharType="separate"/>
      </w:r>
      <w:r>
        <w:rPr>
          <w:rFonts w:hint="eastAsia" w:ascii="宋体" w:hAnsi="宋体" w:cs="宋体"/>
          <w:sz w:val="24"/>
          <w:szCs w:val="24"/>
        </w:rPr>
        <w:t>二、资金来源</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_Toc19323 \h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"_Toc28454" </w:instrText>
      </w:r>
      <w:r>
        <w:fldChar w:fldCharType="separate"/>
      </w:r>
      <w:r>
        <w:rPr>
          <w:rFonts w:hint="eastAsia" w:ascii="宋体" w:hAnsi="宋体" w:cs="宋体"/>
          <w:sz w:val="24"/>
          <w:szCs w:val="24"/>
        </w:rPr>
        <w:t>三、供应商资格要求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_Toc28454 \h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"_Toc6727" </w:instrText>
      </w:r>
      <w:r>
        <w:fldChar w:fldCharType="separate"/>
      </w:r>
      <w:r>
        <w:rPr>
          <w:rFonts w:hint="eastAsia" w:ascii="宋体" w:hAnsi="宋体" w:cs="宋体"/>
          <w:sz w:val="24"/>
          <w:szCs w:val="24"/>
        </w:rPr>
        <w:t>四、磋商有关说明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_Toc6727 \h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color w:val="000000" w:themeColor="text1"/>
          <w:sz w:val="24"/>
          <w:szCs w:val="24"/>
          <w14:textFill>
            <w14:solidFill>
              <w14:schemeClr w14:val="tx1"/>
            </w14:solidFill>
          </w14:textFill>
        </w:rPr>
      </w:pPr>
      <w:r>
        <w:fldChar w:fldCharType="begin"/>
      </w:r>
      <w:r>
        <w:instrText xml:space="preserve"> HYPERLINK \l "_Toc6727" </w:instrText>
      </w:r>
      <w:r>
        <w:fldChar w:fldCharType="separate"/>
      </w:r>
      <w:r>
        <w:rPr>
          <w:rFonts w:hint="eastAsia" w:ascii="宋体" w:hAnsi="宋体" w:cs="宋体"/>
          <w:sz w:val="24"/>
          <w:szCs w:val="24"/>
        </w:rPr>
        <w:t>五、磋商保证金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_Toc6727 \h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"_Toc2796" </w:instrText>
      </w:r>
      <w:r>
        <w:fldChar w:fldCharType="separate"/>
      </w:r>
      <w:r>
        <w:rPr>
          <w:rFonts w:hint="eastAsia" w:ascii="宋体" w:hAnsi="宋体" w:cs="宋体"/>
          <w:sz w:val="24"/>
          <w:szCs w:val="24"/>
        </w:rPr>
        <w:t>六、采购项目需落实的政府采购政策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_Toc2796 \h </w:instrText>
      </w:r>
      <w:r>
        <w:rPr>
          <w:rFonts w:hint="eastAsia" w:ascii="宋体" w:hAnsi="宋体" w:cs="宋体"/>
          <w:sz w:val="24"/>
          <w:szCs w:val="24"/>
        </w:rPr>
        <w:fldChar w:fldCharType="separate"/>
      </w:r>
      <w:r>
        <w:rPr>
          <w:rFonts w:hint="eastAsia" w:ascii="宋体" w:hAnsi="宋体" w:cs="宋体"/>
          <w:sz w:val="24"/>
          <w:szCs w:val="24"/>
        </w:rPr>
        <w:t>- 5 -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"_Toc1425" </w:instrText>
      </w:r>
      <w:r>
        <w:fldChar w:fldCharType="separate"/>
      </w:r>
      <w:r>
        <w:rPr>
          <w:rFonts w:hint="eastAsia" w:ascii="宋体" w:hAnsi="宋体" w:cs="宋体"/>
          <w:sz w:val="24"/>
          <w:szCs w:val="24"/>
        </w:rPr>
        <w:t>七、其它有关规定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_Toc1425 \h </w:instrText>
      </w:r>
      <w:r>
        <w:rPr>
          <w:rFonts w:hint="eastAsia" w:ascii="宋体" w:hAnsi="宋体" w:cs="宋体"/>
          <w:sz w:val="24"/>
          <w:szCs w:val="24"/>
        </w:rPr>
        <w:fldChar w:fldCharType="separate"/>
      </w:r>
      <w:r>
        <w:rPr>
          <w:rFonts w:hint="eastAsia" w:ascii="宋体" w:hAnsi="宋体" w:cs="宋体"/>
          <w:sz w:val="24"/>
          <w:szCs w:val="24"/>
        </w:rPr>
        <w:t>- 5 -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"_Toc2002" </w:instrText>
      </w:r>
      <w:r>
        <w:fldChar w:fldCharType="separate"/>
      </w:r>
      <w:r>
        <w:rPr>
          <w:rFonts w:hint="eastAsia" w:ascii="宋体" w:hAnsi="宋体" w:cs="宋体"/>
          <w:sz w:val="24"/>
          <w:szCs w:val="24"/>
        </w:rPr>
        <w:t>八、联系方式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_Toc2002 \h </w:instrText>
      </w:r>
      <w:r>
        <w:rPr>
          <w:rFonts w:hint="eastAsia" w:ascii="宋体" w:hAnsi="宋体" w:cs="宋体"/>
          <w:sz w:val="24"/>
          <w:szCs w:val="24"/>
        </w:rPr>
        <w:fldChar w:fldCharType="separate"/>
      </w:r>
      <w:r>
        <w:rPr>
          <w:rFonts w:hint="eastAsia" w:ascii="宋体" w:hAnsi="宋体" w:cs="宋体"/>
          <w:sz w:val="24"/>
          <w:szCs w:val="24"/>
        </w:rPr>
        <w:t>- 6 -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12"/>
        </w:tabs>
        <w:ind w:left="560"/>
        <w:rPr>
          <w:rFonts w:ascii="宋体" w:hAnsi="宋体" w:cs="宋体"/>
          <w:sz w:val="24"/>
          <w:szCs w:val="24"/>
        </w:rPr>
      </w:pPr>
      <w:r>
        <w:fldChar w:fldCharType="begin"/>
      </w:r>
      <w:r>
        <w:instrText xml:space="preserve"> HYPERLINK \l "_Toc25264" </w:instrText>
      </w:r>
      <w:r>
        <w:fldChar w:fldCharType="separate"/>
      </w:r>
      <w:r>
        <w:rPr>
          <w:rFonts w:hint="eastAsia" w:ascii="宋体" w:hAnsi="宋体" w:cs="宋体"/>
          <w:sz w:val="24"/>
          <w:szCs w:val="24"/>
        </w:rPr>
        <w:t xml:space="preserve">第二篇 </w:t>
      </w:r>
      <w:r>
        <w:rPr>
          <w:rFonts w:hint="eastAsia" w:ascii="宋体" w:hAnsi="宋体" w:cs="宋体"/>
          <w:bCs/>
          <w:sz w:val="24"/>
          <w:szCs w:val="24"/>
        </w:rPr>
        <w:t>采购服务需求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_Toc25264 \h </w:instrText>
      </w:r>
      <w:r>
        <w:rPr>
          <w:rFonts w:hint="eastAsia" w:ascii="宋体" w:hAnsi="宋体" w:cs="宋体"/>
          <w:sz w:val="24"/>
          <w:szCs w:val="24"/>
        </w:rPr>
        <w:fldChar w:fldCharType="separate"/>
      </w:r>
      <w:r>
        <w:rPr>
          <w:rFonts w:hint="eastAsia" w:ascii="宋体" w:hAnsi="宋体" w:cs="宋体"/>
          <w:sz w:val="24"/>
          <w:szCs w:val="24"/>
        </w:rPr>
        <w:t>- 7 -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"_Toc17576" </w:instrText>
      </w:r>
      <w:r>
        <w:fldChar w:fldCharType="separate"/>
      </w:r>
      <w:r>
        <w:rPr>
          <w:rFonts w:hint="eastAsia" w:ascii="宋体" w:hAnsi="宋体" w:cs="宋体"/>
          <w:sz w:val="24"/>
          <w:szCs w:val="24"/>
        </w:rPr>
        <w:t>一、项目基本概况介绍</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_Toc17576 \h </w:instrText>
      </w:r>
      <w:r>
        <w:rPr>
          <w:rFonts w:hint="eastAsia" w:ascii="宋体" w:hAnsi="宋体" w:cs="宋体"/>
          <w:sz w:val="24"/>
          <w:szCs w:val="24"/>
        </w:rPr>
        <w:fldChar w:fldCharType="separate"/>
      </w:r>
      <w:r>
        <w:rPr>
          <w:rFonts w:hint="eastAsia" w:ascii="宋体" w:hAnsi="宋体" w:cs="宋体"/>
          <w:sz w:val="24"/>
          <w:szCs w:val="24"/>
        </w:rPr>
        <w:t>- 7 -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"_Toc16568" </w:instrText>
      </w:r>
      <w:r>
        <w:fldChar w:fldCharType="separate"/>
      </w:r>
      <w:r>
        <w:rPr>
          <w:rFonts w:hint="eastAsia" w:ascii="宋体" w:hAnsi="宋体" w:cs="宋体"/>
          <w:sz w:val="24"/>
          <w:szCs w:val="24"/>
        </w:rPr>
        <w:t>二、服务及质量要求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_Toc16568 \h </w:instrText>
      </w:r>
      <w:r>
        <w:rPr>
          <w:rFonts w:hint="eastAsia" w:ascii="宋体" w:hAnsi="宋体" w:cs="宋体"/>
          <w:sz w:val="24"/>
          <w:szCs w:val="24"/>
        </w:rPr>
        <w:fldChar w:fldCharType="separate"/>
      </w:r>
      <w:r>
        <w:rPr>
          <w:rFonts w:hint="eastAsia" w:ascii="宋体" w:hAnsi="宋体" w:cs="宋体"/>
          <w:sz w:val="24"/>
          <w:szCs w:val="24"/>
        </w:rPr>
        <w:t>- 7 -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12"/>
        </w:tabs>
        <w:ind w:left="560"/>
        <w:rPr>
          <w:rFonts w:ascii="宋体" w:hAnsi="宋体" w:cs="宋体"/>
          <w:sz w:val="24"/>
          <w:szCs w:val="24"/>
        </w:rPr>
      </w:pPr>
      <w:r>
        <w:fldChar w:fldCharType="begin"/>
      </w:r>
      <w:r>
        <w:instrText xml:space="preserve"> HYPERLINK \l "_Toc30859" </w:instrText>
      </w:r>
      <w:r>
        <w:fldChar w:fldCharType="separate"/>
      </w:r>
      <w:r>
        <w:rPr>
          <w:rFonts w:hint="eastAsia" w:ascii="宋体" w:hAnsi="宋体" w:cs="宋体"/>
          <w:bCs/>
          <w:sz w:val="24"/>
          <w:szCs w:val="24"/>
        </w:rPr>
        <w:t>第三篇 采购商务需求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_Toc30859 \h </w:instrText>
      </w:r>
      <w:r>
        <w:rPr>
          <w:rFonts w:hint="eastAsia" w:ascii="宋体" w:hAnsi="宋体" w:cs="宋体"/>
          <w:sz w:val="24"/>
          <w:szCs w:val="24"/>
        </w:rPr>
        <w:fldChar w:fldCharType="separate"/>
      </w:r>
      <w:r>
        <w:rPr>
          <w:rFonts w:hint="eastAsia" w:ascii="宋体" w:hAnsi="宋体" w:cs="宋体"/>
          <w:sz w:val="24"/>
          <w:szCs w:val="24"/>
        </w:rPr>
        <w:t>- 10 -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"_Toc16012" </w:instrText>
      </w:r>
      <w:r>
        <w:fldChar w:fldCharType="separate"/>
      </w:r>
      <w:r>
        <w:rPr>
          <w:rFonts w:hint="eastAsia" w:ascii="宋体" w:hAnsi="宋体" w:cs="宋体"/>
          <w:sz w:val="24"/>
          <w:szCs w:val="24"/>
        </w:rPr>
        <w:t>一、服务期、地点、人员要求及验收方式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_Toc16012 \h </w:instrText>
      </w:r>
      <w:r>
        <w:rPr>
          <w:rFonts w:hint="eastAsia" w:ascii="宋体" w:hAnsi="宋体" w:cs="宋体"/>
          <w:sz w:val="24"/>
          <w:szCs w:val="24"/>
        </w:rPr>
        <w:fldChar w:fldCharType="separate"/>
      </w:r>
      <w:r>
        <w:rPr>
          <w:rFonts w:hint="eastAsia" w:ascii="宋体" w:hAnsi="宋体" w:cs="宋体"/>
          <w:sz w:val="24"/>
          <w:szCs w:val="24"/>
        </w:rPr>
        <w:t>- 10 -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"_Toc25557" </w:instrText>
      </w:r>
      <w:r>
        <w:fldChar w:fldCharType="separate"/>
      </w:r>
      <w:r>
        <w:rPr>
          <w:rFonts w:hint="eastAsia" w:ascii="宋体" w:hAnsi="宋体" w:cs="宋体"/>
          <w:sz w:val="24"/>
          <w:szCs w:val="24"/>
        </w:rPr>
        <w:t>二、报价要求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_Toc25557 \h </w:instrText>
      </w:r>
      <w:r>
        <w:rPr>
          <w:rFonts w:hint="eastAsia" w:ascii="宋体" w:hAnsi="宋体" w:cs="宋体"/>
          <w:sz w:val="24"/>
          <w:szCs w:val="24"/>
        </w:rPr>
        <w:fldChar w:fldCharType="separate"/>
      </w:r>
      <w:r>
        <w:rPr>
          <w:rFonts w:hint="eastAsia" w:ascii="宋体" w:hAnsi="宋体" w:cs="宋体"/>
          <w:sz w:val="24"/>
          <w:szCs w:val="24"/>
        </w:rPr>
        <w:t>- 10 -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"_Toc5191" </w:instrText>
      </w:r>
      <w:r>
        <w:fldChar w:fldCharType="separate"/>
      </w:r>
      <w:r>
        <w:rPr>
          <w:rFonts w:hint="eastAsia" w:ascii="宋体" w:hAnsi="宋体" w:cs="宋体"/>
          <w:sz w:val="24"/>
          <w:szCs w:val="24"/>
        </w:rPr>
        <w:t>三、付款方式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_Toc5191 \h </w:instrText>
      </w:r>
      <w:r>
        <w:rPr>
          <w:rFonts w:hint="eastAsia" w:ascii="宋体" w:hAnsi="宋体" w:cs="宋体"/>
          <w:sz w:val="24"/>
          <w:szCs w:val="24"/>
        </w:rPr>
        <w:fldChar w:fldCharType="separate"/>
      </w:r>
      <w:r>
        <w:rPr>
          <w:rFonts w:hint="eastAsia" w:ascii="宋体" w:hAnsi="宋体" w:cs="宋体"/>
          <w:sz w:val="24"/>
          <w:szCs w:val="24"/>
        </w:rPr>
        <w:t>- 10 -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"_Toc20349" </w:instrText>
      </w:r>
      <w:r>
        <w:fldChar w:fldCharType="separate"/>
      </w:r>
      <w:r>
        <w:rPr>
          <w:rFonts w:hint="eastAsia" w:ascii="宋体" w:hAnsi="宋体" w:cs="宋体"/>
          <w:sz w:val="24"/>
          <w:szCs w:val="24"/>
        </w:rPr>
        <w:t>四、知识产权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_Toc20349 \h </w:instrText>
      </w:r>
      <w:r>
        <w:rPr>
          <w:rFonts w:hint="eastAsia" w:ascii="宋体" w:hAnsi="宋体" w:cs="宋体"/>
          <w:sz w:val="24"/>
          <w:szCs w:val="24"/>
        </w:rPr>
        <w:fldChar w:fldCharType="separate"/>
      </w:r>
      <w:r>
        <w:rPr>
          <w:rFonts w:hint="eastAsia" w:ascii="宋体" w:hAnsi="宋体" w:cs="宋体"/>
          <w:sz w:val="24"/>
          <w:szCs w:val="24"/>
        </w:rPr>
        <w:t>- 11 -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"_Toc28652" </w:instrText>
      </w:r>
      <w:r>
        <w:fldChar w:fldCharType="separate"/>
      </w:r>
      <w:r>
        <w:rPr>
          <w:rFonts w:hint="eastAsia" w:ascii="宋体" w:hAnsi="宋体" w:cs="宋体"/>
          <w:sz w:val="24"/>
          <w:szCs w:val="24"/>
        </w:rPr>
        <w:t>五、违约责任</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_Toc28652 \h </w:instrText>
      </w:r>
      <w:r>
        <w:rPr>
          <w:rFonts w:hint="eastAsia" w:ascii="宋体" w:hAnsi="宋体" w:cs="宋体"/>
          <w:sz w:val="24"/>
          <w:szCs w:val="24"/>
        </w:rPr>
        <w:fldChar w:fldCharType="separate"/>
      </w:r>
      <w:r>
        <w:rPr>
          <w:rFonts w:hint="eastAsia" w:ascii="宋体" w:hAnsi="宋体" w:cs="宋体"/>
          <w:sz w:val="24"/>
          <w:szCs w:val="24"/>
        </w:rPr>
        <w:t>- 11 -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"_Toc12633" </w:instrText>
      </w:r>
      <w:r>
        <w:fldChar w:fldCharType="separate"/>
      </w:r>
      <w:r>
        <w:rPr>
          <w:rFonts w:hint="eastAsia" w:ascii="宋体" w:hAnsi="宋体" w:cs="宋体"/>
          <w:sz w:val="24"/>
          <w:szCs w:val="24"/>
        </w:rPr>
        <w:t>六、保密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_Toc12633 \h </w:instrText>
      </w:r>
      <w:r>
        <w:rPr>
          <w:rFonts w:hint="eastAsia" w:ascii="宋体" w:hAnsi="宋体" w:cs="宋体"/>
          <w:sz w:val="24"/>
          <w:szCs w:val="24"/>
        </w:rPr>
        <w:fldChar w:fldCharType="separate"/>
      </w:r>
      <w:r>
        <w:rPr>
          <w:rFonts w:hint="eastAsia" w:ascii="宋体" w:hAnsi="宋体" w:cs="宋体"/>
          <w:sz w:val="24"/>
          <w:szCs w:val="24"/>
        </w:rPr>
        <w:t>- 11 -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"_Toc31248" </w:instrText>
      </w:r>
      <w:r>
        <w:fldChar w:fldCharType="separate"/>
      </w:r>
      <w:r>
        <w:rPr>
          <w:rFonts w:hint="eastAsia" w:ascii="宋体" w:hAnsi="宋体" w:cs="宋体"/>
          <w:sz w:val="24"/>
          <w:szCs w:val="24"/>
        </w:rPr>
        <w:t>七、其他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_Toc31248 \h </w:instrText>
      </w:r>
      <w:r>
        <w:rPr>
          <w:rFonts w:hint="eastAsia" w:ascii="宋体" w:hAnsi="宋体" w:cs="宋体"/>
          <w:sz w:val="24"/>
          <w:szCs w:val="24"/>
        </w:rPr>
        <w:fldChar w:fldCharType="separate"/>
      </w:r>
      <w:r>
        <w:rPr>
          <w:rFonts w:hint="eastAsia" w:ascii="宋体" w:hAnsi="宋体" w:cs="宋体"/>
          <w:sz w:val="24"/>
          <w:szCs w:val="24"/>
        </w:rPr>
        <w:t>- 11 -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12"/>
        </w:tabs>
        <w:ind w:left="560"/>
        <w:rPr>
          <w:rFonts w:ascii="宋体" w:hAnsi="宋体" w:cs="宋体"/>
          <w:sz w:val="24"/>
          <w:szCs w:val="24"/>
        </w:rPr>
      </w:pPr>
      <w:r>
        <w:fldChar w:fldCharType="begin"/>
      </w:r>
      <w:r>
        <w:instrText xml:space="preserve"> HYPERLINK \l "_Toc22885" </w:instrText>
      </w:r>
      <w:r>
        <w:fldChar w:fldCharType="separate"/>
      </w:r>
      <w:r>
        <w:rPr>
          <w:rFonts w:hint="eastAsia" w:ascii="宋体" w:hAnsi="宋体" w:cs="宋体"/>
          <w:bCs/>
          <w:sz w:val="24"/>
          <w:szCs w:val="24"/>
        </w:rPr>
        <w:t>第四篇  磋商程序及方法、评审标准、无效响应和采购终止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_Toc22885 \h </w:instrText>
      </w:r>
      <w:r>
        <w:rPr>
          <w:rFonts w:hint="eastAsia" w:ascii="宋体" w:hAnsi="宋体" w:cs="宋体"/>
          <w:sz w:val="24"/>
          <w:szCs w:val="24"/>
        </w:rPr>
        <w:fldChar w:fldCharType="separate"/>
      </w:r>
      <w:r>
        <w:rPr>
          <w:rFonts w:hint="eastAsia" w:ascii="宋体" w:hAnsi="宋体" w:cs="宋体"/>
          <w:sz w:val="24"/>
          <w:szCs w:val="24"/>
        </w:rPr>
        <w:t>- 12 -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"_Toc11694" </w:instrText>
      </w:r>
      <w:r>
        <w:fldChar w:fldCharType="separate"/>
      </w:r>
      <w:r>
        <w:rPr>
          <w:rFonts w:hint="eastAsia" w:ascii="宋体" w:hAnsi="宋体" w:cs="宋体"/>
          <w:sz w:val="24"/>
          <w:szCs w:val="24"/>
        </w:rPr>
        <w:t>一、磋商程序及方法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_Toc11694 \h </w:instrText>
      </w:r>
      <w:r>
        <w:rPr>
          <w:rFonts w:hint="eastAsia" w:ascii="宋体" w:hAnsi="宋体" w:cs="宋体"/>
          <w:sz w:val="24"/>
          <w:szCs w:val="24"/>
        </w:rPr>
        <w:fldChar w:fldCharType="separate"/>
      </w:r>
      <w:r>
        <w:rPr>
          <w:rFonts w:hint="eastAsia" w:ascii="宋体" w:hAnsi="宋体" w:cs="宋体"/>
          <w:sz w:val="24"/>
          <w:szCs w:val="24"/>
        </w:rPr>
        <w:t>- 12 -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"_Toc15850" </w:instrText>
      </w:r>
      <w:r>
        <w:fldChar w:fldCharType="separate"/>
      </w:r>
      <w:r>
        <w:rPr>
          <w:rFonts w:hint="eastAsia" w:ascii="宋体" w:hAnsi="宋体" w:cs="宋体"/>
          <w:sz w:val="24"/>
          <w:szCs w:val="24"/>
        </w:rPr>
        <w:t>二、评审标准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_Toc15850 \h </w:instrText>
      </w:r>
      <w:r>
        <w:rPr>
          <w:rFonts w:hint="eastAsia" w:ascii="宋体" w:hAnsi="宋体" w:cs="宋体"/>
          <w:sz w:val="24"/>
          <w:szCs w:val="24"/>
        </w:rPr>
        <w:fldChar w:fldCharType="separate"/>
      </w:r>
      <w:r>
        <w:rPr>
          <w:rFonts w:hint="eastAsia" w:ascii="宋体" w:hAnsi="宋体" w:cs="宋体"/>
          <w:sz w:val="24"/>
          <w:szCs w:val="24"/>
        </w:rPr>
        <w:t>- 14 -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"_Toc31263" </w:instrText>
      </w:r>
      <w:r>
        <w:fldChar w:fldCharType="separate"/>
      </w:r>
      <w:r>
        <w:rPr>
          <w:rFonts w:hint="eastAsia" w:ascii="宋体" w:hAnsi="宋体" w:cs="宋体"/>
          <w:sz w:val="24"/>
          <w:szCs w:val="24"/>
        </w:rPr>
        <w:t>三、无效响应</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_Toc31263 \h </w:instrText>
      </w:r>
      <w:r>
        <w:rPr>
          <w:rFonts w:hint="eastAsia" w:ascii="宋体" w:hAnsi="宋体" w:cs="宋体"/>
          <w:sz w:val="24"/>
          <w:szCs w:val="24"/>
        </w:rPr>
        <w:fldChar w:fldCharType="separate"/>
      </w:r>
      <w:r>
        <w:rPr>
          <w:rFonts w:hint="eastAsia" w:ascii="宋体" w:hAnsi="宋体" w:cs="宋体"/>
          <w:sz w:val="24"/>
          <w:szCs w:val="24"/>
        </w:rPr>
        <w:t>- 16 -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"_Toc563" </w:instrText>
      </w:r>
      <w:r>
        <w:fldChar w:fldCharType="separate"/>
      </w:r>
      <w:r>
        <w:rPr>
          <w:rFonts w:hint="eastAsia" w:ascii="宋体" w:hAnsi="宋体" w:cs="宋体"/>
          <w:sz w:val="24"/>
          <w:szCs w:val="24"/>
        </w:rPr>
        <w:t>四、采购终止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_Toc563 \h </w:instrText>
      </w:r>
      <w:r>
        <w:rPr>
          <w:rFonts w:hint="eastAsia" w:ascii="宋体" w:hAnsi="宋体" w:cs="宋体"/>
          <w:sz w:val="24"/>
          <w:szCs w:val="24"/>
        </w:rPr>
        <w:fldChar w:fldCharType="separate"/>
      </w:r>
      <w:r>
        <w:rPr>
          <w:rFonts w:hint="eastAsia" w:ascii="宋体" w:hAnsi="宋体" w:cs="宋体"/>
          <w:sz w:val="24"/>
          <w:szCs w:val="24"/>
        </w:rPr>
        <w:t>- 17 -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12"/>
        </w:tabs>
        <w:ind w:left="560"/>
        <w:rPr>
          <w:rFonts w:ascii="宋体" w:hAnsi="宋体" w:cs="宋体"/>
          <w:sz w:val="24"/>
          <w:szCs w:val="24"/>
        </w:rPr>
      </w:pPr>
      <w:r>
        <w:fldChar w:fldCharType="begin"/>
      </w:r>
      <w:r>
        <w:instrText xml:space="preserve"> HYPERLINK \l "_Toc27024" </w:instrText>
      </w:r>
      <w:r>
        <w:fldChar w:fldCharType="separate"/>
      </w:r>
      <w:r>
        <w:rPr>
          <w:rFonts w:hint="eastAsia" w:ascii="宋体" w:hAnsi="宋体" w:cs="宋体"/>
          <w:bCs/>
          <w:sz w:val="24"/>
          <w:szCs w:val="24"/>
        </w:rPr>
        <w:t>第五篇  供应商须知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_Toc27024 \h </w:instrText>
      </w:r>
      <w:r>
        <w:rPr>
          <w:rFonts w:hint="eastAsia" w:ascii="宋体" w:hAnsi="宋体" w:cs="宋体"/>
          <w:sz w:val="24"/>
          <w:szCs w:val="24"/>
        </w:rPr>
        <w:fldChar w:fldCharType="separate"/>
      </w:r>
      <w:r>
        <w:rPr>
          <w:rFonts w:hint="eastAsia" w:ascii="宋体" w:hAnsi="宋体" w:cs="宋体"/>
          <w:sz w:val="24"/>
          <w:szCs w:val="24"/>
        </w:rPr>
        <w:t>- 18 -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"_Toc21401" </w:instrText>
      </w:r>
      <w:r>
        <w:fldChar w:fldCharType="separate"/>
      </w:r>
      <w:r>
        <w:rPr>
          <w:rFonts w:hint="eastAsia" w:ascii="宋体" w:hAnsi="宋体" w:cs="宋体"/>
          <w:sz w:val="24"/>
          <w:szCs w:val="24"/>
        </w:rPr>
        <w:t>一、磋商费用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_Toc21401 \h </w:instrText>
      </w:r>
      <w:r>
        <w:rPr>
          <w:rFonts w:hint="eastAsia" w:ascii="宋体" w:hAnsi="宋体" w:cs="宋体"/>
          <w:sz w:val="24"/>
          <w:szCs w:val="24"/>
        </w:rPr>
        <w:fldChar w:fldCharType="separate"/>
      </w:r>
      <w:r>
        <w:rPr>
          <w:rFonts w:hint="eastAsia" w:ascii="宋体" w:hAnsi="宋体" w:cs="宋体"/>
          <w:sz w:val="24"/>
          <w:szCs w:val="24"/>
        </w:rPr>
        <w:t>- 18 -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"_Toc6224" </w:instrText>
      </w:r>
      <w:r>
        <w:fldChar w:fldCharType="separate"/>
      </w:r>
      <w:r>
        <w:rPr>
          <w:rFonts w:hint="eastAsia" w:ascii="宋体" w:hAnsi="宋体" w:cs="宋体"/>
          <w:sz w:val="24"/>
          <w:szCs w:val="24"/>
        </w:rPr>
        <w:t>二、竞争性磋商文件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_Toc6224 \h </w:instrText>
      </w:r>
      <w:r>
        <w:rPr>
          <w:rFonts w:hint="eastAsia" w:ascii="宋体" w:hAnsi="宋体" w:cs="宋体"/>
          <w:sz w:val="24"/>
          <w:szCs w:val="24"/>
        </w:rPr>
        <w:fldChar w:fldCharType="separate"/>
      </w:r>
      <w:r>
        <w:rPr>
          <w:rFonts w:hint="eastAsia" w:ascii="宋体" w:hAnsi="宋体" w:cs="宋体"/>
          <w:sz w:val="24"/>
          <w:szCs w:val="24"/>
        </w:rPr>
        <w:t>- 18 -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"_Toc22564" </w:instrText>
      </w:r>
      <w:r>
        <w:fldChar w:fldCharType="separate"/>
      </w:r>
      <w:r>
        <w:rPr>
          <w:rFonts w:hint="eastAsia" w:ascii="宋体" w:hAnsi="宋体" w:cs="宋体"/>
          <w:sz w:val="24"/>
          <w:szCs w:val="24"/>
        </w:rPr>
        <w:t>三、磋商要求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_Toc22564 \h </w:instrText>
      </w:r>
      <w:r>
        <w:rPr>
          <w:rFonts w:hint="eastAsia" w:ascii="宋体" w:hAnsi="宋体" w:cs="宋体"/>
          <w:sz w:val="24"/>
          <w:szCs w:val="24"/>
        </w:rPr>
        <w:fldChar w:fldCharType="separate"/>
      </w:r>
      <w:r>
        <w:rPr>
          <w:rFonts w:hint="eastAsia" w:ascii="宋体" w:hAnsi="宋体" w:cs="宋体"/>
          <w:sz w:val="24"/>
          <w:szCs w:val="24"/>
        </w:rPr>
        <w:t>- 18 -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"_Toc27505" </w:instrText>
      </w:r>
      <w:r>
        <w:fldChar w:fldCharType="separate"/>
      </w:r>
      <w:r>
        <w:rPr>
          <w:rFonts w:hint="eastAsia" w:ascii="宋体" w:hAnsi="宋体" w:cs="宋体"/>
          <w:sz w:val="24"/>
          <w:szCs w:val="24"/>
        </w:rPr>
        <w:t>四、成交供应商的确认和变更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_Toc27505 \h </w:instrText>
      </w:r>
      <w:r>
        <w:rPr>
          <w:rFonts w:hint="eastAsia" w:ascii="宋体" w:hAnsi="宋体" w:cs="宋体"/>
          <w:sz w:val="24"/>
          <w:szCs w:val="24"/>
        </w:rPr>
        <w:fldChar w:fldCharType="separate"/>
      </w:r>
      <w:r>
        <w:rPr>
          <w:rFonts w:hint="eastAsia" w:ascii="宋体" w:hAnsi="宋体" w:cs="宋体"/>
          <w:sz w:val="24"/>
          <w:szCs w:val="24"/>
        </w:rPr>
        <w:t>- 19 -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"_Toc797" </w:instrText>
      </w:r>
      <w:r>
        <w:fldChar w:fldCharType="separate"/>
      </w:r>
      <w:r>
        <w:rPr>
          <w:rFonts w:hint="eastAsia" w:ascii="宋体" w:hAnsi="宋体" w:cs="宋体"/>
          <w:sz w:val="24"/>
          <w:szCs w:val="24"/>
        </w:rPr>
        <w:t>五、成交通知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_Toc797 \h </w:instrText>
      </w:r>
      <w:r>
        <w:rPr>
          <w:rFonts w:hint="eastAsia" w:ascii="宋体" w:hAnsi="宋体" w:cs="宋体"/>
          <w:sz w:val="24"/>
          <w:szCs w:val="24"/>
        </w:rPr>
        <w:fldChar w:fldCharType="separate"/>
      </w:r>
      <w:r>
        <w:rPr>
          <w:rFonts w:hint="eastAsia" w:ascii="宋体" w:hAnsi="宋体" w:cs="宋体"/>
          <w:sz w:val="24"/>
          <w:szCs w:val="24"/>
        </w:rPr>
        <w:t>- 19 -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"_Toc10640" </w:instrText>
      </w:r>
      <w:r>
        <w:fldChar w:fldCharType="separate"/>
      </w:r>
      <w:r>
        <w:rPr>
          <w:rFonts w:hint="eastAsia" w:ascii="宋体" w:hAnsi="宋体" w:cs="宋体"/>
          <w:sz w:val="24"/>
          <w:szCs w:val="24"/>
        </w:rPr>
        <w:t>六、关于质疑和投诉</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_Toc10640 \h </w:instrText>
      </w:r>
      <w:r>
        <w:rPr>
          <w:rFonts w:hint="eastAsia" w:ascii="宋体" w:hAnsi="宋体" w:cs="宋体"/>
          <w:sz w:val="24"/>
          <w:szCs w:val="24"/>
        </w:rPr>
        <w:fldChar w:fldCharType="separate"/>
      </w:r>
      <w:r>
        <w:rPr>
          <w:rFonts w:hint="eastAsia" w:ascii="宋体" w:hAnsi="宋体" w:cs="宋体"/>
          <w:sz w:val="24"/>
          <w:szCs w:val="24"/>
        </w:rPr>
        <w:t>- 20 -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sz w:val="24"/>
          <w:szCs w:val="24"/>
        </w:rPr>
        <w:t>七、采购代理服务费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_Toc1857 \h </w:instrText>
      </w:r>
      <w:r>
        <w:rPr>
          <w:rFonts w:hint="eastAsia" w:ascii="宋体" w:hAnsi="宋体" w:cs="宋体"/>
          <w:sz w:val="24"/>
          <w:szCs w:val="24"/>
        </w:rPr>
        <w:fldChar w:fldCharType="separate"/>
      </w:r>
      <w:r>
        <w:rPr>
          <w:rFonts w:hint="eastAsia" w:ascii="宋体" w:hAnsi="宋体" w:cs="宋体"/>
          <w:sz w:val="24"/>
          <w:szCs w:val="24"/>
        </w:rPr>
        <w:t>- 20 -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"_Toc28353" </w:instrText>
      </w:r>
      <w:r>
        <w:fldChar w:fldCharType="separate"/>
      </w:r>
      <w:r>
        <w:rPr>
          <w:rFonts w:hint="eastAsia" w:ascii="宋体" w:hAnsi="宋体" w:cs="宋体"/>
          <w:sz w:val="24"/>
          <w:szCs w:val="24"/>
        </w:rPr>
        <w:t>八、签订合同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_Toc28353 \h </w:instrText>
      </w:r>
      <w:r>
        <w:rPr>
          <w:rFonts w:hint="eastAsia" w:ascii="宋体" w:hAnsi="宋体" w:cs="宋体"/>
          <w:sz w:val="24"/>
          <w:szCs w:val="24"/>
        </w:rPr>
        <w:fldChar w:fldCharType="separate"/>
      </w:r>
      <w:r>
        <w:rPr>
          <w:rFonts w:hint="eastAsia" w:ascii="宋体" w:hAnsi="宋体" w:cs="宋体"/>
          <w:sz w:val="24"/>
          <w:szCs w:val="24"/>
        </w:rPr>
        <w:t>- 21 -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12"/>
        </w:tabs>
        <w:ind w:left="560"/>
        <w:rPr>
          <w:rFonts w:ascii="宋体" w:hAnsi="宋体" w:cs="宋体"/>
          <w:sz w:val="24"/>
          <w:szCs w:val="24"/>
        </w:rPr>
      </w:pPr>
      <w:r>
        <w:fldChar w:fldCharType="begin"/>
      </w:r>
      <w:r>
        <w:instrText xml:space="preserve"> HYPERLINK \l "_Toc7030" </w:instrText>
      </w:r>
      <w:r>
        <w:fldChar w:fldCharType="separate"/>
      </w:r>
      <w:r>
        <w:rPr>
          <w:rFonts w:hint="eastAsia" w:ascii="宋体" w:hAnsi="宋体" w:cs="宋体"/>
          <w:sz w:val="24"/>
          <w:szCs w:val="24"/>
        </w:rPr>
        <w:t>第六篇  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_Toc7030 \h </w:instrText>
      </w:r>
      <w:r>
        <w:rPr>
          <w:rFonts w:hint="eastAsia" w:ascii="宋体" w:hAnsi="宋体" w:cs="宋体"/>
          <w:sz w:val="24"/>
          <w:szCs w:val="24"/>
        </w:rPr>
        <w:fldChar w:fldCharType="separate"/>
      </w:r>
      <w:r>
        <w:rPr>
          <w:rFonts w:hint="eastAsia" w:ascii="宋体" w:hAnsi="宋体" w:cs="宋体"/>
          <w:sz w:val="24"/>
          <w:szCs w:val="24"/>
        </w:rPr>
        <w:t>- 22 -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12"/>
        </w:tabs>
        <w:ind w:left="560"/>
        <w:rPr>
          <w:rFonts w:ascii="宋体" w:hAnsi="宋体" w:cs="宋体"/>
          <w:sz w:val="24"/>
          <w:szCs w:val="24"/>
        </w:rPr>
      </w:pPr>
      <w:r>
        <w:fldChar w:fldCharType="begin"/>
      </w:r>
      <w:r>
        <w:instrText xml:space="preserve"> HYPERLINK \l "_Toc31983" </w:instrText>
      </w:r>
      <w:r>
        <w:fldChar w:fldCharType="separate"/>
      </w:r>
      <w:r>
        <w:rPr>
          <w:rFonts w:hint="eastAsia" w:ascii="宋体" w:hAnsi="宋体" w:cs="宋体"/>
          <w:sz w:val="24"/>
          <w:szCs w:val="24"/>
        </w:rPr>
        <w:t>第七篇  响应文件编制要求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_Toc31983 \h </w:instrText>
      </w:r>
      <w:r>
        <w:rPr>
          <w:rFonts w:hint="eastAsia" w:ascii="宋体" w:hAnsi="宋体" w:cs="宋体"/>
          <w:sz w:val="24"/>
          <w:szCs w:val="24"/>
        </w:rPr>
        <w:fldChar w:fldCharType="separate"/>
      </w:r>
      <w:r>
        <w:rPr>
          <w:rFonts w:hint="eastAsia" w:ascii="宋体" w:hAnsi="宋体" w:cs="宋体"/>
          <w:sz w:val="24"/>
          <w:szCs w:val="24"/>
        </w:rPr>
        <w:t>- 23 -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"_Toc11818" </w:instrText>
      </w:r>
      <w:r>
        <w:fldChar w:fldCharType="separate"/>
      </w:r>
      <w:r>
        <w:rPr>
          <w:rFonts w:hint="eastAsia" w:ascii="宋体" w:hAnsi="宋体" w:cs="宋体"/>
          <w:sz w:val="24"/>
          <w:szCs w:val="24"/>
        </w:rPr>
        <w:t>一、经济部分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_Toc11818 \h </w:instrText>
      </w:r>
      <w:r>
        <w:rPr>
          <w:rFonts w:hint="eastAsia" w:ascii="宋体" w:hAnsi="宋体" w:cs="宋体"/>
          <w:sz w:val="24"/>
          <w:szCs w:val="24"/>
        </w:rPr>
        <w:fldChar w:fldCharType="separate"/>
      </w:r>
      <w:r>
        <w:rPr>
          <w:rFonts w:hint="eastAsia" w:ascii="宋体" w:hAnsi="宋体" w:cs="宋体"/>
          <w:sz w:val="24"/>
          <w:szCs w:val="24"/>
        </w:rPr>
        <w:t>- 24 -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"_Toc13366" </w:instrText>
      </w:r>
      <w:r>
        <w:fldChar w:fldCharType="separate"/>
      </w:r>
      <w:r>
        <w:rPr>
          <w:rFonts w:hint="eastAsia" w:ascii="宋体" w:hAnsi="宋体" w:cs="宋体"/>
          <w:sz w:val="24"/>
          <w:szCs w:val="24"/>
        </w:rPr>
        <w:t>二、服务部分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_Toc13366 \h </w:instrText>
      </w:r>
      <w:r>
        <w:rPr>
          <w:rFonts w:hint="eastAsia" w:ascii="宋体" w:hAnsi="宋体" w:cs="宋体"/>
          <w:sz w:val="24"/>
          <w:szCs w:val="24"/>
        </w:rPr>
        <w:fldChar w:fldCharType="separate"/>
      </w:r>
      <w:r>
        <w:rPr>
          <w:rFonts w:hint="eastAsia" w:ascii="宋体" w:hAnsi="宋体" w:cs="宋体"/>
          <w:sz w:val="24"/>
          <w:szCs w:val="24"/>
        </w:rPr>
        <w:t>- 26 -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"_Toc17616" </w:instrText>
      </w:r>
      <w:r>
        <w:fldChar w:fldCharType="separate"/>
      </w:r>
      <w:r>
        <w:rPr>
          <w:rFonts w:hint="eastAsia" w:ascii="宋体" w:hAnsi="宋体" w:cs="宋体"/>
          <w:sz w:val="24"/>
          <w:szCs w:val="24"/>
        </w:rPr>
        <w:t>三、商务部分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_Toc17616 \h </w:instrText>
      </w:r>
      <w:r>
        <w:rPr>
          <w:rFonts w:hint="eastAsia" w:ascii="宋体" w:hAnsi="宋体" w:cs="宋体"/>
          <w:sz w:val="24"/>
          <w:szCs w:val="24"/>
        </w:rPr>
        <w:fldChar w:fldCharType="separate"/>
      </w:r>
      <w:r>
        <w:rPr>
          <w:rFonts w:hint="eastAsia" w:ascii="宋体" w:hAnsi="宋体" w:cs="宋体"/>
          <w:sz w:val="24"/>
          <w:szCs w:val="24"/>
        </w:rPr>
        <w:t>- 27 -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"_Toc6903" </w:instrText>
      </w:r>
      <w:r>
        <w:fldChar w:fldCharType="separate"/>
      </w:r>
      <w:r>
        <w:rPr>
          <w:rFonts w:hint="eastAsia" w:ascii="宋体" w:hAnsi="宋体" w:cs="宋体"/>
          <w:sz w:val="24"/>
          <w:szCs w:val="24"/>
        </w:rPr>
        <w:t>四、资格条件及其他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_Toc6903 \h </w:instrText>
      </w:r>
      <w:r>
        <w:rPr>
          <w:rFonts w:hint="eastAsia" w:ascii="宋体" w:hAnsi="宋体" w:cs="宋体"/>
          <w:sz w:val="24"/>
          <w:szCs w:val="24"/>
        </w:rPr>
        <w:fldChar w:fldCharType="separate"/>
      </w:r>
      <w:r>
        <w:rPr>
          <w:rFonts w:hint="eastAsia" w:ascii="宋体" w:hAnsi="宋体" w:cs="宋体"/>
          <w:sz w:val="24"/>
          <w:szCs w:val="24"/>
        </w:rPr>
        <w:t>- 28 -</w:t>
      </w:r>
      <w:r>
        <w:rPr>
          <w:rFonts w:hint="eastAsia" w:ascii="宋体" w:hAnsi="宋体" w:cs="宋体"/>
          <w:sz w:val="24"/>
          <w:szCs w:val="24"/>
        </w:rPr>
        <w:fldChar w:fldCharType="end"/>
      </w:r>
      <w:r>
        <w:rPr>
          <w:rFonts w:hint="eastAsia" w:ascii="宋体" w:hAnsi="宋体" w:cs="宋体"/>
          <w:sz w:val="24"/>
          <w:szCs w:val="24"/>
        </w:rPr>
        <w:fldChar w:fldCharType="end"/>
      </w:r>
    </w:p>
    <w:p>
      <w:pPr>
        <w:pStyle w:val="29"/>
        <w:tabs>
          <w:tab w:val="right" w:leader="dot" w:pos="9412"/>
        </w:tabs>
        <w:ind w:left="1120"/>
        <w:rPr>
          <w:rFonts w:ascii="宋体" w:hAnsi="宋体" w:cs="宋体"/>
          <w:sz w:val="24"/>
          <w:szCs w:val="24"/>
        </w:rPr>
      </w:pPr>
      <w:r>
        <w:fldChar w:fldCharType="begin"/>
      </w:r>
      <w:r>
        <w:instrText xml:space="preserve"> HYPERLINK \l "_Toc28689" </w:instrText>
      </w:r>
      <w:r>
        <w:fldChar w:fldCharType="separate"/>
      </w:r>
      <w:r>
        <w:rPr>
          <w:rFonts w:hint="eastAsia" w:ascii="宋体" w:hAnsi="宋体" w:cs="宋体"/>
          <w:sz w:val="24"/>
          <w:szCs w:val="24"/>
        </w:rPr>
        <w:t>五、其他资料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_Toc28689 \h </w:instrText>
      </w:r>
      <w:r>
        <w:rPr>
          <w:rFonts w:hint="eastAsia" w:ascii="宋体" w:hAnsi="宋体" w:cs="宋体"/>
          <w:sz w:val="24"/>
          <w:szCs w:val="24"/>
        </w:rPr>
        <w:fldChar w:fldCharType="separate"/>
      </w:r>
      <w:r>
        <w:rPr>
          <w:rFonts w:hint="eastAsia" w:ascii="宋体" w:hAnsi="宋体" w:cs="宋体"/>
          <w:sz w:val="24"/>
          <w:szCs w:val="24"/>
        </w:rPr>
        <w:t>- 33 -</w:t>
      </w:r>
      <w:r>
        <w:rPr>
          <w:rFonts w:hint="eastAsia" w:ascii="宋体" w:hAnsi="宋体" w:cs="宋体"/>
          <w:sz w:val="24"/>
          <w:szCs w:val="24"/>
        </w:rPr>
        <w:fldChar w:fldCharType="end"/>
      </w:r>
      <w:r>
        <w:rPr>
          <w:rFonts w:hint="eastAsia" w:ascii="宋体" w:hAnsi="宋体" w:cs="宋体"/>
          <w:sz w:val="24"/>
          <w:szCs w:val="24"/>
        </w:rPr>
        <w:fldChar w:fldCharType="end"/>
      </w:r>
    </w:p>
    <w:p>
      <w:pPr>
        <w:pStyle w:val="45"/>
        <w:tabs>
          <w:tab w:val="right" w:leader="dot" w:pos="9402"/>
        </w:tabs>
        <w:spacing w:line="480" w:lineRule="exact"/>
        <w:ind w:left="560"/>
        <w:jc w:val="center"/>
        <w:rPr>
          <w:rFonts w:ascii="宋体" w:hAnsi="宋体" w:cs="宋体"/>
          <w:color w:val="000000" w:themeColor="text1"/>
          <w:sz w:val="24"/>
          <w:szCs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rtlGutter w:val="1"/>
          <w:docGrid w:linePitch="380" w:charSpace="-5735"/>
        </w:sectPr>
      </w:pPr>
      <w:r>
        <w:rPr>
          <w:rFonts w:hint="eastAsia" w:ascii="宋体" w:hAnsi="宋体" w:cs="宋体"/>
          <w:color w:val="000000" w:themeColor="text1"/>
          <w:sz w:val="24"/>
          <w:szCs w:val="24"/>
          <w14:textFill>
            <w14:solidFill>
              <w14:schemeClr w14:val="tx1"/>
            </w14:solidFill>
          </w14:textFill>
        </w:rPr>
        <w:fldChar w:fldCharType="end"/>
      </w:r>
    </w:p>
    <w:p>
      <w:pPr>
        <w:pStyle w:val="4"/>
        <w:spacing w:line="360" w:lineRule="auto"/>
        <w:ind w:firstLine="720" w:firstLineChars="200"/>
        <w:jc w:val="center"/>
        <w:rPr>
          <w:rFonts w:ascii="宋体" w:hAnsi="宋体" w:eastAsia="宋体" w:cs="宋体"/>
          <w:b w:val="0"/>
          <w:color w:val="auto"/>
          <w:szCs w:val="30"/>
        </w:rPr>
      </w:pPr>
      <w:bookmarkStart w:id="0" w:name="_Toc12789052"/>
      <w:bookmarkStart w:id="1" w:name="_Toc11641050"/>
      <w:bookmarkStart w:id="2" w:name="_Toc31877"/>
      <w:r>
        <w:rPr>
          <w:rFonts w:hint="eastAsia" w:ascii="宋体" w:hAnsi="宋体" w:eastAsia="宋体" w:cs="宋体"/>
          <w:b w:val="0"/>
          <w:color w:val="auto"/>
          <w:sz w:val="36"/>
          <w:szCs w:val="30"/>
        </w:rPr>
        <w:t>第一篇  采购邀请书</w:t>
      </w:r>
      <w:bookmarkEnd w:id="0"/>
      <w:bookmarkEnd w:id="1"/>
      <w:bookmarkEnd w:id="2"/>
    </w:p>
    <w:p>
      <w:pPr>
        <w:snapToGrid w:val="0"/>
        <w:spacing w:line="460" w:lineRule="exact"/>
        <w:ind w:firstLine="480" w:firstLineChars="200"/>
        <w:rPr>
          <w:rFonts w:ascii="宋体" w:hAnsi="宋体" w:cs="宋体"/>
          <w:color w:val="auto"/>
          <w:sz w:val="24"/>
          <w:szCs w:val="24"/>
        </w:rPr>
      </w:pPr>
      <w:bookmarkStart w:id="3" w:name="_Toc317775175"/>
      <w:bookmarkStart w:id="4" w:name="_Toc313893526"/>
      <w:r>
        <w:rPr>
          <w:rFonts w:hint="eastAsia" w:ascii="宋体" w:hAnsi="宋体" w:cs="宋体"/>
          <w:color w:val="auto"/>
          <w:sz w:val="24"/>
          <w:szCs w:val="24"/>
          <w:u w:val="single"/>
        </w:rPr>
        <w:t>重庆鼎创招标代理有限公司</w:t>
      </w:r>
      <w:r>
        <w:rPr>
          <w:rFonts w:hint="eastAsia" w:ascii="宋体" w:hAnsi="宋体" w:cs="宋体"/>
          <w:color w:val="auto"/>
          <w:sz w:val="24"/>
          <w:szCs w:val="24"/>
        </w:rPr>
        <w:t>受</w:t>
      </w:r>
      <w:r>
        <w:rPr>
          <w:rFonts w:hint="eastAsia" w:ascii="宋体" w:hAnsi="宋体" w:cs="宋体"/>
          <w:color w:val="auto"/>
          <w:sz w:val="24"/>
          <w:szCs w:val="24"/>
          <w:u w:val="single"/>
        </w:rPr>
        <w:t>重庆市生态环境大数据应用中心</w:t>
      </w:r>
      <w:r>
        <w:rPr>
          <w:rFonts w:hint="eastAsia" w:ascii="宋体" w:hAnsi="宋体" w:cs="宋体"/>
          <w:color w:val="auto"/>
          <w:sz w:val="24"/>
          <w:szCs w:val="24"/>
        </w:rPr>
        <w:t>的委托，对“</w:t>
      </w:r>
      <w:r>
        <w:rPr>
          <w:rFonts w:hint="eastAsia" w:ascii="宋体" w:hAnsi="宋体" w:cs="宋体"/>
          <w:color w:val="auto"/>
          <w:sz w:val="24"/>
          <w:szCs w:val="24"/>
          <w:u w:val="single"/>
        </w:rPr>
        <w:t>重庆市生态环境政务信息系统运维</w:t>
      </w:r>
      <w:r>
        <w:rPr>
          <w:rFonts w:hint="eastAsia" w:ascii="宋体" w:hAnsi="宋体" w:cs="宋体"/>
          <w:color w:val="auto"/>
          <w:sz w:val="24"/>
          <w:szCs w:val="24"/>
        </w:rPr>
        <w:t>”项目进行竞争性磋商采购。欢迎有资格的供应商前来参加磋商。</w:t>
      </w:r>
    </w:p>
    <w:p>
      <w:pPr>
        <w:pStyle w:val="5"/>
        <w:spacing w:before="0" w:after="0" w:line="400" w:lineRule="exact"/>
        <w:ind w:firstLine="482" w:firstLineChars="200"/>
        <w:rPr>
          <w:rFonts w:ascii="宋体" w:hAnsi="宋体" w:cs="宋体"/>
          <w:color w:val="auto"/>
          <w:sz w:val="24"/>
          <w:szCs w:val="24"/>
        </w:rPr>
      </w:pPr>
      <w:bookmarkStart w:id="5" w:name="_Toc16818"/>
      <w:r>
        <w:rPr>
          <w:rFonts w:hint="eastAsia" w:ascii="宋体" w:hAnsi="宋体" w:cs="宋体"/>
          <w:color w:val="auto"/>
          <w:sz w:val="24"/>
          <w:szCs w:val="24"/>
        </w:rPr>
        <w:t>一、竞争性磋商内容</w:t>
      </w:r>
      <w:bookmarkEnd w:id="3"/>
      <w:bookmarkEnd w:id="4"/>
      <w:bookmarkEnd w:id="5"/>
      <w:r>
        <w:rPr>
          <w:rFonts w:hint="eastAsia" w:ascii="宋体" w:hAnsi="宋体" w:cs="宋体"/>
          <w:color w:val="auto"/>
          <w:sz w:val="24"/>
          <w:szCs w:val="24"/>
        </w:rPr>
        <w:t xml:space="preserve"> </w:t>
      </w:r>
    </w:p>
    <w:tbl>
      <w:tblPr>
        <w:tblStyle w:val="57"/>
        <w:tblW w:w="961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174"/>
        <w:gridCol w:w="1423"/>
        <w:gridCol w:w="1582"/>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290" w:type="dxa"/>
            <w:tcBorders>
              <w:top w:val="single" w:color="auto" w:sz="4" w:space="0"/>
              <w:left w:val="single" w:color="auto" w:sz="4" w:space="0"/>
              <w:right w:val="single" w:color="auto" w:sz="4" w:space="0"/>
            </w:tcBorders>
            <w:vAlign w:val="center"/>
          </w:tcPr>
          <w:p>
            <w:pPr>
              <w:widowControl/>
              <w:ind w:firstLine="422" w:firstLineChars="200"/>
              <w:rPr>
                <w:rFonts w:ascii="宋体" w:hAnsi="宋体" w:cs="宋体"/>
                <w:b/>
                <w:bCs/>
                <w:color w:val="auto"/>
                <w:kern w:val="0"/>
                <w:sz w:val="21"/>
                <w:szCs w:val="24"/>
              </w:rPr>
            </w:pPr>
            <w:bookmarkStart w:id="6" w:name="_Toc373860293"/>
            <w:bookmarkStart w:id="7" w:name="_Toc317775178"/>
            <w:r>
              <w:rPr>
                <w:rFonts w:hint="eastAsia" w:ascii="宋体" w:hAnsi="宋体" w:cs="宋体"/>
                <w:b/>
                <w:bCs/>
                <w:color w:val="auto"/>
                <w:kern w:val="0"/>
                <w:sz w:val="21"/>
                <w:szCs w:val="24"/>
              </w:rPr>
              <w:t>项目名称</w:t>
            </w:r>
          </w:p>
        </w:tc>
        <w:tc>
          <w:tcPr>
            <w:tcW w:w="1174" w:type="dxa"/>
            <w:tcBorders>
              <w:top w:val="single" w:color="auto" w:sz="4" w:space="0"/>
              <w:left w:val="single" w:color="auto" w:sz="4" w:space="0"/>
              <w:right w:val="single" w:color="auto" w:sz="4" w:space="0"/>
            </w:tcBorders>
            <w:vAlign w:val="center"/>
          </w:tcPr>
          <w:p>
            <w:pPr>
              <w:jc w:val="left"/>
              <w:rPr>
                <w:rFonts w:ascii="宋体" w:hAnsi="宋体" w:cs="宋体"/>
                <w:b/>
                <w:bCs/>
                <w:color w:val="auto"/>
                <w:kern w:val="0"/>
                <w:sz w:val="21"/>
                <w:szCs w:val="24"/>
              </w:rPr>
            </w:pPr>
            <w:r>
              <w:rPr>
                <w:rFonts w:hint="eastAsia" w:ascii="宋体" w:hAnsi="宋体" w:cs="宋体"/>
                <w:b/>
                <w:bCs/>
                <w:color w:val="auto"/>
                <w:kern w:val="0"/>
                <w:sz w:val="21"/>
                <w:szCs w:val="24"/>
              </w:rPr>
              <w:t>最高限价（万元）</w:t>
            </w:r>
          </w:p>
        </w:tc>
        <w:tc>
          <w:tcPr>
            <w:tcW w:w="1423" w:type="dxa"/>
            <w:tcBorders>
              <w:top w:val="single" w:color="auto" w:sz="4" w:space="0"/>
              <w:left w:val="single" w:color="auto" w:sz="4" w:space="0"/>
              <w:right w:val="single" w:color="auto" w:sz="4" w:space="0"/>
            </w:tcBorders>
            <w:vAlign w:val="center"/>
          </w:tcPr>
          <w:p>
            <w:pPr>
              <w:rPr>
                <w:rFonts w:ascii="宋体" w:hAnsi="宋体" w:cs="宋体"/>
                <w:b/>
                <w:bCs/>
                <w:color w:val="auto"/>
                <w:kern w:val="0"/>
                <w:sz w:val="21"/>
                <w:szCs w:val="24"/>
              </w:rPr>
            </w:pPr>
            <w:r>
              <w:rPr>
                <w:rFonts w:hint="eastAsia" w:ascii="宋体" w:hAnsi="宋体" w:cs="宋体"/>
                <w:b/>
                <w:bCs/>
                <w:color w:val="auto"/>
                <w:kern w:val="0"/>
                <w:sz w:val="21"/>
                <w:szCs w:val="24"/>
              </w:rPr>
              <w:t>磋商保证金</w:t>
            </w:r>
          </w:p>
          <w:p>
            <w:pPr>
              <w:rPr>
                <w:rFonts w:ascii="宋体" w:hAnsi="宋体" w:cs="宋体"/>
                <w:b/>
                <w:bCs/>
                <w:color w:val="auto"/>
                <w:kern w:val="0"/>
                <w:sz w:val="21"/>
                <w:szCs w:val="24"/>
              </w:rPr>
            </w:pPr>
            <w:r>
              <w:rPr>
                <w:rFonts w:hint="eastAsia" w:ascii="宋体" w:hAnsi="宋体" w:cs="宋体"/>
                <w:b/>
                <w:bCs/>
                <w:color w:val="auto"/>
                <w:kern w:val="0"/>
                <w:sz w:val="21"/>
                <w:szCs w:val="24"/>
              </w:rPr>
              <w:t>（万元）</w:t>
            </w:r>
          </w:p>
        </w:tc>
        <w:tc>
          <w:tcPr>
            <w:tcW w:w="1582" w:type="dxa"/>
            <w:tcBorders>
              <w:top w:val="single" w:color="auto" w:sz="4" w:space="0"/>
              <w:left w:val="single" w:color="auto" w:sz="4" w:space="0"/>
              <w:right w:val="single" w:color="auto" w:sz="4" w:space="0"/>
            </w:tcBorders>
            <w:vAlign w:val="center"/>
          </w:tcPr>
          <w:p>
            <w:pP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3149" w:type="dxa"/>
            <w:tcBorders>
              <w:top w:val="single" w:color="auto" w:sz="4" w:space="0"/>
              <w:left w:val="single" w:color="auto" w:sz="4" w:space="0"/>
              <w:right w:val="single" w:color="auto" w:sz="4" w:space="0"/>
            </w:tcBorders>
            <w:vAlign w:val="center"/>
          </w:tcPr>
          <w:p>
            <w:pPr>
              <w:ind w:firstLine="422" w:firstLineChars="200"/>
              <w:rPr>
                <w:rFonts w:ascii="宋体" w:hAnsi="宋体" w:cs="宋体"/>
                <w:b/>
                <w:bCs/>
                <w:color w:val="auto"/>
                <w:kern w:val="0"/>
                <w:sz w:val="21"/>
                <w:szCs w:val="24"/>
              </w:rPr>
            </w:pPr>
            <w:r>
              <w:rPr>
                <w:rFonts w:hint="eastAsia" w:ascii="宋体" w:hAnsi="宋体" w:cs="宋体"/>
                <w:b/>
                <w:bCs/>
                <w:color w:val="auto"/>
                <w:kern w:val="0"/>
                <w:sz w:val="21"/>
                <w:szCs w:val="24"/>
              </w:rPr>
              <w:t>采购标的对应的</w:t>
            </w:r>
          </w:p>
          <w:p>
            <w:pPr>
              <w:rPr>
                <w:rFonts w:ascii="宋体" w:hAnsi="宋体" w:cs="宋体"/>
                <w:b/>
                <w:bCs/>
                <w:color w:val="auto"/>
                <w:kern w:val="0"/>
                <w:sz w:val="21"/>
                <w:szCs w:val="24"/>
              </w:rPr>
            </w:pPr>
            <w:r>
              <w:rPr>
                <w:rFonts w:hint="eastAsia" w:ascii="宋体" w:hAnsi="宋体" w:cs="宋体"/>
                <w:b/>
                <w:bCs/>
                <w:color w:val="auto"/>
                <w:kern w:val="0"/>
                <w:sz w:val="21"/>
                <w:szCs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290" w:type="dxa"/>
            <w:tcBorders>
              <w:top w:val="single" w:color="auto" w:sz="4" w:space="0"/>
              <w:left w:val="single" w:color="auto" w:sz="4" w:space="0"/>
              <w:right w:val="single" w:color="auto" w:sz="4" w:space="0"/>
            </w:tcBorders>
            <w:vAlign w:val="center"/>
          </w:tcPr>
          <w:p>
            <w:pPr>
              <w:widowControl/>
              <w:rPr>
                <w:rFonts w:ascii="宋体" w:hAnsi="宋体" w:cs="宋体"/>
                <w:color w:val="auto"/>
                <w:kern w:val="0"/>
                <w:sz w:val="21"/>
                <w:szCs w:val="24"/>
              </w:rPr>
            </w:pPr>
            <w:bookmarkStart w:id="8" w:name="_Hlk344477914"/>
            <w:r>
              <w:rPr>
                <w:rFonts w:hint="eastAsia" w:ascii="宋体" w:hAnsi="宋体" w:cs="宋体"/>
                <w:color w:val="auto"/>
                <w:kern w:val="0"/>
                <w:sz w:val="21"/>
                <w:szCs w:val="24"/>
              </w:rPr>
              <w:t>重庆市生态环境政务信息系统运维</w:t>
            </w:r>
          </w:p>
        </w:tc>
        <w:tc>
          <w:tcPr>
            <w:tcW w:w="117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rPr>
              <w:t>48.8</w:t>
            </w:r>
          </w:p>
        </w:tc>
        <w:tc>
          <w:tcPr>
            <w:tcW w:w="1423"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rPr>
              <w:t>0.96</w:t>
            </w:r>
          </w:p>
        </w:tc>
        <w:tc>
          <w:tcPr>
            <w:tcW w:w="1582"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rPr>
              <w:t>1</w:t>
            </w:r>
          </w:p>
        </w:tc>
        <w:tc>
          <w:tcPr>
            <w:tcW w:w="3149"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rPr>
              <w:t>软件和信息技术服务业</w:t>
            </w:r>
          </w:p>
        </w:tc>
      </w:tr>
      <w:bookmarkEnd w:id="8"/>
    </w:tbl>
    <w:p>
      <w:pPr>
        <w:pStyle w:val="5"/>
        <w:spacing w:before="0" w:after="0" w:line="400" w:lineRule="exact"/>
        <w:ind w:firstLine="482" w:firstLineChars="200"/>
        <w:rPr>
          <w:rFonts w:ascii="宋体" w:hAnsi="宋体" w:cs="宋体"/>
          <w:color w:val="000000" w:themeColor="text1"/>
          <w:sz w:val="24"/>
          <w:szCs w:val="24"/>
          <w14:textFill>
            <w14:solidFill>
              <w14:schemeClr w14:val="tx1"/>
            </w14:solidFill>
          </w14:textFill>
        </w:rPr>
      </w:pPr>
      <w:bookmarkStart w:id="9" w:name="_Toc19323"/>
      <w:r>
        <w:rPr>
          <w:rFonts w:hint="eastAsia" w:ascii="宋体" w:hAnsi="宋体" w:cs="宋体"/>
          <w:color w:val="000000" w:themeColor="text1"/>
          <w:sz w:val="24"/>
          <w:szCs w:val="24"/>
          <w14:textFill>
            <w14:solidFill>
              <w14:schemeClr w14:val="tx1"/>
            </w14:solidFill>
          </w14:textFill>
        </w:rPr>
        <w:t>二、资金来源</w:t>
      </w:r>
      <w:bookmarkEnd w:id="9"/>
    </w:p>
    <w:p>
      <w:pPr>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财政预算资金。</w:t>
      </w:r>
    </w:p>
    <w:p>
      <w:pPr>
        <w:pStyle w:val="5"/>
        <w:spacing w:before="0" w:after="0" w:line="400" w:lineRule="exact"/>
        <w:ind w:firstLine="482" w:firstLineChars="200"/>
        <w:rPr>
          <w:rFonts w:ascii="宋体" w:hAnsi="宋体" w:cs="宋体"/>
          <w:color w:val="000000" w:themeColor="text1"/>
          <w:sz w:val="24"/>
          <w:szCs w:val="24"/>
          <w14:textFill>
            <w14:solidFill>
              <w14:schemeClr w14:val="tx1"/>
            </w14:solidFill>
          </w14:textFill>
        </w:rPr>
      </w:pPr>
      <w:bookmarkStart w:id="10" w:name="_Toc28454"/>
      <w:r>
        <w:rPr>
          <w:rFonts w:hint="eastAsia" w:ascii="宋体" w:hAnsi="宋体" w:cs="宋体"/>
          <w:color w:val="000000" w:themeColor="text1"/>
          <w:sz w:val="24"/>
          <w:szCs w:val="24"/>
          <w14:textFill>
            <w14:solidFill>
              <w14:schemeClr w14:val="tx1"/>
            </w14:solidFill>
          </w14:textFill>
        </w:rPr>
        <w:t>三、供应商资格要求</w:t>
      </w:r>
      <w:bookmarkEnd w:id="10"/>
    </w:p>
    <w:p>
      <w:pPr>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（一）满足《中华人民共和国政府采购法》第二十二条规定；</w:t>
      </w:r>
    </w:p>
    <w:p>
      <w:pPr>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（二）落实政府采购政策需满足的资格要求：无</w:t>
      </w:r>
    </w:p>
    <w:p>
      <w:pPr>
        <w:spacing w:line="480" w:lineRule="exact"/>
        <w:ind w:firstLine="480" w:firstLineChars="200"/>
        <w:rPr>
          <w:rFonts w:ascii="宋体" w:hAnsi="宋体" w:cs="宋体"/>
          <w:color w:val="auto"/>
          <w:sz w:val="24"/>
          <w:szCs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auto"/>
          <w:sz w:val="24"/>
          <w:szCs w:val="24"/>
        </w:rPr>
        <w:t>三）本项目的特定资格要求：无</w:t>
      </w:r>
    </w:p>
    <w:p>
      <w:pPr>
        <w:pStyle w:val="5"/>
        <w:spacing w:before="0" w:after="0" w:line="400" w:lineRule="exact"/>
        <w:ind w:firstLine="482" w:firstLineChars="200"/>
        <w:rPr>
          <w:rFonts w:ascii="宋体" w:hAnsi="宋体" w:cs="宋体"/>
          <w:color w:val="auto"/>
          <w:sz w:val="24"/>
          <w:szCs w:val="24"/>
        </w:rPr>
      </w:pPr>
      <w:bookmarkStart w:id="11" w:name="_Toc6727"/>
      <w:r>
        <w:rPr>
          <w:rFonts w:hint="eastAsia" w:ascii="宋体" w:hAnsi="宋体" w:cs="宋体"/>
          <w:color w:val="auto"/>
          <w:sz w:val="24"/>
          <w:szCs w:val="24"/>
        </w:rPr>
        <w:t>四、磋商有关说明</w:t>
      </w:r>
      <w:bookmarkEnd w:id="6"/>
      <w:bookmarkEnd w:id="11"/>
      <w:bookmarkStart w:id="12" w:name="_Toc373860294"/>
    </w:p>
    <w:p>
      <w:pPr>
        <w:numPr>
          <w:ilvl w:val="0"/>
          <w:numId w:val="1"/>
        </w:num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凡有意参加磋商采购的供应商，请于公告发布之日（2022年 </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9</w:t>
      </w:r>
      <w:r>
        <w:rPr>
          <w:rFonts w:hint="eastAsia" w:ascii="宋体" w:hAnsi="宋体" w:cs="宋体"/>
          <w:color w:val="auto"/>
          <w:sz w:val="24"/>
          <w:szCs w:val="24"/>
        </w:rPr>
        <w:t>日）起至提交首次响应文件截止时间之前，在重庆市生态环境局政府公众信息网站（http://sthjj.cq.gov.cn）上下载本项目磋商文件、补遗等磋商前公布的所有项目资料，无论供应商下载与否，均视为已知晓所有磋商实质性要求内容。</w:t>
      </w:r>
    </w:p>
    <w:p>
      <w:pPr>
        <w:numPr>
          <w:ilvl w:val="0"/>
          <w:numId w:val="1"/>
        </w:numPr>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竞争性磋商公告期限：自采购公告发布之日（</w:t>
      </w:r>
      <w:r>
        <w:rPr>
          <w:rFonts w:hint="eastAsia" w:ascii="宋体" w:hAnsi="宋体" w:cs="宋体"/>
          <w:color w:val="auto"/>
          <w:sz w:val="24"/>
          <w:szCs w:val="24"/>
        </w:rPr>
        <w:t>2022年</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9</w:t>
      </w:r>
      <w:r>
        <w:rPr>
          <w:rFonts w:hint="eastAsia" w:ascii="宋体" w:hAnsi="宋体" w:cs="宋体"/>
          <w:color w:val="auto"/>
          <w:sz w:val="24"/>
          <w:szCs w:val="24"/>
        </w:rPr>
        <w:t>日</w:t>
      </w:r>
      <w:r>
        <w:rPr>
          <w:rFonts w:hint="eastAsia" w:ascii="宋体" w:hAnsi="宋体" w:cs="宋体"/>
          <w:bCs/>
          <w:color w:val="auto"/>
          <w:sz w:val="24"/>
          <w:szCs w:val="24"/>
        </w:rPr>
        <w:t>）起三个工作日。</w:t>
      </w:r>
    </w:p>
    <w:p>
      <w:pPr>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（三）报名及磋商文件发售</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auto"/>
          <w:sz w:val="24"/>
          <w:szCs w:val="24"/>
        </w:rPr>
        <w:t>1.报名和磋商文件发售期：</w:t>
      </w:r>
      <w:r>
        <w:rPr>
          <w:rFonts w:hint="eastAsia" w:ascii="宋体" w:hAnsi="宋体" w:cs="宋体"/>
          <w:color w:val="auto"/>
          <w:sz w:val="24"/>
          <w:szCs w:val="24"/>
        </w:rPr>
        <w:t xml:space="preserve">2022年 </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9</w:t>
      </w:r>
      <w:r>
        <w:rPr>
          <w:rFonts w:hint="eastAsia" w:ascii="宋体" w:hAnsi="宋体" w:cs="宋体"/>
          <w:color w:val="auto"/>
          <w:sz w:val="24"/>
          <w:szCs w:val="24"/>
        </w:rPr>
        <w:t>日</w:t>
      </w:r>
      <w:r>
        <w:rPr>
          <w:rFonts w:hint="eastAsia" w:ascii="宋体" w:hAnsi="宋体" w:cs="宋体"/>
          <w:bCs/>
          <w:color w:val="auto"/>
          <w:sz w:val="24"/>
          <w:szCs w:val="24"/>
        </w:rPr>
        <w:t>-</w:t>
      </w:r>
      <w:r>
        <w:rPr>
          <w:rFonts w:hint="eastAsia" w:ascii="宋体" w:hAnsi="宋体" w:cs="宋体"/>
          <w:color w:val="auto"/>
          <w:sz w:val="24"/>
          <w:szCs w:val="24"/>
        </w:rPr>
        <w:t xml:space="preserve">2022年 </w:t>
      </w:r>
      <w:r>
        <w:rPr>
          <w:rFonts w:hint="eastAsia" w:ascii="宋体" w:hAnsi="宋体" w:cs="宋体"/>
          <w:color w:val="auto"/>
          <w:sz w:val="24"/>
          <w:szCs w:val="24"/>
          <w:lang w:val="en-US" w:eastAsia="zh-CN"/>
        </w:rPr>
        <w:t>6</w:t>
      </w:r>
      <w:r>
        <w:rPr>
          <w:rFonts w:hint="eastAsia" w:ascii="宋体" w:hAnsi="宋体" w:cs="宋体"/>
          <w:color w:val="auto"/>
          <w:sz w:val="24"/>
          <w:szCs w:val="24"/>
        </w:rPr>
        <w:t xml:space="preserve">月 </w:t>
      </w:r>
      <w:r>
        <w:rPr>
          <w:rFonts w:hint="eastAsia" w:ascii="宋体" w:hAnsi="宋体" w:cs="宋体"/>
          <w:color w:val="auto"/>
          <w:sz w:val="24"/>
          <w:szCs w:val="24"/>
          <w:lang w:val="en-US" w:eastAsia="zh-CN"/>
        </w:rPr>
        <w:t>16</w:t>
      </w:r>
      <w:r>
        <w:rPr>
          <w:rFonts w:hint="eastAsia" w:ascii="宋体" w:hAnsi="宋体" w:cs="宋体"/>
          <w:color w:val="auto"/>
          <w:sz w:val="24"/>
          <w:szCs w:val="24"/>
        </w:rPr>
        <w:t>日</w:t>
      </w:r>
      <w:r>
        <w:rPr>
          <w:rFonts w:hint="eastAsia" w:ascii="宋体" w:hAnsi="宋体" w:cs="宋体"/>
          <w:bCs/>
          <w:color w:val="auto"/>
          <w:sz w:val="24"/>
          <w:szCs w:val="24"/>
        </w:rPr>
        <w:t>17:0</w:t>
      </w:r>
      <w:r>
        <w:rPr>
          <w:rFonts w:hint="eastAsia" w:ascii="宋体" w:hAnsi="宋体" w:cs="宋体"/>
          <w:bCs/>
          <w:color w:val="000000" w:themeColor="text1"/>
          <w:sz w:val="24"/>
          <w:szCs w:val="24"/>
          <w14:textFill>
            <w14:solidFill>
              <w14:schemeClr w14:val="tx1"/>
            </w14:solidFill>
          </w14:textFill>
        </w:rPr>
        <w:t>0</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2.磋商文件售价：人</w:t>
      </w:r>
      <w:r>
        <w:rPr>
          <w:rFonts w:hint="eastAsia" w:ascii="宋体" w:hAnsi="宋体" w:cs="宋体"/>
          <w:color w:val="000000" w:themeColor="text1"/>
          <w:sz w:val="24"/>
          <w:szCs w:val="24"/>
          <w14:textFill>
            <w14:solidFill>
              <w14:schemeClr w14:val="tx1"/>
            </w14:solidFill>
          </w14:textFill>
        </w:rPr>
        <w:t>民币300元/份（</w:t>
      </w:r>
      <w:r>
        <w:rPr>
          <w:rFonts w:hint="eastAsia" w:ascii="宋体" w:hAnsi="宋体" w:cs="宋体"/>
          <w:bCs/>
          <w:color w:val="000000" w:themeColor="text1"/>
          <w:sz w:val="24"/>
          <w:szCs w:val="24"/>
          <w14:textFill>
            <w14:solidFill>
              <w14:schemeClr w14:val="tx1"/>
            </w14:solidFill>
          </w14:textFill>
        </w:rPr>
        <w:t>售后不退）</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2.1磋商文件购买方式</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2.1.1</w:t>
      </w:r>
      <w:r>
        <w:rPr>
          <w:rFonts w:hint="eastAsia" w:ascii="宋体" w:hAnsi="宋体" w:cs="宋体"/>
          <w:b/>
          <w:color w:val="000000" w:themeColor="text1"/>
          <w:sz w:val="24"/>
          <w:szCs w:val="24"/>
          <w14:textFill>
            <w14:solidFill>
              <w14:schemeClr w14:val="tx1"/>
            </w14:solidFill>
          </w14:textFill>
        </w:rPr>
        <w:t>现金购买</w:t>
      </w:r>
    </w:p>
    <w:p>
      <w:pPr>
        <w:spacing w:line="3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在磋商文件发售期内，供应商到重庆市江北区观音桥建新南路11号12-1室登记递交《重庆鼎创招标代理有限公司采购文件发售登记表》（加盖供应商公章）并购买磋商文件。</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2.1.2</w:t>
      </w:r>
      <w:r>
        <w:rPr>
          <w:rFonts w:hint="eastAsia" w:ascii="宋体" w:hAnsi="宋体" w:cs="宋体"/>
          <w:b/>
          <w:color w:val="000000" w:themeColor="text1"/>
          <w:sz w:val="24"/>
          <w:szCs w:val="24"/>
          <w14:textFill>
            <w14:solidFill>
              <w14:schemeClr w14:val="tx1"/>
            </w14:solidFill>
          </w14:textFill>
        </w:rPr>
        <w:t>汇款购买</w:t>
      </w:r>
    </w:p>
    <w:p>
      <w:pPr>
        <w:spacing w:line="460" w:lineRule="exact"/>
        <w:ind w:firstLine="560" w:firstLineChars="200"/>
        <w:rPr>
          <w:rFonts w:ascii="宋体" w:hAnsi="宋体" w:cs="宋体"/>
          <w:bCs/>
          <w:color w:val="000000" w:themeColor="text1"/>
          <w:sz w:val="24"/>
          <w:szCs w:val="24"/>
          <w14:textFill>
            <w14:solidFill>
              <w14:schemeClr w14:val="tx1"/>
            </w14:solidFill>
          </w14:textFill>
        </w:rPr>
      </w:pPr>
      <w:r>
        <w:fldChar w:fldCharType="begin"/>
      </w:r>
      <w:r>
        <w:instrText xml:space="preserve"> HYPERLINK "mailto:在磋商文件发售期内，供应商将磋商文件购买费用汇至以下账户内进行购买。通过汇款方式购买磋商文件的，将磋商文件汇款凭证（注明项目号）、《重庆鼎创招标代理有限公司采购文件发售登记表》（加盖供应商公章）扫描后发送至920067666@qq.com（邮箱）。报名成功时间以代理机构收到以上资料邮箱的显示时间为准。" </w:instrText>
      </w:r>
      <w:r>
        <w:fldChar w:fldCharType="separate"/>
      </w:r>
      <w:r>
        <w:rPr>
          <w:rStyle w:val="65"/>
          <w:rFonts w:hint="eastAsia" w:ascii="宋体" w:hAnsi="宋体" w:cs="宋体"/>
          <w:bCs/>
          <w:color w:val="000000" w:themeColor="text1"/>
          <w:sz w:val="24"/>
          <w:szCs w:val="24"/>
          <w14:textFill>
            <w14:solidFill>
              <w14:schemeClr w14:val="tx1"/>
            </w14:solidFill>
          </w14:textFill>
        </w:rPr>
        <w:t>在磋商文件发售期内，供应商将磋商文件购买费用汇至以下账户内进行购买。通过汇款方式购买磋商文件的，将磋商文件汇款凭证（注明采购执行编号）、《重庆鼎创招标代理有限公司采购文件发售登记表》（加盖供应商公章）扫描后发送至920067666@qq.com（邮箱）。报名成功时间以代理机构收到以上资料邮箱的显示时间为准。</w:t>
      </w:r>
      <w:r>
        <w:rPr>
          <w:rStyle w:val="65"/>
          <w:rFonts w:hint="eastAsia" w:ascii="宋体" w:hAnsi="宋体" w:cs="宋体"/>
          <w:bCs/>
          <w:color w:val="000000" w:themeColor="text1"/>
          <w:sz w:val="24"/>
          <w:szCs w:val="24"/>
          <w14:textFill>
            <w14:solidFill>
              <w14:schemeClr w14:val="tx1"/>
            </w14:solidFill>
          </w14:textFill>
        </w:rPr>
        <w:fldChar w:fldCharType="end"/>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户  名：重庆鼎创招标代理有限公司</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开户行：招商银行股份有限公司重庆观音桥支行</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账  号：123911157910105</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在报名和磋商文件发售期内购买了磋商文件并按以上要求提交了相应资料的供应商，其现场报名才被接收，否则当场退还响应文件。</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（四）供应商须满足以下二种条件，其响应文件才被接受：</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1、按时递交了响应文件；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2、按时报名签到。</w:t>
      </w:r>
    </w:p>
    <w:p>
      <w:pPr>
        <w:spacing w:line="460" w:lineRule="exact"/>
        <w:ind w:firstLine="480" w:firstLineChars="200"/>
        <w:rPr>
          <w:rFonts w:ascii="宋体" w:hAnsi="宋体" w:cs="宋体"/>
          <w:bCs/>
          <w:color w:val="000000" w:themeColor="text1"/>
          <w:sz w:val="24"/>
          <w:szCs w:val="24"/>
          <w14:textFill>
            <w14:solidFill>
              <w14:schemeClr w14:val="tx1"/>
            </w14:solidFill>
          </w14:textFill>
        </w:rPr>
      </w:pPr>
      <w:bookmarkStart w:id="13" w:name="_Toc8970"/>
      <w:r>
        <w:rPr>
          <w:rFonts w:hint="eastAsia" w:ascii="宋体" w:hAnsi="宋体" w:cs="宋体"/>
          <w:bCs/>
          <w:color w:val="000000" w:themeColor="text1"/>
          <w:sz w:val="24"/>
          <w:szCs w:val="24"/>
          <w14:textFill>
            <w14:solidFill>
              <w14:schemeClr w14:val="tx1"/>
            </w14:solidFill>
          </w14:textFill>
        </w:rPr>
        <w:t>（五）磋商地点：重庆市生态环境大数据应用中心会议室（重庆市渝北区礼环南路102号3#楼）。</w:t>
      </w:r>
    </w:p>
    <w:p>
      <w:pPr>
        <w:spacing w:line="460" w:lineRule="exact"/>
        <w:ind w:firstLine="480" w:firstLineChars="200"/>
        <w:rPr>
          <w:rFonts w:ascii="宋体" w:hAnsi="宋体" w:cs="宋体"/>
          <w:bCs/>
          <w:color w:val="auto"/>
          <w:sz w:val="24"/>
          <w:szCs w:val="24"/>
        </w:rPr>
      </w:pPr>
      <w:r>
        <w:rPr>
          <w:rFonts w:hint="eastAsia" w:ascii="宋体" w:hAnsi="宋体" w:cs="宋体"/>
          <w:bCs/>
          <w:color w:val="000000" w:themeColor="text1"/>
          <w:sz w:val="24"/>
          <w:szCs w:val="24"/>
          <w14:textFill>
            <w14:solidFill>
              <w14:schemeClr w14:val="tx1"/>
            </w14:solidFill>
          </w14:textFill>
        </w:rPr>
        <w:t>（六）提交响应文件开始时间</w:t>
      </w:r>
      <w:r>
        <w:rPr>
          <w:rFonts w:hint="eastAsia" w:ascii="宋体" w:hAnsi="宋体" w:cs="宋体"/>
          <w:bCs/>
          <w:color w:val="auto"/>
          <w:sz w:val="24"/>
          <w:szCs w:val="24"/>
        </w:rPr>
        <w:t>：</w:t>
      </w:r>
      <w:r>
        <w:rPr>
          <w:rFonts w:hint="eastAsia" w:ascii="宋体" w:hAnsi="宋体" w:cs="宋体"/>
          <w:color w:val="auto"/>
          <w:sz w:val="24"/>
          <w:szCs w:val="24"/>
        </w:rPr>
        <w:t>2022年</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20</w:t>
      </w:r>
      <w:r>
        <w:rPr>
          <w:rFonts w:hint="eastAsia" w:ascii="宋体" w:hAnsi="宋体" w:cs="宋体"/>
          <w:color w:val="auto"/>
          <w:sz w:val="24"/>
          <w:szCs w:val="24"/>
        </w:rPr>
        <w:t xml:space="preserve"> 日</w:t>
      </w:r>
      <w:r>
        <w:rPr>
          <w:rFonts w:hint="eastAsia" w:ascii="宋体" w:hAnsi="宋体" w:cs="宋体"/>
          <w:bCs/>
          <w:color w:val="auto"/>
          <w:sz w:val="24"/>
          <w:szCs w:val="24"/>
        </w:rPr>
        <w:t xml:space="preserve"> 北京时间 14时00分。</w:t>
      </w:r>
    </w:p>
    <w:p>
      <w:pPr>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（七）提交响应文件截止时间：</w:t>
      </w:r>
      <w:r>
        <w:rPr>
          <w:rFonts w:hint="eastAsia" w:ascii="宋体" w:hAnsi="宋体" w:cs="宋体"/>
          <w:color w:val="auto"/>
          <w:sz w:val="24"/>
          <w:szCs w:val="24"/>
        </w:rPr>
        <w:t xml:space="preserve">2022年 </w:t>
      </w:r>
      <w:r>
        <w:rPr>
          <w:rFonts w:hint="eastAsia" w:ascii="宋体" w:hAnsi="宋体" w:cs="宋体"/>
          <w:color w:val="auto"/>
          <w:sz w:val="24"/>
          <w:szCs w:val="24"/>
          <w:lang w:val="en-US" w:eastAsia="zh-CN"/>
        </w:rPr>
        <w:t>6</w:t>
      </w:r>
      <w:r>
        <w:rPr>
          <w:rFonts w:hint="eastAsia" w:ascii="宋体" w:hAnsi="宋体" w:cs="宋体"/>
          <w:color w:val="auto"/>
          <w:sz w:val="24"/>
          <w:szCs w:val="24"/>
        </w:rPr>
        <w:t xml:space="preserve">月 </w:t>
      </w:r>
      <w:r>
        <w:rPr>
          <w:rFonts w:hint="eastAsia" w:ascii="宋体" w:hAnsi="宋体" w:cs="宋体"/>
          <w:color w:val="auto"/>
          <w:sz w:val="24"/>
          <w:szCs w:val="24"/>
          <w:lang w:val="en-US" w:eastAsia="zh-CN"/>
        </w:rPr>
        <w:t>20</w:t>
      </w:r>
      <w:r>
        <w:rPr>
          <w:rFonts w:hint="eastAsia" w:ascii="宋体" w:hAnsi="宋体" w:cs="宋体"/>
          <w:color w:val="auto"/>
          <w:sz w:val="24"/>
          <w:szCs w:val="24"/>
        </w:rPr>
        <w:t xml:space="preserve"> 日</w:t>
      </w:r>
      <w:r>
        <w:rPr>
          <w:rFonts w:hint="eastAsia" w:ascii="宋体" w:hAnsi="宋体" w:cs="宋体"/>
          <w:bCs/>
          <w:color w:val="auto"/>
          <w:sz w:val="24"/>
          <w:szCs w:val="24"/>
        </w:rPr>
        <w:t xml:space="preserve"> 北京时间14时30分。</w:t>
      </w:r>
    </w:p>
    <w:p>
      <w:pPr>
        <w:spacing w:line="460" w:lineRule="exact"/>
        <w:ind w:firstLine="480" w:firstLineChars="200"/>
        <w:rPr>
          <w:rFonts w:ascii="宋体" w:hAnsi="宋体" w:cs="宋体"/>
          <w:color w:val="auto"/>
          <w:sz w:val="24"/>
          <w:szCs w:val="24"/>
        </w:rPr>
      </w:pPr>
      <w:r>
        <w:rPr>
          <w:rFonts w:hint="eastAsia" w:ascii="宋体" w:hAnsi="宋体" w:cs="宋体"/>
          <w:bCs/>
          <w:color w:val="auto"/>
          <w:sz w:val="24"/>
          <w:szCs w:val="24"/>
        </w:rPr>
        <w:t>（八）磋商开始时间：</w:t>
      </w:r>
      <w:r>
        <w:rPr>
          <w:rFonts w:hint="eastAsia" w:ascii="宋体" w:hAnsi="宋体" w:cs="宋体"/>
          <w:color w:val="auto"/>
          <w:sz w:val="24"/>
          <w:szCs w:val="24"/>
        </w:rPr>
        <w:t xml:space="preserve">2022年 </w:t>
      </w:r>
      <w:r>
        <w:rPr>
          <w:rFonts w:hint="eastAsia" w:ascii="宋体" w:hAnsi="宋体" w:cs="宋体"/>
          <w:color w:val="auto"/>
          <w:sz w:val="24"/>
          <w:szCs w:val="24"/>
          <w:lang w:val="en-US" w:eastAsia="zh-CN"/>
        </w:rPr>
        <w:t>6</w:t>
      </w:r>
      <w:r>
        <w:rPr>
          <w:rFonts w:hint="eastAsia" w:ascii="宋体" w:hAnsi="宋体" w:cs="宋体"/>
          <w:color w:val="auto"/>
          <w:sz w:val="24"/>
          <w:szCs w:val="24"/>
        </w:rPr>
        <w:t xml:space="preserve">月 </w:t>
      </w:r>
      <w:r>
        <w:rPr>
          <w:rFonts w:hint="eastAsia" w:ascii="宋体" w:hAnsi="宋体" w:cs="宋体"/>
          <w:color w:val="auto"/>
          <w:sz w:val="24"/>
          <w:szCs w:val="24"/>
          <w:lang w:val="en-US" w:eastAsia="zh-CN"/>
        </w:rPr>
        <w:t>20</w:t>
      </w:r>
      <w:r>
        <w:rPr>
          <w:rFonts w:hint="eastAsia" w:ascii="宋体" w:hAnsi="宋体" w:cs="宋体"/>
          <w:color w:val="auto"/>
          <w:sz w:val="24"/>
          <w:szCs w:val="24"/>
        </w:rPr>
        <w:t xml:space="preserve">日 </w:t>
      </w:r>
      <w:r>
        <w:rPr>
          <w:rFonts w:hint="eastAsia" w:ascii="宋体" w:hAnsi="宋体" w:cs="宋体"/>
          <w:bCs/>
          <w:color w:val="auto"/>
          <w:sz w:val="24"/>
          <w:szCs w:val="24"/>
        </w:rPr>
        <w:t>北京时间14时30分。</w:t>
      </w:r>
      <w:bookmarkEnd w:id="7"/>
      <w:bookmarkEnd w:id="12"/>
      <w:bookmarkEnd w:id="13"/>
      <w:bookmarkStart w:id="14" w:name="_Toc499576199"/>
      <w:bookmarkStart w:id="15" w:name="_Toc480466698"/>
      <w:bookmarkStart w:id="16" w:name="_Toc479668114"/>
    </w:p>
    <w:p>
      <w:pPr>
        <w:snapToGrid w:val="0"/>
        <w:spacing w:line="440" w:lineRule="exact"/>
        <w:ind w:firstLine="482" w:firstLineChars="200"/>
        <w:rPr>
          <w:rFonts w:ascii="宋体" w:hAnsi="宋体" w:cs="宋体"/>
          <w:b/>
          <w:bCs/>
          <w:color w:val="auto"/>
          <w:sz w:val="24"/>
          <w:szCs w:val="24"/>
        </w:rPr>
      </w:pPr>
      <w:bookmarkStart w:id="17" w:name="_Toc13746"/>
      <w:r>
        <w:rPr>
          <w:rFonts w:hint="eastAsia" w:ascii="宋体" w:hAnsi="宋体" w:cs="宋体"/>
          <w:b/>
          <w:bCs/>
          <w:color w:val="auto"/>
          <w:sz w:val="24"/>
          <w:szCs w:val="24"/>
        </w:rPr>
        <w:t>五、磋商保证金</w:t>
      </w:r>
      <w:bookmarkEnd w:id="17"/>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（一）磋商保证金递交</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须按本项目规定的磋商保证金金额进行缴纳（磋商保证金金额详见本篇，一、竞争性磋商文件内容），由供应商从其基本账户将磋商保证金汇至以下账户，磋商保证金的到账截止时间同提交响应文件截止时间。</w:t>
      </w:r>
    </w:p>
    <w:p>
      <w:pPr>
        <w:snapToGrid w:val="0"/>
        <w:spacing w:line="44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磋商保证金专用账户</w:t>
      </w:r>
    </w:p>
    <w:p>
      <w:pPr>
        <w:snapToGrid w:val="0"/>
        <w:spacing w:line="44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户  名：重庆鼎创招标代理有限公司</w:t>
      </w:r>
    </w:p>
    <w:p>
      <w:pPr>
        <w:snapToGrid w:val="0"/>
        <w:spacing w:line="44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开户行：招商银行重庆分行江北支行 </w:t>
      </w:r>
    </w:p>
    <w:p>
      <w:pPr>
        <w:snapToGrid w:val="0"/>
        <w:spacing w:line="44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账  号：123911157910901</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1、各供应商在银行转账（电汇）时，须充分考虑银行转账（电汇）的时间差风险，如同城转账、异地转账或汇款、跨行转账或电汇的时间要求。</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2、各供应商在递交磋商保证金时，到款账户为上述指定的磋商保证金专用账户，来款账户必须为本公司基本账户。</w:t>
      </w:r>
    </w:p>
    <w:p>
      <w:pPr>
        <w:snapToGrid w:val="0"/>
        <w:spacing w:line="440" w:lineRule="exact"/>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注：各供应商在通过银行转账（电汇）递交磋商保证金时，须在包含但不限于“汇款备注、用途、摘要”栏说明该款项为“磋商保证金”若供应商未按以上要求说明款项用途的，在磋商保证金退还时造成的后果由供应商自行承担。</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（二）磋商保证金退还方式</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1、未成交供应商的磋商保证金，在成交通知书发放后，由采购代理机构在五个工作日内按来款渠道直接退还。</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2、成交供应商的磋商保证金，在成交供应商与采购人签订合同后，由采购代理机构在五个工作日内按资金来款渠道直接退还。</w:t>
      </w:r>
    </w:p>
    <w:p>
      <w:pPr>
        <w:pStyle w:val="5"/>
        <w:spacing w:before="0" w:after="0" w:line="440" w:lineRule="exact"/>
        <w:ind w:firstLine="482" w:firstLineChars="200"/>
        <w:rPr>
          <w:rFonts w:ascii="宋体" w:hAnsi="宋体" w:cs="宋体"/>
          <w:color w:val="000000" w:themeColor="text1"/>
          <w:sz w:val="24"/>
          <w:szCs w:val="24"/>
          <w14:textFill>
            <w14:solidFill>
              <w14:schemeClr w14:val="tx1"/>
            </w14:solidFill>
          </w14:textFill>
        </w:rPr>
      </w:pPr>
      <w:bookmarkStart w:id="18" w:name="_Toc2796"/>
      <w:r>
        <w:rPr>
          <w:rFonts w:hint="eastAsia" w:ascii="宋体" w:hAnsi="宋体" w:cs="宋体"/>
          <w:color w:val="000000" w:themeColor="text1"/>
          <w:sz w:val="24"/>
          <w:szCs w:val="24"/>
          <w14:textFill>
            <w14:solidFill>
              <w14:schemeClr w14:val="tx1"/>
            </w14:solidFill>
          </w14:textFill>
        </w:rPr>
        <w:t>六、采购项目需落实的政府采购政策</w:t>
      </w:r>
      <w:bookmarkEnd w:id="14"/>
      <w:bookmarkEnd w:id="15"/>
      <w:bookmarkEnd w:id="16"/>
      <w:bookmarkEnd w:id="18"/>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（二）按照《财政部 工业和信息化部关于印发&lt;政府采购促进中小企业发展管理办法&gt;的通知》（财库〔2020〕46号）的规定，落实促进中小企业发展政策。</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（三）按照《财政部、司法部关于政府采购支持监狱企业发展有关问题的通知》（财库〔2014〕68号）的规定，落实支持监狱企业发展政策。</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bookmarkStart w:id="19" w:name="_Toc16319"/>
      <w:bookmarkStart w:id="20" w:name="_Toc15260"/>
      <w:bookmarkStart w:id="21" w:name="_Toc6620"/>
      <w:r>
        <w:rPr>
          <w:rFonts w:hint="eastAsia" w:ascii="宋体" w:hAnsi="宋体" w:cs="宋体"/>
          <w:color w:val="000000" w:themeColor="text1"/>
          <w:sz w:val="24"/>
          <w:szCs w:val="24"/>
          <w14:textFill>
            <w14:solidFill>
              <w14:schemeClr w14:val="tx1"/>
            </w14:solidFill>
          </w14:textFill>
        </w:rPr>
        <w:t>（四）按照《三部门联合发布关于促进残疾人就业政府采购政策的通知》（财库〔2017〕 141号）的规定，落实支持残疾人福利性单位发展政策。</w:t>
      </w:r>
      <w:bookmarkEnd w:id="19"/>
      <w:bookmarkEnd w:id="20"/>
      <w:bookmarkEnd w:id="21"/>
    </w:p>
    <w:p>
      <w:pPr>
        <w:pStyle w:val="5"/>
        <w:spacing w:before="0" w:after="0" w:line="400" w:lineRule="exact"/>
        <w:ind w:firstLine="482" w:firstLineChars="200"/>
        <w:rPr>
          <w:rFonts w:ascii="宋体" w:hAnsi="宋体" w:cs="宋体"/>
          <w:color w:val="000000" w:themeColor="text1"/>
          <w:sz w:val="24"/>
          <w:szCs w:val="24"/>
          <w14:textFill>
            <w14:solidFill>
              <w14:schemeClr w14:val="tx1"/>
            </w14:solidFill>
          </w14:textFill>
        </w:rPr>
      </w:pPr>
      <w:bookmarkStart w:id="22" w:name="_Toc1425"/>
      <w:r>
        <w:rPr>
          <w:rFonts w:hint="eastAsia" w:ascii="宋体" w:hAnsi="宋体" w:cs="宋体"/>
          <w:color w:val="000000" w:themeColor="text1"/>
          <w:sz w:val="24"/>
          <w:szCs w:val="24"/>
          <w14:textFill>
            <w14:solidFill>
              <w14:schemeClr w14:val="tx1"/>
            </w14:solidFill>
          </w14:textFill>
        </w:rPr>
        <w:t>七、其它有关规定</w:t>
      </w:r>
      <w:bookmarkEnd w:id="22"/>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（一）单位负责人为同一人或者存在直接控股、管理关系的不同供应商，不得参加同一合同项下的政府采购活动，否则均为无效响应。</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（二）为采购项目提供整体设计、规范编制或者项目管理、监理、检测等服务的供应商，不得再参加该采购项目的其他采购活动，否则均为无效响应。</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项目的补遗文件（如果有）一律在“重庆市生态环境局政府公众信息网站（http://sthjj.cq.gov.cn）”上发布，请各供应商注意下载；无论供应商下载与否，均视同供应商已知晓本项目补遗文件（如果有）的内容。</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（四）超过响应文件截止时间递交的响应文件，恕不接收。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（五）磋商费用：无论磋商结果如何，供应商参与本项目磋商的所有费用均应由供应商自行承担。</w:t>
      </w:r>
    </w:p>
    <w:p>
      <w:pPr>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（六）本项目不接受联合体参与磋商。</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before="0" w:after="0" w:line="400" w:lineRule="exact"/>
        <w:ind w:firstLine="482" w:firstLineChars="200"/>
        <w:rPr>
          <w:rFonts w:ascii="宋体" w:hAnsi="宋体" w:cs="宋体"/>
          <w:color w:val="000000" w:themeColor="text1"/>
          <w:sz w:val="24"/>
          <w:szCs w:val="24"/>
          <w14:textFill>
            <w14:solidFill>
              <w14:schemeClr w14:val="tx1"/>
            </w14:solidFill>
          </w14:textFill>
        </w:rPr>
      </w:pPr>
      <w:bookmarkStart w:id="23" w:name="_Toc2002"/>
      <w:r>
        <w:rPr>
          <w:rFonts w:hint="eastAsia" w:ascii="宋体" w:hAnsi="宋体" w:cs="宋体"/>
          <w:color w:val="000000" w:themeColor="text1"/>
          <w:sz w:val="24"/>
          <w:szCs w:val="24"/>
          <w14:textFill>
            <w14:solidFill>
              <w14:schemeClr w14:val="tx1"/>
            </w14:solidFill>
          </w14:textFill>
        </w:rPr>
        <w:t>八、联系方式</w:t>
      </w:r>
      <w:bookmarkEnd w:id="23"/>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（一）采购人：重庆市生态环境大数据应用中心</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联系人：邬老师</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电  话：023-88521713 </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地  址：重庆市渝北区礼环南路102号 </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（二）采购代理机构：重庆鼎创招标代理有限公司</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联系人：张老师</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  话：023-67865997  15520080139</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  址：重庆市江北区观音桥建新南路11号（浩博天庭）12-1</w:t>
      </w: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bCs/>
          <w:color w:val="000000" w:themeColor="text1"/>
          <w:sz w:val="36"/>
          <w:szCs w:val="30"/>
          <w14:textFill>
            <w14:solidFill>
              <w14:schemeClr w14:val="tx1"/>
            </w14:solidFill>
          </w14:textFill>
        </w:rPr>
        <w:br w:type="page"/>
      </w:r>
    </w:p>
    <w:p>
      <w:pPr>
        <w:pStyle w:val="4"/>
        <w:numPr>
          <w:ilvl w:val="0"/>
          <w:numId w:val="2"/>
        </w:numPr>
        <w:spacing w:before="0" w:after="0" w:line="360" w:lineRule="auto"/>
        <w:ind w:firstLine="723" w:firstLineChars="200"/>
        <w:jc w:val="center"/>
        <w:rPr>
          <w:rFonts w:ascii="宋体" w:hAnsi="宋体" w:eastAsia="宋体" w:cs="宋体"/>
          <w:color w:val="000000" w:themeColor="text1"/>
          <w14:textFill>
            <w14:solidFill>
              <w14:schemeClr w14:val="tx1"/>
            </w14:solidFill>
          </w14:textFill>
        </w:rPr>
      </w:pPr>
      <w:bookmarkStart w:id="24" w:name="_Toc25264"/>
      <w:r>
        <w:rPr>
          <w:rFonts w:hint="eastAsia" w:ascii="宋体" w:hAnsi="宋体" w:eastAsia="宋体" w:cs="宋体"/>
          <w:bCs/>
          <w:color w:val="000000" w:themeColor="text1"/>
          <w:sz w:val="36"/>
          <w:szCs w:val="30"/>
          <w14:textFill>
            <w14:solidFill>
              <w14:schemeClr w14:val="tx1"/>
            </w14:solidFill>
          </w14:textFill>
        </w:rPr>
        <w:t>采购服务需求</w:t>
      </w:r>
      <w:bookmarkEnd w:id="24"/>
      <w:bookmarkStart w:id="25" w:name="_Toc12789058"/>
    </w:p>
    <w:p>
      <w:pPr>
        <w:spacing w:line="400" w:lineRule="exact"/>
        <w:ind w:firstLine="480" w:firstLineChars="200"/>
        <w:rPr>
          <w:rFonts w:ascii="宋体" w:hAnsi="宋体" w:cs="宋体"/>
        </w:rPr>
      </w:pPr>
      <w:r>
        <w:rPr>
          <w:rFonts w:hint="eastAsia" w:ascii="宋体" w:hAnsi="宋体" w:cs="宋体"/>
          <w:sz w:val="24"/>
          <w:szCs w:val="24"/>
        </w:rPr>
        <w:t>“</w:t>
      </w:r>
      <w:r>
        <w:rPr>
          <w:rFonts w:hint="eastAsia" w:ascii="宋体" w:hAnsi="宋体" w:cs="宋体"/>
          <w:b/>
          <w:bCs/>
          <w:sz w:val="24"/>
          <w:szCs w:val="24"/>
        </w:rPr>
        <w:t>※</w:t>
      </w:r>
      <w:r>
        <w:rPr>
          <w:rFonts w:hint="eastAsia" w:ascii="宋体" w:hAnsi="宋体" w:cs="宋体"/>
          <w:sz w:val="24"/>
          <w:szCs w:val="24"/>
        </w:rPr>
        <w:t>”标注的服务需求为符合性审查中的实质性要求，响应文件若不满足按无效响应处理。</w:t>
      </w:r>
    </w:p>
    <w:p>
      <w:pPr>
        <w:pStyle w:val="5"/>
        <w:spacing w:line="100" w:lineRule="exact"/>
        <w:rPr>
          <w:rFonts w:ascii="宋体" w:hAnsi="宋体" w:cs="宋体"/>
          <w:color w:val="000000" w:themeColor="text1"/>
          <w:sz w:val="24"/>
          <w:szCs w:val="24"/>
          <w14:textFill>
            <w14:solidFill>
              <w14:schemeClr w14:val="tx1"/>
            </w14:solidFill>
          </w14:textFill>
        </w:rPr>
      </w:pPr>
      <w:bookmarkStart w:id="26" w:name="_Toc8631"/>
      <w:bookmarkStart w:id="27" w:name="_Toc57903211"/>
      <w:bookmarkStart w:id="28" w:name="_Toc26115"/>
      <w:bookmarkStart w:id="29" w:name="_Toc17576"/>
      <w:r>
        <w:rPr>
          <w:rFonts w:hint="eastAsia" w:ascii="宋体" w:hAnsi="宋体" w:cs="宋体"/>
          <w:color w:val="000000" w:themeColor="text1"/>
          <w:sz w:val="24"/>
          <w:szCs w:val="24"/>
          <w14:textFill>
            <w14:solidFill>
              <w14:schemeClr w14:val="tx1"/>
            </w14:solidFill>
          </w14:textFill>
        </w:rPr>
        <w:t>一、项目</w:t>
      </w:r>
      <w:bookmarkEnd w:id="26"/>
      <w:bookmarkEnd w:id="27"/>
      <w:r>
        <w:rPr>
          <w:rFonts w:hint="eastAsia" w:ascii="宋体" w:hAnsi="宋体" w:cs="宋体"/>
          <w:color w:val="000000" w:themeColor="text1"/>
          <w:sz w:val="24"/>
          <w:szCs w:val="24"/>
          <w14:textFill>
            <w14:solidFill>
              <w14:schemeClr w14:val="tx1"/>
            </w14:solidFill>
          </w14:textFill>
        </w:rPr>
        <w:t>基本概况介绍</w:t>
      </w:r>
      <w:bookmarkEnd w:id="28"/>
      <w:bookmarkEnd w:id="29"/>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30" w:name="_Toc26795"/>
      <w:bookmarkStart w:id="31" w:name="_Toc57903212"/>
      <w:bookmarkStart w:id="32" w:name="_Toc11018"/>
      <w:bookmarkStart w:id="33" w:name="_Toc4022"/>
      <w:bookmarkStart w:id="34" w:name="_Toc313536013"/>
      <w:bookmarkStart w:id="35" w:name="_Toc344475116"/>
      <w:r>
        <w:rPr>
          <w:rFonts w:hint="eastAsia" w:ascii="宋体" w:hAnsi="宋体" w:cs="宋体"/>
          <w:color w:val="000000" w:themeColor="text1"/>
          <w:sz w:val="24"/>
          <w:szCs w:val="24"/>
          <w14:textFill>
            <w14:solidFill>
              <w14:schemeClr w14:val="tx1"/>
            </w14:solidFill>
          </w14:textFill>
        </w:rPr>
        <w:t>重庆市生态环境局一体化政务办公平台项目于2017年11月正式上线运行，系统包含政务门户、公文管理、事务管理、政务督查、政务信息、移动办公、组织人事、科研管理等十余个功能板块，实现了市、区（县）两级上情下达、政令畅通、协同办公。使用单位包括市局机关、直属分局/直属单位、区县生态环境局等50余个独立机构，目前系统用户数量约2800余人。</w:t>
      </w:r>
    </w:p>
    <w:p>
      <w:pPr>
        <w:pStyle w:val="5"/>
        <w:spacing w:line="100" w:lineRule="exact"/>
        <w:rPr>
          <w:rFonts w:ascii="宋体" w:hAnsi="宋体" w:cs="宋体"/>
          <w:color w:val="000000" w:themeColor="text1"/>
          <w:sz w:val="24"/>
          <w:szCs w:val="24"/>
          <w14:textFill>
            <w14:solidFill>
              <w14:schemeClr w14:val="tx1"/>
            </w14:solidFill>
          </w14:textFill>
        </w:rPr>
      </w:pPr>
      <w:bookmarkStart w:id="36" w:name="_Toc16568"/>
      <w:r>
        <w:rPr>
          <w:rFonts w:hint="eastAsia" w:ascii="宋体" w:hAnsi="宋体" w:cs="宋体"/>
          <w:color w:val="000000" w:themeColor="text1"/>
          <w:sz w:val="24"/>
          <w:szCs w:val="24"/>
          <w14:textFill>
            <w14:solidFill>
              <w14:schemeClr w14:val="tx1"/>
            </w14:solidFill>
          </w14:textFill>
        </w:rPr>
        <w:t>二、</w:t>
      </w:r>
      <w:bookmarkEnd w:id="30"/>
      <w:bookmarkEnd w:id="31"/>
      <w:r>
        <w:rPr>
          <w:rFonts w:hint="eastAsia" w:ascii="宋体" w:hAnsi="宋体" w:cs="宋体"/>
          <w:color w:val="000000" w:themeColor="text1"/>
          <w:sz w:val="24"/>
          <w:szCs w:val="24"/>
          <w14:textFill>
            <w14:solidFill>
              <w14:schemeClr w14:val="tx1"/>
            </w14:solidFill>
          </w14:textFill>
        </w:rPr>
        <w:t>服务</w:t>
      </w:r>
      <w:bookmarkEnd w:id="32"/>
      <w:bookmarkEnd w:id="33"/>
      <w:r>
        <w:rPr>
          <w:rFonts w:hint="eastAsia" w:ascii="宋体" w:hAnsi="宋体" w:cs="宋体"/>
          <w:color w:val="000000" w:themeColor="text1"/>
          <w:sz w:val="24"/>
          <w:szCs w:val="24"/>
          <w14:textFill>
            <w14:solidFill>
              <w14:schemeClr w14:val="tx1"/>
            </w14:solidFill>
          </w14:textFill>
        </w:rPr>
        <w:t>及质量要求</w:t>
      </w:r>
      <w:bookmarkEnd w:id="36"/>
    </w:p>
    <w:bookmarkEnd w:id="34"/>
    <w:bookmarkEnd w:id="35"/>
    <w:p>
      <w:pPr>
        <w:spacing w:line="440" w:lineRule="exact"/>
        <w:ind w:firstLine="480" w:firstLineChars="200"/>
        <w:rPr>
          <w:rFonts w:ascii="宋体" w:hAnsi="宋体" w:cs="宋体"/>
          <w:color w:val="auto"/>
          <w:sz w:val="24"/>
        </w:rPr>
      </w:pPr>
      <w:r>
        <w:rPr>
          <w:rFonts w:hint="eastAsia" w:ascii="宋体" w:hAnsi="宋体" w:cs="宋体"/>
          <w:color w:val="auto"/>
          <w:sz w:val="24"/>
        </w:rPr>
        <w:t>为重庆市生态环境局一体化政务办公平台安全、稳定、可靠运行提供运行维护技术保障服务及功能升级。服务内容主要包括：政务办公平台运行过程中发生的故障问题修复、功能缺陷等程序修改，数据服务，巡检服务，应用程序及数据库和服务器环境的性能监测及巡检服务，应用程序及数据库备份及恢复、外部系统对接、人员培训、运维报告、新增</w:t>
      </w:r>
      <w:r>
        <w:rPr>
          <w:rFonts w:ascii="宋体" w:hAnsi="宋体" w:cs="宋体"/>
          <w:color w:val="auto"/>
          <w:sz w:val="24"/>
        </w:rPr>
        <w:t>采购</w:t>
      </w:r>
      <w:r>
        <w:rPr>
          <w:rFonts w:hint="eastAsia" w:ascii="宋体" w:hAnsi="宋体" w:cs="宋体"/>
          <w:color w:val="auto"/>
          <w:sz w:val="24"/>
        </w:rPr>
        <w:t>和</w:t>
      </w:r>
      <w:r>
        <w:rPr>
          <w:rFonts w:ascii="宋体" w:hAnsi="宋体" w:cs="宋体"/>
          <w:color w:val="auto"/>
          <w:sz w:val="24"/>
        </w:rPr>
        <w:t>用印管理、</w:t>
      </w:r>
      <w:r>
        <w:rPr>
          <w:rFonts w:hint="eastAsia" w:ascii="宋体" w:hAnsi="宋体" w:cs="宋体"/>
          <w:color w:val="auto"/>
          <w:sz w:val="24"/>
        </w:rPr>
        <w:t>升级考勤管理等。</w:t>
      </w:r>
    </w:p>
    <w:p>
      <w:pPr>
        <w:pStyle w:val="5"/>
        <w:spacing w:before="0" w:after="0" w:line="440" w:lineRule="exact"/>
        <w:ind w:firstLine="482" w:firstLineChars="200"/>
        <w:rPr>
          <w:rFonts w:ascii="宋体" w:hAnsi="宋体" w:cs="宋体"/>
          <w:sz w:val="24"/>
        </w:rPr>
      </w:pPr>
      <w:bookmarkStart w:id="37" w:name="_Toc31318"/>
      <w:bookmarkStart w:id="38" w:name="_Toc14734"/>
      <w:r>
        <w:rPr>
          <w:rFonts w:hint="eastAsia" w:ascii="宋体" w:hAnsi="宋体" w:cs="宋体"/>
          <w:sz w:val="24"/>
          <w:szCs w:val="24"/>
        </w:rPr>
        <w:t>※</w:t>
      </w:r>
      <w:r>
        <w:rPr>
          <w:rFonts w:hint="eastAsia" w:ascii="宋体" w:hAnsi="宋体" w:cs="宋体"/>
          <w:sz w:val="24"/>
        </w:rPr>
        <w:t>(一)政务办公平台运维服务</w:t>
      </w:r>
      <w:bookmarkEnd w:id="37"/>
      <w:bookmarkEnd w:id="38"/>
    </w:p>
    <w:p>
      <w:pPr>
        <w:rPr>
          <w:rFonts w:hint="eastAsia"/>
        </w:rPr>
      </w:pPr>
      <w:r>
        <w:rPr>
          <w:rFonts w:hint="eastAsia"/>
        </w:rPr>
        <w:t xml:space="preserve">    </w:t>
      </w:r>
      <w:r>
        <w:rPr>
          <w:rFonts w:hint="eastAsia" w:ascii="宋体" w:hAnsi="宋体" w:cs="宋体"/>
          <w:b/>
          <w:sz w:val="24"/>
        </w:rPr>
        <w:t>1.服务</w:t>
      </w:r>
      <w:r>
        <w:rPr>
          <w:rFonts w:ascii="宋体" w:hAnsi="宋体" w:cs="宋体"/>
          <w:b/>
          <w:sz w:val="24"/>
        </w:rPr>
        <w:t>项目</w:t>
      </w:r>
    </w:p>
    <w:tbl>
      <w:tblPr>
        <w:tblStyle w:val="57"/>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787"/>
        <w:gridCol w:w="5282"/>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spacing w:line="440" w:lineRule="exact"/>
              <w:jc w:val="center"/>
              <w:rPr>
                <w:rFonts w:ascii="宋体" w:hAnsi="宋体" w:cs="宋体"/>
                <w:b/>
                <w:bCs/>
                <w:sz w:val="24"/>
              </w:rPr>
            </w:pPr>
            <w:r>
              <w:rPr>
                <w:rFonts w:hint="eastAsia" w:ascii="宋体" w:hAnsi="宋体" w:cs="宋体"/>
                <w:b/>
                <w:bCs/>
                <w:sz w:val="24"/>
              </w:rPr>
              <w:t>序号</w:t>
            </w:r>
          </w:p>
        </w:tc>
        <w:tc>
          <w:tcPr>
            <w:tcW w:w="1787" w:type="dxa"/>
            <w:vAlign w:val="center"/>
          </w:tcPr>
          <w:p>
            <w:pPr>
              <w:spacing w:line="440" w:lineRule="exact"/>
              <w:jc w:val="center"/>
              <w:rPr>
                <w:rFonts w:ascii="宋体" w:hAnsi="宋体" w:cs="宋体"/>
                <w:b/>
                <w:bCs/>
                <w:sz w:val="24"/>
              </w:rPr>
            </w:pPr>
            <w:r>
              <w:rPr>
                <w:rFonts w:hint="eastAsia" w:ascii="宋体" w:hAnsi="宋体" w:cs="宋体"/>
                <w:b/>
                <w:bCs/>
                <w:sz w:val="24"/>
              </w:rPr>
              <w:t>服务项目</w:t>
            </w:r>
          </w:p>
        </w:tc>
        <w:tc>
          <w:tcPr>
            <w:tcW w:w="5282" w:type="dxa"/>
            <w:vAlign w:val="center"/>
          </w:tcPr>
          <w:p>
            <w:pPr>
              <w:spacing w:line="440" w:lineRule="exact"/>
              <w:jc w:val="center"/>
              <w:rPr>
                <w:rFonts w:ascii="宋体" w:hAnsi="宋体" w:cs="宋体"/>
                <w:b/>
                <w:bCs/>
                <w:sz w:val="24"/>
              </w:rPr>
            </w:pPr>
            <w:r>
              <w:rPr>
                <w:rFonts w:hint="eastAsia" w:ascii="宋体" w:hAnsi="宋体" w:cs="宋体"/>
                <w:b/>
                <w:bCs/>
                <w:sz w:val="24"/>
              </w:rPr>
              <w:t>服务内容</w:t>
            </w:r>
          </w:p>
        </w:tc>
        <w:tc>
          <w:tcPr>
            <w:tcW w:w="1881" w:type="dxa"/>
            <w:vAlign w:val="center"/>
          </w:tcPr>
          <w:p>
            <w:pPr>
              <w:spacing w:line="440" w:lineRule="exact"/>
              <w:jc w:val="center"/>
              <w:rPr>
                <w:rFonts w:ascii="宋体" w:hAnsi="宋体" w:cs="宋体"/>
                <w:b/>
                <w:bCs/>
                <w:sz w:val="24"/>
              </w:rPr>
            </w:pPr>
            <w:r>
              <w:rPr>
                <w:rFonts w:hint="eastAsia" w:ascii="宋体" w:hAnsi="宋体" w:cs="宋体"/>
                <w:b/>
                <w:bCs/>
                <w:sz w:val="24"/>
              </w:rPr>
              <w:t>服务规格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1</w:t>
            </w:r>
          </w:p>
        </w:tc>
        <w:tc>
          <w:tcPr>
            <w:tcW w:w="1787" w:type="dxa"/>
            <w:vAlign w:val="center"/>
          </w:tcPr>
          <w:p>
            <w:pPr>
              <w:rPr>
                <w:rFonts w:ascii="宋体" w:hAnsi="宋体" w:cs="宋体"/>
                <w:sz w:val="24"/>
              </w:rPr>
            </w:pPr>
            <w:r>
              <w:rPr>
                <w:rFonts w:hint="eastAsia" w:ascii="宋体" w:hAnsi="宋体" w:cs="宋体"/>
                <w:sz w:val="24"/>
              </w:rPr>
              <w:t>问题故障修复</w:t>
            </w:r>
          </w:p>
        </w:tc>
        <w:tc>
          <w:tcPr>
            <w:tcW w:w="5282" w:type="dxa"/>
            <w:vAlign w:val="center"/>
          </w:tcPr>
          <w:p>
            <w:pPr>
              <w:rPr>
                <w:rFonts w:ascii="宋体" w:hAnsi="宋体" w:cs="宋体"/>
                <w:sz w:val="24"/>
              </w:rPr>
            </w:pPr>
            <w:r>
              <w:rPr>
                <w:rFonts w:hint="eastAsia" w:ascii="宋体" w:hAnsi="宋体" w:cs="宋体"/>
                <w:sz w:val="24"/>
              </w:rPr>
              <w:t>提供针对一体化政务办公平台存在的BUG、问题的修复和整改服务（不涉及平台基本结构功能改变）。</w:t>
            </w:r>
          </w:p>
        </w:tc>
        <w:tc>
          <w:tcPr>
            <w:tcW w:w="1881" w:type="dxa"/>
            <w:vAlign w:val="center"/>
          </w:tcPr>
          <w:p>
            <w:pPr>
              <w:jc w:val="cente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2</w:t>
            </w:r>
          </w:p>
        </w:tc>
        <w:tc>
          <w:tcPr>
            <w:tcW w:w="1787" w:type="dxa"/>
            <w:vAlign w:val="center"/>
          </w:tcPr>
          <w:p>
            <w:pPr>
              <w:rPr>
                <w:rFonts w:ascii="宋体" w:hAnsi="宋体" w:cs="宋体"/>
                <w:sz w:val="24"/>
              </w:rPr>
            </w:pPr>
            <w:r>
              <w:rPr>
                <w:rFonts w:hint="eastAsia" w:ascii="宋体" w:hAnsi="宋体" w:cs="宋体"/>
                <w:sz w:val="24"/>
              </w:rPr>
              <w:t>程序（操作级）修改</w:t>
            </w:r>
          </w:p>
        </w:tc>
        <w:tc>
          <w:tcPr>
            <w:tcW w:w="5282" w:type="dxa"/>
            <w:vAlign w:val="center"/>
          </w:tcPr>
          <w:p>
            <w:pPr>
              <w:rPr>
                <w:rFonts w:ascii="宋体" w:hAnsi="宋体" w:cs="宋体"/>
                <w:sz w:val="24"/>
              </w:rPr>
            </w:pPr>
            <w:r>
              <w:rPr>
                <w:rFonts w:hint="eastAsia" w:ascii="宋体" w:hAnsi="宋体" w:cs="宋体"/>
                <w:sz w:val="24"/>
              </w:rPr>
              <w:t>提供原有功能缺陷以及便捷性等需要而产生的程序修改服务。</w:t>
            </w:r>
          </w:p>
        </w:tc>
        <w:tc>
          <w:tcPr>
            <w:tcW w:w="1881" w:type="dxa"/>
            <w:vAlign w:val="center"/>
          </w:tcPr>
          <w:p>
            <w:pPr>
              <w:jc w:val="cente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3</w:t>
            </w:r>
          </w:p>
        </w:tc>
        <w:tc>
          <w:tcPr>
            <w:tcW w:w="1787" w:type="dxa"/>
            <w:vAlign w:val="center"/>
          </w:tcPr>
          <w:p>
            <w:pPr>
              <w:rPr>
                <w:rFonts w:ascii="宋体" w:hAnsi="宋体" w:cs="宋体"/>
                <w:sz w:val="24"/>
              </w:rPr>
            </w:pPr>
            <w:r>
              <w:rPr>
                <w:rFonts w:hint="eastAsia" w:ascii="宋体" w:hAnsi="宋体" w:cs="宋体"/>
                <w:sz w:val="24"/>
              </w:rPr>
              <w:t>数据服务</w:t>
            </w:r>
          </w:p>
        </w:tc>
        <w:tc>
          <w:tcPr>
            <w:tcW w:w="5282" w:type="dxa"/>
            <w:vAlign w:val="center"/>
          </w:tcPr>
          <w:p>
            <w:pPr>
              <w:rPr>
                <w:rFonts w:ascii="宋体" w:hAnsi="宋体" w:cs="宋体"/>
                <w:sz w:val="24"/>
              </w:rPr>
            </w:pPr>
            <w:r>
              <w:rPr>
                <w:rFonts w:hint="eastAsia" w:ascii="宋体" w:hAnsi="宋体" w:cs="宋体"/>
                <w:sz w:val="24"/>
              </w:rPr>
              <w:t>提供组织机构人员调整、错误记录修改、机构整合、批量数据清理、统计等数据服务。</w:t>
            </w:r>
          </w:p>
        </w:tc>
        <w:tc>
          <w:tcPr>
            <w:tcW w:w="1881" w:type="dxa"/>
            <w:vAlign w:val="center"/>
          </w:tcPr>
          <w:p>
            <w:pPr>
              <w:jc w:val="cente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4</w:t>
            </w:r>
          </w:p>
        </w:tc>
        <w:tc>
          <w:tcPr>
            <w:tcW w:w="1787" w:type="dxa"/>
            <w:vAlign w:val="center"/>
          </w:tcPr>
          <w:p>
            <w:pPr>
              <w:rPr>
                <w:rFonts w:ascii="宋体" w:hAnsi="宋体" w:cs="宋体"/>
                <w:sz w:val="24"/>
              </w:rPr>
            </w:pPr>
            <w:r>
              <w:rPr>
                <w:rFonts w:hint="eastAsia" w:ascii="宋体" w:hAnsi="宋体" w:cs="宋体"/>
                <w:sz w:val="24"/>
              </w:rPr>
              <w:t>巡检服务</w:t>
            </w:r>
          </w:p>
        </w:tc>
        <w:tc>
          <w:tcPr>
            <w:tcW w:w="5282" w:type="dxa"/>
            <w:vAlign w:val="center"/>
          </w:tcPr>
          <w:p>
            <w:pPr>
              <w:rPr>
                <w:rFonts w:ascii="宋体" w:hAnsi="宋体" w:cs="宋体"/>
                <w:sz w:val="24"/>
              </w:rPr>
            </w:pPr>
            <w:r>
              <w:rPr>
                <w:rFonts w:hint="eastAsia" w:ascii="宋体" w:hAnsi="宋体" w:cs="宋体"/>
                <w:sz w:val="24"/>
              </w:rPr>
              <w:t>提供针对应用程序、数据库和服务器环境的性能监测及巡检服务。</w:t>
            </w:r>
          </w:p>
        </w:tc>
        <w:tc>
          <w:tcPr>
            <w:tcW w:w="1881" w:type="dxa"/>
            <w:vAlign w:val="center"/>
          </w:tcPr>
          <w:p>
            <w:pPr>
              <w:rPr>
                <w:rFonts w:ascii="宋体" w:hAnsi="宋体" w:cs="宋体"/>
                <w:sz w:val="24"/>
              </w:rPr>
            </w:pPr>
            <w:r>
              <w:rPr>
                <w:rFonts w:hint="eastAsia" w:ascii="宋体" w:hAnsi="宋体" w:cs="宋体"/>
                <w:sz w:val="24"/>
              </w:rPr>
              <w:t>每周例行检查1次，每月至少大巡检1次，节假日重点检查。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5</w:t>
            </w:r>
          </w:p>
        </w:tc>
        <w:tc>
          <w:tcPr>
            <w:tcW w:w="1787" w:type="dxa"/>
            <w:vAlign w:val="center"/>
          </w:tcPr>
          <w:p>
            <w:pPr>
              <w:rPr>
                <w:rFonts w:ascii="宋体" w:hAnsi="宋体" w:cs="宋体"/>
                <w:sz w:val="24"/>
              </w:rPr>
            </w:pPr>
            <w:r>
              <w:rPr>
                <w:rFonts w:hint="eastAsia" w:ascii="宋体" w:hAnsi="宋体" w:cs="宋体"/>
                <w:sz w:val="24"/>
              </w:rPr>
              <w:t>应用程序环境及数据库恢复服务</w:t>
            </w:r>
          </w:p>
        </w:tc>
        <w:tc>
          <w:tcPr>
            <w:tcW w:w="5282" w:type="dxa"/>
            <w:vAlign w:val="center"/>
          </w:tcPr>
          <w:p>
            <w:pPr>
              <w:rPr>
                <w:rFonts w:ascii="宋体" w:hAnsi="宋体" w:cs="宋体"/>
                <w:sz w:val="24"/>
              </w:rPr>
            </w:pPr>
            <w:r>
              <w:rPr>
                <w:rFonts w:hint="eastAsia" w:ascii="宋体" w:hAnsi="宋体" w:cs="宋体"/>
                <w:sz w:val="24"/>
              </w:rPr>
              <w:t>提供因服务器宕机等原因造成的应用程序及数据库恢复服务。</w:t>
            </w:r>
          </w:p>
        </w:tc>
        <w:tc>
          <w:tcPr>
            <w:tcW w:w="1881" w:type="dxa"/>
            <w:vAlign w:val="center"/>
          </w:tcPr>
          <w:p>
            <w:pP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6</w:t>
            </w:r>
          </w:p>
        </w:tc>
        <w:tc>
          <w:tcPr>
            <w:tcW w:w="1787" w:type="dxa"/>
            <w:vAlign w:val="center"/>
          </w:tcPr>
          <w:p>
            <w:pPr>
              <w:rPr>
                <w:rFonts w:ascii="宋体" w:hAnsi="宋体" w:cs="宋体"/>
                <w:sz w:val="24"/>
              </w:rPr>
            </w:pPr>
            <w:r>
              <w:rPr>
                <w:rFonts w:hint="eastAsia" w:ascii="宋体" w:hAnsi="宋体" w:cs="宋体"/>
                <w:sz w:val="24"/>
              </w:rPr>
              <w:t>应用程序热备</w:t>
            </w:r>
          </w:p>
        </w:tc>
        <w:tc>
          <w:tcPr>
            <w:tcW w:w="5282" w:type="dxa"/>
            <w:vAlign w:val="center"/>
          </w:tcPr>
          <w:p>
            <w:pPr>
              <w:rPr>
                <w:rFonts w:ascii="宋体" w:hAnsi="宋体" w:cs="宋体"/>
                <w:sz w:val="24"/>
              </w:rPr>
            </w:pPr>
            <w:r>
              <w:rPr>
                <w:rFonts w:hint="eastAsia" w:ascii="宋体" w:hAnsi="宋体" w:cs="宋体"/>
                <w:sz w:val="24"/>
              </w:rPr>
              <w:t xml:space="preserve">提供应用程序热备服务。 </w:t>
            </w:r>
          </w:p>
        </w:tc>
        <w:tc>
          <w:tcPr>
            <w:tcW w:w="1881" w:type="dxa"/>
            <w:vAlign w:val="center"/>
          </w:tcPr>
          <w:p>
            <w:pPr>
              <w:rPr>
                <w:rFonts w:ascii="宋体" w:hAnsi="宋体" w:cs="宋体"/>
                <w:sz w:val="24"/>
              </w:rPr>
            </w:pPr>
            <w:r>
              <w:rPr>
                <w:rFonts w:hint="eastAsia" w:ascii="宋体" w:hAnsi="宋体" w:cs="宋体"/>
                <w:sz w:val="24"/>
              </w:rPr>
              <w:t>每月需人工切换一次。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7</w:t>
            </w:r>
          </w:p>
        </w:tc>
        <w:tc>
          <w:tcPr>
            <w:tcW w:w="1787" w:type="dxa"/>
            <w:vAlign w:val="center"/>
          </w:tcPr>
          <w:p>
            <w:pPr>
              <w:rPr>
                <w:rFonts w:ascii="宋体" w:hAnsi="宋体" w:cs="宋体"/>
                <w:sz w:val="24"/>
              </w:rPr>
            </w:pPr>
            <w:r>
              <w:rPr>
                <w:rFonts w:hint="eastAsia" w:ascii="宋体" w:hAnsi="宋体" w:cs="宋体"/>
                <w:sz w:val="24"/>
              </w:rPr>
              <w:t>数据库备份</w:t>
            </w:r>
          </w:p>
        </w:tc>
        <w:tc>
          <w:tcPr>
            <w:tcW w:w="5282" w:type="dxa"/>
            <w:vAlign w:val="center"/>
          </w:tcPr>
          <w:p>
            <w:pPr>
              <w:rPr>
                <w:rFonts w:ascii="宋体" w:hAnsi="宋体" w:cs="宋体"/>
                <w:sz w:val="24"/>
              </w:rPr>
            </w:pPr>
            <w:r>
              <w:rPr>
                <w:rFonts w:hint="eastAsia" w:ascii="宋体" w:hAnsi="宋体" w:cs="宋体"/>
                <w:sz w:val="24"/>
              </w:rPr>
              <w:t>提供数据库自动备份和手动备份。</w:t>
            </w:r>
          </w:p>
        </w:tc>
        <w:tc>
          <w:tcPr>
            <w:tcW w:w="1881" w:type="dxa"/>
            <w:vAlign w:val="center"/>
          </w:tcPr>
          <w:p>
            <w:pP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8</w:t>
            </w:r>
          </w:p>
        </w:tc>
        <w:tc>
          <w:tcPr>
            <w:tcW w:w="1787" w:type="dxa"/>
            <w:vAlign w:val="center"/>
          </w:tcPr>
          <w:p>
            <w:pPr>
              <w:rPr>
                <w:rFonts w:ascii="宋体" w:hAnsi="宋体" w:cs="宋体"/>
                <w:sz w:val="24"/>
              </w:rPr>
            </w:pPr>
            <w:r>
              <w:rPr>
                <w:rFonts w:hint="eastAsia" w:ascii="宋体" w:hAnsi="宋体" w:cs="宋体"/>
                <w:sz w:val="24"/>
              </w:rPr>
              <w:t>外部系统对接</w:t>
            </w:r>
          </w:p>
        </w:tc>
        <w:tc>
          <w:tcPr>
            <w:tcW w:w="5282" w:type="dxa"/>
            <w:vAlign w:val="center"/>
          </w:tcPr>
          <w:p>
            <w:pPr>
              <w:rPr>
                <w:rFonts w:ascii="宋体" w:hAnsi="宋体" w:cs="宋体"/>
                <w:kern w:val="0"/>
                <w:sz w:val="24"/>
              </w:rPr>
            </w:pPr>
            <w:r>
              <w:rPr>
                <w:rFonts w:hint="eastAsia" w:ascii="宋体" w:hAnsi="宋体" w:cs="宋体"/>
                <w:sz w:val="24"/>
              </w:rPr>
              <w:t>实现政务办公平台与采购方外部系统的集成对接，开放相关接口，配合采购</w:t>
            </w:r>
            <w:r>
              <w:rPr>
                <w:rFonts w:hint="eastAsia" w:ascii="宋体" w:hAnsi="宋体" w:cs="宋体"/>
                <w:color w:val="FF0000"/>
                <w:sz w:val="24"/>
              </w:rPr>
              <w:t>人</w:t>
            </w:r>
            <w:r>
              <w:rPr>
                <w:rFonts w:hint="eastAsia" w:ascii="宋体" w:hAnsi="宋体" w:cs="宋体"/>
                <w:sz w:val="24"/>
              </w:rPr>
              <w:t xml:space="preserve">完成数据迁移、系统调试等工作，同步提供迁移调试所需的文档资料等。 </w:t>
            </w:r>
          </w:p>
        </w:tc>
        <w:tc>
          <w:tcPr>
            <w:tcW w:w="1881" w:type="dxa"/>
            <w:vAlign w:val="center"/>
          </w:tcPr>
          <w:p>
            <w:pP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 xml:space="preserve">9 </w:t>
            </w:r>
          </w:p>
        </w:tc>
        <w:tc>
          <w:tcPr>
            <w:tcW w:w="1787" w:type="dxa"/>
          </w:tcPr>
          <w:p>
            <w:pPr>
              <w:rPr>
                <w:rFonts w:ascii="宋体" w:hAnsi="宋体" w:cs="宋体"/>
                <w:sz w:val="24"/>
              </w:rPr>
            </w:pPr>
            <w:r>
              <w:rPr>
                <w:rFonts w:hint="eastAsia" w:ascii="宋体" w:hAnsi="宋体" w:cs="宋体"/>
                <w:sz w:val="24"/>
              </w:rPr>
              <w:t>操作人员培训</w:t>
            </w:r>
          </w:p>
        </w:tc>
        <w:tc>
          <w:tcPr>
            <w:tcW w:w="5282" w:type="dxa"/>
          </w:tcPr>
          <w:p>
            <w:pPr>
              <w:rPr>
                <w:rFonts w:ascii="宋体" w:hAnsi="宋体" w:cs="宋体"/>
                <w:sz w:val="24"/>
              </w:rPr>
            </w:pPr>
            <w:r>
              <w:rPr>
                <w:rFonts w:hint="eastAsia" w:ascii="宋体" w:hAnsi="宋体" w:cs="宋体"/>
                <w:sz w:val="24"/>
              </w:rPr>
              <w:t>提供采购人操作培训服务。</w:t>
            </w:r>
          </w:p>
        </w:tc>
        <w:tc>
          <w:tcPr>
            <w:tcW w:w="1881" w:type="dxa"/>
            <w:vAlign w:val="center"/>
          </w:tcPr>
          <w:p>
            <w:pPr>
              <w:rPr>
                <w:rFonts w:ascii="宋体" w:hAnsi="宋体" w:cs="宋体"/>
                <w:sz w:val="24"/>
              </w:rPr>
            </w:pPr>
            <w:r>
              <w:rPr>
                <w:rFonts w:hint="eastAsia" w:ascii="宋体" w:hAnsi="宋体" w:cs="宋体"/>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jc w:val="center"/>
              <w:rPr>
                <w:rFonts w:ascii="宋体" w:hAnsi="宋体" w:cs="宋体"/>
                <w:sz w:val="24"/>
              </w:rPr>
            </w:pPr>
            <w:r>
              <w:rPr>
                <w:rFonts w:hint="eastAsia" w:ascii="宋体" w:hAnsi="宋体" w:cs="宋体"/>
                <w:sz w:val="24"/>
              </w:rPr>
              <w:t>10</w:t>
            </w:r>
          </w:p>
        </w:tc>
        <w:tc>
          <w:tcPr>
            <w:tcW w:w="1787" w:type="dxa"/>
          </w:tcPr>
          <w:p>
            <w:pPr>
              <w:rPr>
                <w:rFonts w:ascii="宋体" w:hAnsi="宋体" w:cs="宋体"/>
                <w:sz w:val="24"/>
              </w:rPr>
            </w:pPr>
            <w:r>
              <w:rPr>
                <w:rFonts w:hint="eastAsia" w:ascii="宋体" w:hAnsi="宋体" w:cs="宋体"/>
                <w:sz w:val="24"/>
              </w:rPr>
              <w:t>运维报告</w:t>
            </w:r>
          </w:p>
        </w:tc>
        <w:tc>
          <w:tcPr>
            <w:tcW w:w="5282" w:type="dxa"/>
          </w:tcPr>
          <w:p>
            <w:pPr>
              <w:rPr>
                <w:rFonts w:ascii="宋体" w:hAnsi="宋体" w:cs="宋体"/>
                <w:sz w:val="24"/>
              </w:rPr>
            </w:pPr>
            <w:r>
              <w:rPr>
                <w:rFonts w:hint="eastAsia" w:ascii="宋体" w:hAnsi="宋体" w:cs="宋体"/>
                <w:sz w:val="24"/>
              </w:rPr>
              <w:t>提交每月运维报告、半年运维报告和本项目运维服务期整体运维报告</w:t>
            </w:r>
          </w:p>
        </w:tc>
        <w:tc>
          <w:tcPr>
            <w:tcW w:w="1881" w:type="dxa"/>
            <w:vAlign w:val="center"/>
          </w:tcPr>
          <w:p>
            <w:pPr>
              <w:rPr>
                <w:rFonts w:ascii="宋体" w:hAnsi="宋体" w:cs="宋体"/>
                <w:sz w:val="24"/>
              </w:rPr>
            </w:pPr>
            <w:r>
              <w:rPr>
                <w:rFonts w:hint="eastAsia" w:ascii="宋体" w:hAnsi="宋体" w:cs="宋体"/>
                <w:sz w:val="24"/>
              </w:rPr>
              <w:t>按月、半年、年提交</w:t>
            </w:r>
          </w:p>
        </w:tc>
      </w:tr>
    </w:tbl>
    <w:p>
      <w:pPr>
        <w:spacing w:line="440" w:lineRule="exact"/>
        <w:ind w:firstLine="482" w:firstLineChars="200"/>
        <w:rPr>
          <w:rFonts w:ascii="宋体" w:hAnsi="宋体" w:cs="宋体"/>
          <w:b/>
          <w:sz w:val="24"/>
        </w:rPr>
      </w:pPr>
      <w:r>
        <w:rPr>
          <w:rFonts w:hint="eastAsia" w:ascii="宋体" w:hAnsi="宋体" w:cs="宋体"/>
          <w:b/>
          <w:sz w:val="24"/>
        </w:rPr>
        <w:t>2.服务措施</w:t>
      </w:r>
    </w:p>
    <w:p>
      <w:pPr>
        <w:spacing w:line="440" w:lineRule="exact"/>
        <w:ind w:firstLine="480" w:firstLineChars="200"/>
        <w:rPr>
          <w:rFonts w:ascii="宋体" w:hAnsi="宋体" w:cs="宋体"/>
          <w:sz w:val="24"/>
        </w:rPr>
      </w:pPr>
      <w:r>
        <w:rPr>
          <w:rFonts w:hint="eastAsia" w:ascii="宋体" w:hAnsi="宋体" w:cs="宋体"/>
          <w:sz w:val="24"/>
        </w:rPr>
        <w:t>供应商提供的各项技术保障服务，均需做好相关服务记录，完善服务手续。</w:t>
      </w:r>
    </w:p>
    <w:p>
      <w:pPr>
        <w:spacing w:line="440" w:lineRule="exact"/>
        <w:ind w:firstLine="482" w:firstLineChars="200"/>
        <w:rPr>
          <w:rFonts w:ascii="宋体" w:hAnsi="宋体" w:cs="宋体"/>
          <w:sz w:val="24"/>
        </w:rPr>
      </w:pPr>
      <w:r>
        <w:rPr>
          <w:rFonts w:hint="eastAsia" w:ascii="宋体" w:hAnsi="宋体" w:cs="宋体"/>
          <w:b/>
          <w:bCs/>
          <w:sz w:val="24"/>
          <w:szCs w:val="24"/>
        </w:rPr>
        <w:t>※</w:t>
      </w:r>
      <w:r>
        <w:rPr>
          <w:rFonts w:hint="eastAsia" w:ascii="宋体" w:hAnsi="宋体" w:cs="宋体"/>
          <w:sz w:val="24"/>
        </w:rPr>
        <w:t>2.1驻场服务</w:t>
      </w:r>
    </w:p>
    <w:p>
      <w:pPr>
        <w:spacing w:line="440" w:lineRule="exact"/>
        <w:ind w:firstLine="480" w:firstLineChars="200"/>
        <w:rPr>
          <w:rFonts w:ascii="宋体" w:hAnsi="宋体" w:cs="宋体"/>
          <w:sz w:val="24"/>
        </w:rPr>
      </w:pPr>
      <w:r>
        <w:rPr>
          <w:rFonts w:hint="eastAsia" w:ascii="宋体" w:hAnsi="宋体" w:cs="宋体"/>
          <w:sz w:val="24"/>
        </w:rPr>
        <w:t>供应商在本项目运维服务期间派遣至少2名运维服务工程师到市生态环境大数据应用中心驻场（根据采购人安排进行运维工作，工作时间、工作内容、工作地点按采购人要求实施），提供现场技术支持服务。</w:t>
      </w:r>
    </w:p>
    <w:p>
      <w:pPr>
        <w:spacing w:line="440" w:lineRule="exact"/>
        <w:ind w:firstLine="480" w:firstLineChars="200"/>
        <w:rPr>
          <w:rFonts w:ascii="宋体" w:hAnsi="宋体" w:cs="宋体"/>
          <w:sz w:val="24"/>
        </w:rPr>
      </w:pPr>
      <w:r>
        <w:rPr>
          <w:rFonts w:hint="eastAsia" w:ascii="宋体" w:hAnsi="宋体" w:cs="宋体"/>
          <w:sz w:val="24"/>
        </w:rPr>
        <w:t>2.2热线服务</w:t>
      </w:r>
    </w:p>
    <w:p>
      <w:pPr>
        <w:spacing w:line="440" w:lineRule="exact"/>
        <w:ind w:firstLine="480" w:firstLineChars="200"/>
        <w:rPr>
          <w:rFonts w:ascii="宋体" w:hAnsi="宋体" w:cs="宋体"/>
          <w:sz w:val="24"/>
        </w:rPr>
      </w:pPr>
      <w:r>
        <w:rPr>
          <w:rFonts w:hint="eastAsia" w:ascii="宋体" w:hAnsi="宋体" w:cs="宋体"/>
          <w:sz w:val="24"/>
        </w:rPr>
        <w:t>供应商应在服务期内为采购人提供7x24小时不间断的技术支持响应，对电话中无法解决的问题，根据采购人需要协助驻场技术人员提供现场技术支持并提出解决方案。定期与采购人沟通，主动了解系统运行情况。</w:t>
      </w:r>
    </w:p>
    <w:p>
      <w:pPr>
        <w:spacing w:line="440" w:lineRule="exact"/>
        <w:ind w:firstLine="480" w:firstLineChars="200"/>
        <w:rPr>
          <w:rFonts w:ascii="宋体" w:hAnsi="宋体" w:cs="宋体"/>
          <w:sz w:val="24"/>
        </w:rPr>
      </w:pPr>
      <w:r>
        <w:rPr>
          <w:rFonts w:hint="eastAsia" w:ascii="宋体" w:hAnsi="宋体" w:cs="宋体"/>
          <w:sz w:val="24"/>
        </w:rPr>
        <w:t>2.3远程维护</w:t>
      </w:r>
    </w:p>
    <w:p>
      <w:pPr>
        <w:spacing w:line="440" w:lineRule="exact"/>
        <w:ind w:firstLine="480" w:firstLineChars="200"/>
        <w:rPr>
          <w:rFonts w:ascii="宋体" w:hAnsi="宋体" w:cs="宋体"/>
          <w:sz w:val="24"/>
        </w:rPr>
      </w:pPr>
      <w:r>
        <w:rPr>
          <w:rFonts w:hint="eastAsia" w:ascii="宋体" w:hAnsi="宋体" w:cs="宋体"/>
          <w:sz w:val="24"/>
        </w:rPr>
        <w:t>供应商经采购人同意后，可通过远程控制系统(如终端访问等)对采购人的软件平台系统进行调试。在条件允许的情况下提供远程协助维护服务。</w:t>
      </w:r>
    </w:p>
    <w:p>
      <w:pPr>
        <w:spacing w:line="440" w:lineRule="exact"/>
        <w:ind w:firstLine="482" w:firstLineChars="200"/>
        <w:rPr>
          <w:rFonts w:ascii="宋体" w:hAnsi="宋体" w:cs="宋体"/>
          <w:sz w:val="24"/>
        </w:rPr>
      </w:pPr>
      <w:r>
        <w:rPr>
          <w:rFonts w:hint="eastAsia" w:ascii="宋体" w:hAnsi="宋体" w:cs="宋体"/>
          <w:b/>
          <w:bCs/>
          <w:sz w:val="24"/>
          <w:szCs w:val="24"/>
        </w:rPr>
        <w:t>※</w:t>
      </w:r>
      <w:r>
        <w:rPr>
          <w:rFonts w:hint="eastAsia" w:ascii="宋体" w:hAnsi="宋体" w:cs="宋体"/>
          <w:sz w:val="24"/>
        </w:rPr>
        <w:t>2.4定期巡检服务</w:t>
      </w:r>
    </w:p>
    <w:p>
      <w:pPr>
        <w:spacing w:line="440" w:lineRule="exact"/>
        <w:ind w:firstLine="480" w:firstLineChars="200"/>
        <w:rPr>
          <w:rFonts w:ascii="宋体" w:hAnsi="宋体" w:cs="宋体"/>
          <w:sz w:val="24"/>
        </w:rPr>
      </w:pPr>
      <w:r>
        <w:rPr>
          <w:rFonts w:hint="eastAsia" w:ascii="宋体" w:hAnsi="宋体" w:cs="宋体"/>
          <w:sz w:val="24"/>
        </w:rPr>
        <w:t>对服务范围内环境状态、设备运行状态等进行每月的定期巡检，提交巡检服务报告或其他重大事件专报等。报告内容要清楚说明运维服务的开展情况，完成的巡检内容、故障预警和处置情况等。</w:t>
      </w:r>
    </w:p>
    <w:p>
      <w:pPr>
        <w:spacing w:line="440" w:lineRule="exact"/>
        <w:ind w:firstLine="482" w:firstLineChars="200"/>
        <w:rPr>
          <w:rFonts w:ascii="宋体" w:hAnsi="宋体" w:cs="宋体"/>
          <w:sz w:val="24"/>
        </w:rPr>
      </w:pPr>
      <w:r>
        <w:rPr>
          <w:rFonts w:hint="eastAsia" w:ascii="宋体" w:hAnsi="宋体" w:cs="宋体"/>
          <w:b/>
          <w:bCs/>
          <w:sz w:val="24"/>
          <w:szCs w:val="24"/>
        </w:rPr>
        <w:t>※</w:t>
      </w:r>
      <w:r>
        <w:rPr>
          <w:rFonts w:hint="eastAsia" w:ascii="宋体" w:hAnsi="宋体" w:cs="宋体"/>
          <w:sz w:val="24"/>
        </w:rPr>
        <w:t>2.5应急响应</w:t>
      </w:r>
    </w:p>
    <w:p>
      <w:pPr>
        <w:spacing w:line="440" w:lineRule="exact"/>
        <w:ind w:firstLine="480" w:firstLineChars="200"/>
        <w:rPr>
          <w:rFonts w:ascii="宋体" w:hAnsi="宋体" w:cs="宋体"/>
          <w:sz w:val="24"/>
        </w:rPr>
      </w:pPr>
      <w:r>
        <w:rPr>
          <w:rFonts w:hint="eastAsia" w:ascii="宋体" w:hAnsi="宋体" w:cs="宋体"/>
          <w:sz w:val="24"/>
        </w:rPr>
        <w:t>供应商应提供针对系统宕机、具有重大影响的事件或类似事故的响应。包括应用系统环境恢复、数据库环境恢复等，应急响应时间应在1小时以内。如确因技术或其他客观原因造成无法在约定时间内解决的问题，供应商应确保2小时内恢复不影响系统流转运行的主体功能，并于1日内提出可行的备用解决方案，直至问题解决。每次应急处置后均需向采购人提交应急处置书面报告。</w:t>
      </w:r>
    </w:p>
    <w:p>
      <w:pPr>
        <w:spacing w:line="440" w:lineRule="exact"/>
        <w:ind w:firstLine="480" w:firstLineChars="200"/>
        <w:rPr>
          <w:rFonts w:ascii="宋体" w:hAnsi="宋体" w:cs="宋体"/>
          <w:sz w:val="24"/>
        </w:rPr>
      </w:pPr>
      <w:r>
        <w:rPr>
          <w:rFonts w:hint="eastAsia" w:ascii="宋体" w:hAnsi="宋体" w:cs="宋体"/>
          <w:sz w:val="24"/>
        </w:rPr>
        <w:t>2.6系统升级</w:t>
      </w:r>
    </w:p>
    <w:p>
      <w:pPr>
        <w:spacing w:line="440" w:lineRule="exact"/>
        <w:ind w:firstLine="480" w:firstLineChars="200"/>
        <w:rPr>
          <w:rFonts w:ascii="宋体" w:hAnsi="宋体" w:cs="宋体"/>
          <w:sz w:val="24"/>
        </w:rPr>
      </w:pPr>
      <w:r>
        <w:rPr>
          <w:rFonts w:hint="eastAsia" w:ascii="宋体" w:hAnsi="宋体" w:cs="宋体"/>
          <w:sz w:val="24"/>
        </w:rPr>
        <w:t>一体化政务办公平台Bug及采购人使用过程中提出的需求修改意见，供应商应及时对系统进行修改升级完善，提供阶段性软件性能调整；并根据采购人实际情况提供每年累计1人/月开发工作量的个性需求调整修改服务，若超过1人/月开发工作量的需求按新增需求双方另行协商。</w:t>
      </w:r>
    </w:p>
    <w:p>
      <w:pPr>
        <w:spacing w:line="440" w:lineRule="exact"/>
        <w:ind w:firstLine="480" w:firstLineChars="200"/>
        <w:rPr>
          <w:rFonts w:ascii="宋体" w:hAnsi="宋体" w:cs="宋体"/>
          <w:sz w:val="24"/>
        </w:rPr>
      </w:pPr>
      <w:r>
        <w:rPr>
          <w:rFonts w:hint="eastAsia" w:ascii="宋体" w:hAnsi="宋体" w:cs="宋体"/>
          <w:sz w:val="24"/>
        </w:rPr>
        <w:t>2.7办公系统使用及培训</w:t>
      </w:r>
    </w:p>
    <w:p>
      <w:pPr>
        <w:spacing w:line="440" w:lineRule="exact"/>
        <w:ind w:firstLine="480" w:firstLineChars="200"/>
        <w:rPr>
          <w:rFonts w:ascii="宋体" w:hAnsi="宋体" w:cs="宋体"/>
          <w:sz w:val="24"/>
        </w:rPr>
      </w:pPr>
      <w:r>
        <w:rPr>
          <w:rFonts w:hint="eastAsia" w:ascii="宋体" w:hAnsi="宋体" w:cs="宋体"/>
          <w:sz w:val="24"/>
        </w:rPr>
        <w:t>对所有工作人员进行日常技术支持，并对新进工作人员提供操作培训指导。</w:t>
      </w:r>
    </w:p>
    <w:p>
      <w:pPr>
        <w:spacing w:line="440" w:lineRule="exact"/>
        <w:ind w:firstLine="482" w:firstLineChars="200"/>
        <w:rPr>
          <w:rFonts w:ascii="宋体" w:hAnsi="宋体" w:cs="宋体"/>
          <w:sz w:val="24"/>
        </w:rPr>
      </w:pPr>
      <w:r>
        <w:rPr>
          <w:rFonts w:hint="eastAsia" w:ascii="宋体" w:hAnsi="宋体" w:cs="宋体"/>
          <w:b/>
          <w:bCs/>
          <w:sz w:val="24"/>
          <w:szCs w:val="24"/>
        </w:rPr>
        <w:t>※</w:t>
      </w:r>
      <w:r>
        <w:rPr>
          <w:rFonts w:hint="eastAsia" w:ascii="宋体" w:hAnsi="宋体" w:cs="宋体"/>
          <w:sz w:val="24"/>
        </w:rPr>
        <w:t>2.8本地化服务</w:t>
      </w:r>
    </w:p>
    <w:p>
      <w:pPr>
        <w:snapToGrid w:val="0"/>
        <w:spacing w:line="440" w:lineRule="exact"/>
        <w:ind w:firstLine="480" w:firstLineChars="200"/>
        <w:rPr>
          <w:rFonts w:ascii="宋体" w:hAnsi="宋体" w:cs="宋体"/>
          <w:sz w:val="24"/>
        </w:rPr>
      </w:pPr>
      <w:r>
        <w:rPr>
          <w:rFonts w:hint="eastAsia" w:ascii="宋体" w:hAnsi="宋体" w:cs="宋体"/>
          <w:sz w:val="24"/>
        </w:rPr>
        <w:t>由于一体化政务办公平台涉及部门、人员众多，功能复杂，业务多变，要求供应商提供本地化的技术维护服务</w:t>
      </w:r>
      <w:r>
        <w:rPr>
          <w:rFonts w:hint="eastAsia" w:ascii="宋体" w:hAnsi="宋体" w:cs="宋体"/>
          <w:color w:val="auto"/>
          <w:sz w:val="24"/>
        </w:rPr>
        <w:t>。</w:t>
      </w:r>
      <w:r>
        <w:rPr>
          <w:rFonts w:hint="eastAsia" w:ascii="宋体" w:hAnsi="宋体" w:cs="宋体"/>
          <w:b/>
          <w:bCs/>
          <w:color w:val="auto"/>
          <w:sz w:val="24"/>
        </w:rPr>
        <w:t>供应商在响应文件中提供本地化的运维服务团队人员名单，团队人数不小于10人，并提供团队人员从2022年2月起至今以来任一月供应商为其缴纳社保的发票复印件或社保部门盖章的缴纳社保的证明文件，加盖供应商公章。</w:t>
      </w:r>
    </w:p>
    <w:p>
      <w:pPr>
        <w:snapToGrid w:val="0"/>
        <w:spacing w:line="440" w:lineRule="exact"/>
        <w:ind w:firstLine="482" w:firstLineChars="200"/>
        <w:rPr>
          <w:rFonts w:ascii="宋体" w:hAnsi="宋体" w:cs="宋体"/>
          <w:sz w:val="24"/>
        </w:rPr>
      </w:pPr>
      <w:r>
        <w:rPr>
          <w:rFonts w:hint="eastAsia" w:ascii="宋体" w:hAnsi="宋体" w:cs="宋体"/>
          <w:b/>
          <w:bCs/>
          <w:sz w:val="24"/>
          <w:szCs w:val="24"/>
        </w:rPr>
        <w:t>※</w:t>
      </w:r>
      <w:r>
        <w:rPr>
          <w:rFonts w:hint="eastAsia" w:ascii="宋体" w:hAnsi="宋体" w:cs="宋体"/>
          <w:sz w:val="24"/>
        </w:rPr>
        <w:t>2.9运维报告</w:t>
      </w:r>
    </w:p>
    <w:p>
      <w:pPr>
        <w:snapToGrid w:val="0"/>
        <w:spacing w:line="440" w:lineRule="exact"/>
        <w:ind w:firstLine="480" w:firstLineChars="200"/>
        <w:rPr>
          <w:rFonts w:ascii="宋体" w:hAnsi="宋体" w:cs="宋体"/>
          <w:sz w:val="24"/>
        </w:rPr>
      </w:pPr>
      <w:r>
        <w:rPr>
          <w:rFonts w:hint="eastAsia" w:ascii="宋体" w:hAnsi="宋体" w:cs="宋体"/>
          <w:sz w:val="24"/>
        </w:rPr>
        <w:t>每月定期提供平台运维报告，报告应包括月度运维整体情况、当月运维存在问题及解决处置情况、重大故障及响应情况、漏洞修复及安全保障情况、巡检及监测预警情况、各类备份及下月运维计划等内容，同步提供日常运维支撑材料（如维护单、处置单、巡检报告、计划措施等）；每6个月提供一次半年运维汇总报告；项目运维期结束提供运维期整体运维报告。</w:t>
      </w:r>
    </w:p>
    <w:p>
      <w:pPr>
        <w:pStyle w:val="5"/>
        <w:spacing w:before="0" w:after="0" w:line="440" w:lineRule="exact"/>
        <w:ind w:firstLine="482" w:firstLineChars="200"/>
        <w:rPr>
          <w:rFonts w:ascii="宋体" w:hAnsi="宋体" w:cs="宋体"/>
          <w:sz w:val="24"/>
        </w:rPr>
      </w:pPr>
      <w:bookmarkStart w:id="39" w:name="_Toc20260"/>
      <w:r>
        <w:rPr>
          <w:rFonts w:hint="eastAsia" w:ascii="宋体" w:hAnsi="宋体" w:cs="宋体"/>
          <w:sz w:val="24"/>
          <w:szCs w:val="24"/>
        </w:rPr>
        <w:t>※</w:t>
      </w:r>
      <w:r>
        <w:rPr>
          <w:rFonts w:hint="eastAsia" w:ascii="宋体" w:hAnsi="宋体" w:cs="宋体"/>
          <w:sz w:val="24"/>
        </w:rPr>
        <w:t>(二)政务办公平台功能升级</w:t>
      </w:r>
      <w:bookmarkEnd w:id="39"/>
    </w:p>
    <w:p>
      <w:pPr>
        <w:spacing w:line="440" w:lineRule="exact"/>
        <w:ind w:firstLine="480" w:firstLineChars="200"/>
        <w:rPr>
          <w:rFonts w:ascii="宋体" w:hAnsi="宋体" w:cs="宋体"/>
          <w:sz w:val="24"/>
        </w:rPr>
      </w:pPr>
      <w:r>
        <w:rPr>
          <w:rFonts w:hint="eastAsia" w:ascii="宋体" w:hAnsi="宋体" w:cs="宋体"/>
          <w:sz w:val="24"/>
        </w:rPr>
        <w:t>1.新增采购管理</w:t>
      </w:r>
    </w:p>
    <w:p>
      <w:pPr>
        <w:snapToGrid w:val="0"/>
        <w:spacing w:line="440" w:lineRule="exact"/>
        <w:ind w:firstLine="480" w:firstLineChars="200"/>
        <w:rPr>
          <w:rFonts w:ascii="宋体" w:hAnsi="宋体" w:cs="宋体"/>
          <w:sz w:val="24"/>
        </w:rPr>
      </w:pPr>
      <w:r>
        <w:rPr>
          <w:rFonts w:hint="eastAsia" w:ascii="宋体" w:hAnsi="宋体" w:cs="宋体"/>
          <w:sz w:val="24"/>
        </w:rPr>
        <w:t>建立采购台账，实现对各类采购活动的流程化审批管理。主要包括意向公开申请、采购申请、招标文件审查、合同审查、验收支付等重点环节电子化流转办理，实现各环节流转监控、综合查询、资料归档、打印导出等功能。</w:t>
      </w:r>
    </w:p>
    <w:p>
      <w:pPr>
        <w:snapToGrid w:val="0"/>
        <w:spacing w:line="440" w:lineRule="exact"/>
        <w:ind w:firstLine="480" w:firstLineChars="200"/>
        <w:rPr>
          <w:rFonts w:ascii="宋体" w:hAnsi="宋体" w:cs="宋体"/>
          <w:sz w:val="24"/>
        </w:rPr>
      </w:pPr>
      <w:r>
        <w:rPr>
          <w:rFonts w:hint="eastAsia" w:ascii="宋体" w:hAnsi="宋体" w:cs="宋体"/>
          <w:sz w:val="24"/>
        </w:rPr>
        <w:t>2.新增用印管理</w:t>
      </w:r>
    </w:p>
    <w:p>
      <w:pPr>
        <w:snapToGrid w:val="0"/>
        <w:spacing w:line="440" w:lineRule="exact"/>
        <w:ind w:firstLine="480" w:firstLineChars="200"/>
        <w:rPr>
          <w:rFonts w:ascii="宋体" w:hAnsi="宋体" w:cs="宋体"/>
          <w:sz w:val="24"/>
        </w:rPr>
      </w:pPr>
      <w:r>
        <w:rPr>
          <w:rFonts w:hint="eastAsia" w:ascii="宋体" w:hAnsi="宋体" w:cs="宋体"/>
          <w:sz w:val="24"/>
        </w:rPr>
        <w:t>实现对使用印章的审批管理。包括用印申请、流程监控、查询等功能。</w:t>
      </w:r>
    </w:p>
    <w:p>
      <w:pPr>
        <w:spacing w:line="440" w:lineRule="exact"/>
        <w:ind w:firstLine="480" w:firstLineChars="200"/>
        <w:rPr>
          <w:rFonts w:ascii="宋体" w:hAnsi="宋体" w:cs="宋体"/>
          <w:sz w:val="24"/>
        </w:rPr>
      </w:pPr>
      <w:r>
        <w:rPr>
          <w:rFonts w:hint="eastAsia" w:ascii="宋体" w:hAnsi="宋体" w:cs="宋体"/>
          <w:sz w:val="24"/>
        </w:rPr>
        <w:t>3.升级考勤管理</w:t>
      </w:r>
    </w:p>
    <w:p>
      <w:pPr>
        <w:snapToGrid w:val="0"/>
        <w:spacing w:line="440" w:lineRule="exact"/>
        <w:ind w:firstLine="480" w:firstLineChars="200"/>
        <w:rPr>
          <w:rFonts w:ascii="宋体" w:hAnsi="宋体" w:cs="宋体"/>
          <w:sz w:val="24"/>
        </w:rPr>
      </w:pPr>
      <w:r>
        <w:rPr>
          <w:rFonts w:hint="eastAsia" w:ascii="宋体" w:hAnsi="宋体" w:cs="宋体"/>
          <w:sz w:val="24"/>
        </w:rPr>
        <w:t>实现请假、加班、出差等流程化审批管理，优化升级请假销假、外出备案等功能，实现流程监控、综合查询、打印导出等功能。</w:t>
      </w:r>
    </w:p>
    <w:p>
      <w:pPr>
        <w:pStyle w:val="2"/>
        <w:rPr>
          <w:rFonts w:ascii="宋体" w:hAnsi="宋体" w:cs="宋体"/>
          <w:color w:val="000000" w:themeColor="text1"/>
          <w14:textFill>
            <w14:solidFill>
              <w14:schemeClr w14:val="tx1"/>
            </w14:solidFill>
          </w14:textFill>
        </w:rPr>
        <w:sectPr>
          <w:footerReference r:id="rId8" w:type="default"/>
          <w:pgSz w:w="11907" w:h="16840"/>
          <w:pgMar w:top="1134" w:right="1191" w:bottom="1134" w:left="1304" w:header="964" w:footer="992" w:gutter="0"/>
          <w:pgNumType w:fmt="numberInDash"/>
          <w:cols w:space="720" w:num="1"/>
          <w:docGrid w:linePitch="312" w:charSpace="0"/>
        </w:sectPr>
      </w:pPr>
    </w:p>
    <w:p>
      <w:pPr>
        <w:pStyle w:val="4"/>
        <w:numPr>
          <w:ilvl w:val="0"/>
          <w:numId w:val="2"/>
        </w:numPr>
        <w:spacing w:before="0" w:after="0" w:line="360" w:lineRule="auto"/>
        <w:ind w:firstLine="723" w:firstLineChars="200"/>
        <w:jc w:val="center"/>
        <w:rPr>
          <w:rFonts w:ascii="宋体" w:hAnsi="宋体" w:eastAsia="宋体" w:cs="宋体"/>
          <w:bCs/>
          <w:color w:val="000000" w:themeColor="text1"/>
          <w:sz w:val="36"/>
          <w:szCs w:val="30"/>
          <w14:textFill>
            <w14:solidFill>
              <w14:schemeClr w14:val="tx1"/>
            </w14:solidFill>
          </w14:textFill>
        </w:rPr>
      </w:pPr>
      <w:bookmarkStart w:id="40" w:name="_Toc30859"/>
      <w:r>
        <w:rPr>
          <w:rFonts w:hint="eastAsia" w:ascii="宋体" w:hAnsi="宋体" w:eastAsia="宋体" w:cs="宋体"/>
          <w:bCs/>
          <w:color w:val="000000" w:themeColor="text1"/>
          <w:sz w:val="36"/>
          <w:szCs w:val="30"/>
          <w14:textFill>
            <w14:solidFill>
              <w14:schemeClr w14:val="tx1"/>
            </w14:solidFill>
          </w14:textFill>
        </w:rPr>
        <w:t>采购商务需求</w:t>
      </w:r>
      <w:bookmarkEnd w:id="25"/>
      <w:bookmarkEnd w:id="40"/>
    </w:p>
    <w:p>
      <w:pPr>
        <w:pStyle w:val="5"/>
        <w:spacing w:line="100" w:lineRule="exact"/>
        <w:rPr>
          <w:rFonts w:ascii="宋体" w:hAnsi="宋体" w:cs="宋体"/>
          <w:color w:val="000000" w:themeColor="text1"/>
          <w:sz w:val="24"/>
          <w:szCs w:val="24"/>
          <w14:textFill>
            <w14:solidFill>
              <w14:schemeClr w14:val="tx1"/>
            </w14:solidFill>
          </w14:textFill>
        </w:rPr>
      </w:pPr>
      <w:bookmarkStart w:id="41" w:name="_Toc28878"/>
      <w:bookmarkStart w:id="42" w:name="_Toc535311833"/>
      <w:bookmarkStart w:id="43" w:name="_Toc344475120"/>
      <w:bookmarkStart w:id="44" w:name="_Toc6726"/>
      <w:bookmarkStart w:id="45" w:name="_Toc16012"/>
      <w:r>
        <w:rPr>
          <w:rFonts w:hint="eastAsia" w:ascii="宋体" w:hAnsi="宋体" w:cs="宋体"/>
          <w:color w:val="000000" w:themeColor="text1"/>
          <w:sz w:val="24"/>
          <w:szCs w:val="24"/>
          <w14:textFill>
            <w14:solidFill>
              <w14:schemeClr w14:val="tx1"/>
            </w14:solidFill>
          </w14:textFill>
        </w:rPr>
        <w:t>一、</w:t>
      </w:r>
      <w:bookmarkEnd w:id="41"/>
      <w:bookmarkEnd w:id="42"/>
      <w:bookmarkEnd w:id="43"/>
      <w:bookmarkEnd w:id="44"/>
      <w:r>
        <w:rPr>
          <w:rFonts w:hint="eastAsia" w:ascii="宋体" w:hAnsi="宋体" w:cs="宋体"/>
          <w:color w:val="000000" w:themeColor="text1"/>
          <w:sz w:val="24"/>
          <w:szCs w:val="24"/>
          <w14:textFill>
            <w14:solidFill>
              <w14:schemeClr w14:val="tx1"/>
            </w14:solidFill>
          </w14:textFill>
        </w:rPr>
        <w:t>服务期、地点、人员要求及验收方式</w:t>
      </w:r>
      <w:bookmarkEnd w:id="45"/>
    </w:p>
    <w:p>
      <w:pPr>
        <w:snapToGrid w:val="0"/>
        <w:spacing w:line="400" w:lineRule="exact"/>
        <w:ind w:firstLine="240" w:firstLineChars="100"/>
        <w:rPr>
          <w:rFonts w:ascii="宋体" w:hAnsi="宋体" w:cs="宋体"/>
          <w:color w:val="000000" w:themeColor="text1"/>
          <w:sz w:val="24"/>
          <w:szCs w:val="24"/>
          <w14:textFill>
            <w14:solidFill>
              <w14:schemeClr w14:val="tx1"/>
            </w14:solidFill>
          </w14:textFill>
        </w:rPr>
      </w:pPr>
      <w:bookmarkStart w:id="46" w:name="_Toc344475121"/>
      <w:bookmarkStart w:id="47" w:name="_Toc535311834"/>
      <w:bookmarkStart w:id="48" w:name="_Toc27682"/>
      <w:bookmarkStart w:id="49" w:name="_Toc11557"/>
      <w:r>
        <w:rPr>
          <w:rFonts w:hint="eastAsia" w:ascii="宋体" w:hAnsi="宋体" w:cs="宋体"/>
          <w:color w:val="000000" w:themeColor="text1"/>
          <w:sz w:val="24"/>
          <w:szCs w:val="24"/>
          <w14:textFill>
            <w14:solidFill>
              <w14:schemeClr w14:val="tx1"/>
            </w14:solidFill>
          </w14:textFill>
        </w:rPr>
        <w:t>（一）服务期</w:t>
      </w:r>
    </w:p>
    <w:p>
      <w:pPr>
        <w:spacing w:line="440" w:lineRule="atLeas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自采购合同签订之日起1年。</w:t>
      </w:r>
    </w:p>
    <w:p>
      <w:pPr>
        <w:spacing w:line="440" w:lineRule="atLeast"/>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（二）服务地点</w:t>
      </w:r>
    </w:p>
    <w:p>
      <w:pPr>
        <w:spacing w:line="440" w:lineRule="atLeas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重庆市渝北区礼环南路102号（采购人指定地点）</w:t>
      </w:r>
    </w:p>
    <w:p>
      <w:pPr>
        <w:spacing w:line="440" w:lineRule="atLeast"/>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（三）人员要求</w:t>
      </w:r>
    </w:p>
    <w:p>
      <w:pPr>
        <w:spacing w:line="440" w:lineRule="atLeast"/>
        <w:ind w:firstLine="480" w:firstLineChars="200"/>
        <w:rPr>
          <w:rFonts w:ascii="宋体" w:hAnsi="宋体" w:cs="宋体"/>
          <w:color w:val="auto"/>
          <w:sz w:val="24"/>
          <w:szCs w:val="24"/>
        </w:rPr>
      </w:pPr>
      <w:r>
        <w:rPr>
          <w:rFonts w:hint="eastAsia" w:ascii="宋体" w:hAnsi="宋体" w:cs="宋体"/>
          <w:color w:val="auto"/>
          <w:sz w:val="24"/>
          <w:szCs w:val="24"/>
        </w:rPr>
        <w:t>供应商应在响应文件中明确项目运维服务期内为本项目提供运维技术服务人员（如驻场（至少2人）、开发、后台等人员）岗位级别、资质、数量的明细清单。</w:t>
      </w:r>
    </w:p>
    <w:p>
      <w:pPr>
        <w:spacing w:line="440" w:lineRule="atLeast"/>
        <w:ind w:firstLine="240" w:firstLineChars="100"/>
        <w:rPr>
          <w:rFonts w:ascii="宋体" w:hAnsi="宋体" w:cs="宋体"/>
          <w:color w:val="auto"/>
          <w:sz w:val="24"/>
          <w:szCs w:val="24"/>
        </w:rPr>
      </w:pPr>
      <w:r>
        <w:rPr>
          <w:rFonts w:hint="eastAsia" w:ascii="宋体" w:hAnsi="宋体" w:cs="宋体"/>
          <w:color w:val="auto"/>
          <w:sz w:val="24"/>
          <w:szCs w:val="24"/>
        </w:rPr>
        <w:t>（四）验收方式</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按照采购合同、国家行业相关标准以及采购人单位的相关管理制度，在服务期内由采购人组织考评，如验收不合格，成交供应商须对采购人提出的问题及建议进行整改，完成后重新向采购人提出验收申请。在全部达到要求时，双方签署最终验收文件（验收报告）。</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以上所述各项验收工作，采购人在接到供应商正式申请后，原则上在15个工作日内组织相关验收工作；超过30日且未组织验收或未向申请方提出书面质疑的，自动视为验收合格。</w:t>
      </w:r>
    </w:p>
    <w:p>
      <w:pPr>
        <w:pStyle w:val="5"/>
        <w:spacing w:line="100" w:lineRule="exact"/>
        <w:rPr>
          <w:rFonts w:ascii="宋体" w:hAnsi="宋体" w:cs="宋体"/>
          <w:color w:val="auto"/>
          <w:sz w:val="24"/>
          <w:szCs w:val="24"/>
        </w:rPr>
      </w:pPr>
      <w:bookmarkStart w:id="50" w:name="_Toc25557"/>
      <w:r>
        <w:rPr>
          <w:rFonts w:hint="eastAsia" w:ascii="宋体" w:hAnsi="宋体" w:cs="宋体"/>
          <w:color w:val="auto"/>
          <w:sz w:val="24"/>
          <w:szCs w:val="24"/>
        </w:rPr>
        <w:t>二、</w:t>
      </w:r>
      <w:bookmarkEnd w:id="46"/>
      <w:r>
        <w:rPr>
          <w:rFonts w:hint="eastAsia" w:ascii="宋体" w:hAnsi="宋体" w:cs="宋体"/>
          <w:color w:val="auto"/>
          <w:sz w:val="24"/>
          <w:szCs w:val="24"/>
        </w:rPr>
        <w:t>报价要求</w:t>
      </w:r>
      <w:bookmarkEnd w:id="47"/>
      <w:bookmarkEnd w:id="48"/>
      <w:bookmarkEnd w:id="49"/>
      <w:bookmarkEnd w:id="50"/>
    </w:p>
    <w:p>
      <w:pPr>
        <w:spacing w:line="440" w:lineRule="atLeast"/>
        <w:ind w:firstLine="480" w:firstLineChars="200"/>
        <w:rPr>
          <w:rFonts w:ascii="宋体" w:hAnsi="宋体" w:cs="宋体"/>
          <w:color w:val="000000" w:themeColor="text1"/>
          <w:sz w:val="24"/>
          <w:szCs w:val="24"/>
          <w14:textFill>
            <w14:solidFill>
              <w14:schemeClr w14:val="tx1"/>
            </w14:solidFill>
          </w14:textFill>
        </w:rPr>
      </w:pPr>
      <w:bookmarkStart w:id="51" w:name="_Toc47018352"/>
      <w:bookmarkStart w:id="52" w:name="_Toc505330295"/>
      <w:bookmarkStart w:id="53" w:name="_Toc267320052"/>
      <w:bookmarkStart w:id="54" w:name="_Toc7794"/>
      <w:r>
        <w:rPr>
          <w:rFonts w:hint="eastAsia" w:ascii="宋体" w:hAnsi="宋体" w:cs="宋体"/>
          <w:color w:val="000000" w:themeColor="text1"/>
          <w:sz w:val="24"/>
          <w:szCs w:val="24"/>
          <w14:textFill>
            <w14:solidFill>
              <w14:schemeClr w14:val="tx1"/>
            </w14:solidFill>
          </w14:textFill>
        </w:rPr>
        <w:t>磋商报价包括完成本项目所需的服务费、人工费、备品备件费、以及提供服务所需的设备或货物购买（制造）费、辅材费、运输费、装卸费、安装调试费、培训费及各种应纳的税费等完成本项目的所有费用。因供应商自身原因造成漏报、少报皆由其自行承担责任，采购人不再补偿。</w:t>
      </w:r>
    </w:p>
    <w:p>
      <w:pPr>
        <w:pStyle w:val="5"/>
        <w:spacing w:line="300" w:lineRule="exact"/>
        <w:rPr>
          <w:rFonts w:ascii="宋体" w:hAnsi="宋体" w:cs="宋体"/>
          <w:color w:val="000000" w:themeColor="text1"/>
          <w:sz w:val="24"/>
          <w:szCs w:val="24"/>
          <w14:textFill>
            <w14:solidFill>
              <w14:schemeClr w14:val="tx1"/>
            </w14:solidFill>
          </w14:textFill>
        </w:rPr>
      </w:pPr>
      <w:bookmarkStart w:id="55" w:name="_Toc5191"/>
      <w:r>
        <w:rPr>
          <w:rFonts w:hint="eastAsia" w:ascii="宋体" w:hAnsi="宋体" w:cs="宋体"/>
          <w:color w:val="000000" w:themeColor="text1"/>
          <w:sz w:val="24"/>
          <w:szCs w:val="24"/>
          <w14:textFill>
            <w14:solidFill>
              <w14:schemeClr w14:val="tx1"/>
            </w14:solidFill>
          </w14:textFill>
        </w:rPr>
        <w:t>三、付款方式</w:t>
      </w:r>
      <w:bookmarkEnd w:id="51"/>
      <w:bookmarkEnd w:id="55"/>
    </w:p>
    <w:bookmarkEnd w:id="52"/>
    <w:bookmarkEnd w:id="53"/>
    <w:bookmarkEnd w:id="54"/>
    <w:p>
      <w:pPr>
        <w:spacing w:line="440" w:lineRule="atLeast"/>
        <w:ind w:firstLine="480" w:firstLineChars="200"/>
        <w:rPr>
          <w:rFonts w:ascii="宋体" w:hAnsi="宋体" w:cs="宋体"/>
          <w:color w:val="000000" w:themeColor="text1"/>
          <w:sz w:val="24"/>
          <w:szCs w:val="24"/>
          <w14:textFill>
            <w14:solidFill>
              <w14:schemeClr w14:val="tx1"/>
            </w14:solidFill>
          </w14:textFill>
        </w:rPr>
      </w:pPr>
      <w:bookmarkStart w:id="56" w:name="_Toc20349"/>
      <w:r>
        <w:rPr>
          <w:rFonts w:hint="eastAsia" w:ascii="宋体" w:hAnsi="宋体" w:cs="宋体"/>
          <w:color w:val="000000" w:themeColor="text1"/>
          <w:sz w:val="24"/>
          <w:szCs w:val="24"/>
          <w14:textFill>
            <w14:solidFill>
              <w14:schemeClr w14:val="tx1"/>
            </w14:solidFill>
          </w14:textFill>
        </w:rPr>
        <w:t>本项目由采购人付款，项目合同款分二次支付：</w:t>
      </w:r>
    </w:p>
    <w:p>
      <w:pPr>
        <w:spacing w:line="44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第一次支付：签订合同后，成交供应商按采购合同要求立即进行运维及相关升级工作，采购人于签订合同后10个工作日内，成交供应商向采购人开具合同总价80%的发票、付款申请、项目运维实施方案、升级功能实施计划表等，并向采购人</w:t>
      </w:r>
      <w:r>
        <w:rPr>
          <w:rFonts w:hint="eastAsia" w:ascii="宋体" w:hAnsi="宋体" w:eastAsia="宋体" w:cs="宋体"/>
          <w:color w:val="auto"/>
          <w:sz w:val="24"/>
        </w:rPr>
        <w:t>交纳合同金额10%的履约保证金（以支票、汇票、本票或者金融机构、担保机构出具的保函等非现金形式提交）</w:t>
      </w:r>
      <w:r>
        <w:rPr>
          <w:rFonts w:hint="eastAsia" w:ascii="宋体" w:hAnsi="宋体" w:eastAsia="宋体" w:cs="宋体"/>
          <w:color w:val="auto"/>
          <w:sz w:val="24"/>
          <w:szCs w:val="24"/>
        </w:rPr>
        <w:t>，采购人审核通过成交供应商提交的付款相关资料及上述要求的履约保证金后，采购人向成交供应商支付80%的合同款。</w:t>
      </w:r>
    </w:p>
    <w:p>
      <w:pPr>
        <w:spacing w:line="440" w:lineRule="atLeast"/>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（二）第二次支付：自签订合同半年后，成交供应商</w:t>
      </w:r>
      <w:r>
        <w:rPr>
          <w:rFonts w:hint="eastAsia" w:ascii="宋体" w:hAnsi="宋体" w:cs="宋体"/>
          <w:color w:val="000000" w:themeColor="text1"/>
          <w:sz w:val="24"/>
          <w:szCs w:val="24"/>
          <w14:textFill>
            <w14:solidFill>
              <w14:schemeClr w14:val="tx1"/>
            </w14:solidFill>
          </w14:textFill>
        </w:rPr>
        <w:t>向采购人开具合同总价</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0%的发票、付款申请、升级功能模块验收完成情况、前6个月运维报告及后续6个月运维计划，采购人向成交供应商支付余下的</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0%合同款。</w:t>
      </w:r>
    </w:p>
    <w:p>
      <w:pPr>
        <w:spacing w:line="440" w:lineRule="atLeast"/>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（三）一年服务期满后成交供应商向采购人提交项目整体运维报告且无质量问题，经采购人审核确认后，采购人将履约保证金退还成交供应商。</w:t>
      </w:r>
    </w:p>
    <w:p>
      <w:pPr>
        <w:pStyle w:val="5"/>
        <w:spacing w:before="0" w:after="0" w:line="400" w:lineRule="exact"/>
        <w:rPr>
          <w:rFonts w:ascii="宋体" w:hAnsi="宋体" w:cs="宋体"/>
          <w:sz w:val="24"/>
        </w:rPr>
      </w:pPr>
      <w:r>
        <w:rPr>
          <w:rFonts w:hint="eastAsia" w:ascii="宋体" w:hAnsi="宋体" w:cs="宋体"/>
          <w:sz w:val="24"/>
        </w:rPr>
        <w:t>四、知识产权</w:t>
      </w:r>
      <w:bookmarkEnd w:id="56"/>
    </w:p>
    <w:p>
      <w:pPr>
        <w:snapToGrid w:val="0"/>
        <w:spacing w:line="400" w:lineRule="exact"/>
        <w:ind w:firstLine="540"/>
        <w:rPr>
          <w:rFonts w:ascii="宋体" w:hAnsi="宋体" w:cs="宋体"/>
          <w:sz w:val="24"/>
        </w:rPr>
      </w:pPr>
      <w:r>
        <w:rPr>
          <w:rFonts w:hint="eastAsia" w:ascii="宋体" w:hAnsi="宋体" w:cs="宋体"/>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40" w:lineRule="exact"/>
        <w:ind w:firstLine="480"/>
        <w:rPr>
          <w:rFonts w:ascii="宋体" w:hAnsi="宋体" w:cs="宋体"/>
          <w:sz w:val="24"/>
        </w:rPr>
      </w:pPr>
      <w:r>
        <w:rPr>
          <w:rFonts w:hint="eastAsia" w:ascii="宋体" w:hAnsi="宋体" w:cs="宋体"/>
          <w:sz w:val="24"/>
        </w:rPr>
        <w:t>注：若项目涉及软件开发等服务类项目知识产权的，知识产权归采购人所有。</w:t>
      </w:r>
    </w:p>
    <w:p>
      <w:pPr>
        <w:pStyle w:val="5"/>
        <w:spacing w:before="0" w:after="0" w:line="400" w:lineRule="exact"/>
        <w:rPr>
          <w:rFonts w:ascii="宋体" w:hAnsi="宋体" w:cs="宋体"/>
          <w:sz w:val="24"/>
        </w:rPr>
      </w:pPr>
      <w:bookmarkStart w:id="57" w:name="_Toc17755"/>
      <w:bookmarkStart w:id="58" w:name="_Toc1814"/>
      <w:bookmarkStart w:id="59" w:name="_Toc28652"/>
      <w:r>
        <w:rPr>
          <w:rFonts w:hint="eastAsia" w:ascii="宋体" w:hAnsi="宋体" w:cs="宋体"/>
          <w:sz w:val="24"/>
        </w:rPr>
        <w:t>五、违约责任</w:t>
      </w:r>
      <w:bookmarkEnd w:id="57"/>
      <w:bookmarkEnd w:id="58"/>
      <w:bookmarkEnd w:id="59"/>
    </w:p>
    <w:p>
      <w:pPr>
        <w:snapToGrid w:val="0"/>
        <w:spacing w:line="400" w:lineRule="exact"/>
        <w:ind w:firstLine="540"/>
        <w:rPr>
          <w:rFonts w:ascii="宋体" w:hAnsi="宋体" w:cs="宋体"/>
          <w:sz w:val="24"/>
        </w:rPr>
      </w:pPr>
      <w:r>
        <w:rPr>
          <w:rFonts w:hint="eastAsia" w:ascii="宋体" w:hAnsi="宋体" w:cs="宋体"/>
          <w:sz w:val="24"/>
        </w:rPr>
        <w:t>（一）如成交供应商不能按时按量完成服务的，每逾期一天向采购人支付合同总金额1%的违约金，逾期5天仍不能交付的，采购人有权单方面解除合同，并要求成交供应商向采购人支付合同总金额5%的违约金，同时根据给采购人造成损失情况向需方赔偿。</w:t>
      </w:r>
    </w:p>
    <w:p>
      <w:pPr>
        <w:snapToGrid w:val="0"/>
        <w:spacing w:line="400" w:lineRule="exact"/>
        <w:ind w:firstLine="540"/>
        <w:rPr>
          <w:rFonts w:ascii="宋体" w:hAnsi="宋体" w:cs="宋体"/>
          <w:sz w:val="24"/>
        </w:rPr>
      </w:pPr>
      <w:r>
        <w:rPr>
          <w:rFonts w:hint="eastAsia" w:ascii="宋体" w:hAnsi="宋体" w:cs="宋体"/>
          <w:sz w:val="24"/>
        </w:rPr>
        <w:t>（二）若成交供应商所供服务不符合合同及采购文件要求的质量、服务标准的或履约过程中有违约行为的，采购人有权拒收并不退还履约保证金，有权单方面解除合同，同时保留追究由此给采购人造成损失责任的权力。</w:t>
      </w:r>
    </w:p>
    <w:p>
      <w:pPr>
        <w:pStyle w:val="5"/>
        <w:spacing w:before="0" w:after="0" w:line="400" w:lineRule="exact"/>
        <w:rPr>
          <w:rFonts w:ascii="宋体" w:hAnsi="宋体" w:cs="宋体"/>
          <w:sz w:val="24"/>
        </w:rPr>
      </w:pPr>
      <w:bookmarkStart w:id="60" w:name="_Toc29951"/>
      <w:bookmarkStart w:id="61" w:name="_Toc8381"/>
      <w:bookmarkStart w:id="62" w:name="_Toc12633"/>
      <w:r>
        <w:rPr>
          <w:rFonts w:hint="eastAsia" w:ascii="宋体" w:hAnsi="宋体" w:cs="宋体"/>
          <w:sz w:val="24"/>
        </w:rPr>
        <w:t>六、保密</w:t>
      </w:r>
      <w:bookmarkEnd w:id="60"/>
      <w:bookmarkEnd w:id="61"/>
      <w:bookmarkEnd w:id="62"/>
    </w:p>
    <w:p>
      <w:pPr>
        <w:snapToGrid w:val="0"/>
        <w:spacing w:line="400" w:lineRule="exact"/>
        <w:ind w:firstLine="540"/>
        <w:rPr>
          <w:rFonts w:ascii="宋体" w:hAnsi="宋体" w:cs="宋体"/>
          <w:sz w:val="24"/>
        </w:rPr>
      </w:pPr>
      <w:r>
        <w:rPr>
          <w:rFonts w:hint="eastAsia" w:ascii="宋体" w:hAnsi="宋体" w:cs="宋体"/>
          <w:sz w:val="24"/>
        </w:rPr>
        <w:t>成交供应商必须对维保所涉及的采购人工作秘密、业务需求、协议、系统设计、技术成果等内容和相关事务保密。并严格遵守保密法规和采购人工作要求，成交供应商若违反以上条款，采购人有权单方面解除合同并不予退还履约保证金，同时保留追究由此给采购人造成损失责任的权利。</w:t>
      </w:r>
    </w:p>
    <w:p>
      <w:pPr>
        <w:pStyle w:val="5"/>
        <w:spacing w:before="0" w:after="0" w:line="400" w:lineRule="exact"/>
        <w:rPr>
          <w:rFonts w:ascii="宋体" w:hAnsi="宋体" w:cs="宋体"/>
          <w:sz w:val="24"/>
        </w:rPr>
      </w:pPr>
      <w:bookmarkStart w:id="63" w:name="_Toc344475124"/>
      <w:bookmarkStart w:id="64" w:name="_Toc31248"/>
      <w:bookmarkStart w:id="65" w:name="_Toc21511830"/>
      <w:bookmarkStart w:id="66" w:name="_Toc26791"/>
      <w:r>
        <w:rPr>
          <w:rFonts w:hint="eastAsia" w:ascii="宋体" w:hAnsi="宋体" w:cs="宋体"/>
          <w:sz w:val="24"/>
        </w:rPr>
        <w:t>七、</w:t>
      </w:r>
      <w:bookmarkEnd w:id="63"/>
      <w:bookmarkStart w:id="67" w:name="_Toc344475125"/>
      <w:r>
        <w:rPr>
          <w:rFonts w:hint="eastAsia" w:ascii="宋体" w:hAnsi="宋体" w:cs="宋体"/>
          <w:sz w:val="24"/>
        </w:rPr>
        <w:t>其他</w:t>
      </w:r>
      <w:bookmarkEnd w:id="64"/>
      <w:bookmarkEnd w:id="65"/>
      <w:bookmarkEnd w:id="66"/>
    </w:p>
    <w:bookmarkEnd w:id="67"/>
    <w:p>
      <w:pPr>
        <w:snapToGrid w:val="0"/>
        <w:spacing w:line="400" w:lineRule="exact"/>
        <w:ind w:firstLine="540"/>
        <w:rPr>
          <w:rFonts w:ascii="宋体" w:hAnsi="宋体" w:cs="宋体"/>
          <w:sz w:val="24"/>
        </w:rPr>
      </w:pPr>
      <w:r>
        <w:rPr>
          <w:rFonts w:hint="eastAsia" w:ascii="宋体" w:hAnsi="宋体" w:cs="宋体"/>
          <w:sz w:val="24"/>
        </w:rPr>
        <w:t>（一）供应商必须在响应文件中对以上条款和服务承诺明确列出，承诺内容必须达到本篇及竞争性磋商文件其他条款的要求。</w:t>
      </w:r>
    </w:p>
    <w:p>
      <w:pPr>
        <w:snapToGrid w:val="0"/>
        <w:spacing w:line="400" w:lineRule="exact"/>
        <w:ind w:firstLine="540"/>
        <w:rPr>
          <w:rFonts w:ascii="宋体" w:hAnsi="宋体" w:cs="宋体"/>
          <w:sz w:val="24"/>
        </w:rPr>
      </w:pPr>
      <w:r>
        <w:rPr>
          <w:rFonts w:hint="eastAsia" w:ascii="宋体" w:hAnsi="宋体" w:cs="宋体"/>
          <w:sz w:val="24"/>
        </w:rPr>
        <w:t>（二）其他未尽事宜由供需双方在采购合同中详细约定。</w:t>
      </w:r>
    </w:p>
    <w:p>
      <w:pPr>
        <w:widowControl/>
        <w:jc w:val="left"/>
        <w:rPr>
          <w:rFonts w:ascii="宋体" w:hAnsi="宋体" w:cs="宋体"/>
          <w:bCs/>
          <w:color w:val="000000" w:themeColor="text1"/>
          <w:sz w:val="36"/>
          <w:szCs w:val="30"/>
          <w14:textFill>
            <w14:solidFill>
              <w14:schemeClr w14:val="tx1"/>
            </w14:solidFill>
          </w14:textFill>
        </w:rPr>
      </w:pPr>
      <w:r>
        <w:rPr>
          <w:rFonts w:hint="eastAsia" w:ascii="宋体" w:hAnsi="宋体" w:cs="宋体"/>
          <w:bCs/>
          <w:color w:val="000000" w:themeColor="text1"/>
          <w:sz w:val="36"/>
          <w:szCs w:val="30"/>
          <w14:textFill>
            <w14:solidFill>
              <w14:schemeClr w14:val="tx1"/>
            </w14:solidFill>
          </w14:textFill>
        </w:rPr>
        <w:br w:type="page"/>
      </w:r>
    </w:p>
    <w:p>
      <w:pPr>
        <w:pStyle w:val="4"/>
        <w:spacing w:before="0" w:after="0" w:line="360" w:lineRule="auto"/>
        <w:rPr>
          <w:rFonts w:ascii="宋体" w:hAnsi="宋体" w:eastAsia="宋体" w:cs="宋体"/>
          <w:bCs/>
          <w:color w:val="000000" w:themeColor="text1"/>
          <w:sz w:val="36"/>
          <w:szCs w:val="30"/>
          <w14:textFill>
            <w14:solidFill>
              <w14:schemeClr w14:val="tx1"/>
            </w14:solidFill>
          </w14:textFill>
        </w:rPr>
      </w:pPr>
      <w:bookmarkStart w:id="68" w:name="_Toc22885"/>
      <w:r>
        <w:rPr>
          <w:rFonts w:hint="eastAsia" w:ascii="宋体" w:hAnsi="宋体" w:eastAsia="宋体" w:cs="宋体"/>
          <w:bCs/>
          <w:color w:val="000000" w:themeColor="text1"/>
          <w:sz w:val="36"/>
          <w:szCs w:val="30"/>
          <w14:textFill>
            <w14:solidFill>
              <w14:schemeClr w14:val="tx1"/>
            </w14:solidFill>
          </w14:textFill>
        </w:rPr>
        <w:t>第四篇  磋商程序及方法、评审标准、无效响应和</w:t>
      </w:r>
      <w:r>
        <w:rPr>
          <w:rFonts w:hint="eastAsia" w:ascii="宋体" w:hAnsi="宋体" w:eastAsia="宋体" w:cs="宋体"/>
          <w:bCs/>
          <w:color w:val="000000" w:themeColor="text1"/>
          <w:sz w:val="36"/>
          <w:szCs w:val="36"/>
          <w14:textFill>
            <w14:solidFill>
              <w14:schemeClr w14:val="tx1"/>
            </w14:solidFill>
          </w14:textFill>
        </w:rPr>
        <w:t>采购终止</w:t>
      </w:r>
      <w:bookmarkEnd w:id="68"/>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69" w:name="_Toc13160"/>
      <w:bookmarkStart w:id="70" w:name="_Toc11694"/>
      <w:bookmarkStart w:id="71" w:name="_Toc24398"/>
      <w:bookmarkStart w:id="72" w:name="_Toc102227320"/>
      <w:bookmarkStart w:id="73" w:name="_Toc342913394"/>
      <w:r>
        <w:rPr>
          <w:rFonts w:hint="eastAsia" w:ascii="宋体" w:hAnsi="宋体" w:cs="宋体"/>
          <w:color w:val="000000" w:themeColor="text1"/>
          <w:sz w:val="24"/>
          <w:szCs w:val="24"/>
          <w14:textFill>
            <w14:solidFill>
              <w14:schemeClr w14:val="tx1"/>
            </w14:solidFill>
          </w14:textFill>
        </w:rPr>
        <w:t>一、磋商程序及方法</w:t>
      </w:r>
      <w:bookmarkEnd w:id="69"/>
      <w:bookmarkEnd w:id="70"/>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资格性检查。依据法律法规和竞争性磋商文件的规定，对响应文件中的资格证明、磋商保证金等进行审查，以确定供应商是否具备磋商资格。资格性检查资料表如下：</w:t>
      </w:r>
    </w:p>
    <w:tbl>
      <w:tblPr>
        <w:tblStyle w:val="57"/>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750"/>
        <w:gridCol w:w="454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spacing w:line="240" w:lineRule="exact"/>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序号</w:t>
            </w:r>
          </w:p>
        </w:tc>
        <w:tc>
          <w:tcPr>
            <w:tcW w:w="5298" w:type="dxa"/>
            <w:gridSpan w:val="2"/>
            <w:vAlign w:val="center"/>
          </w:tcPr>
          <w:p>
            <w:pPr>
              <w:spacing w:line="240" w:lineRule="exact"/>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检查因素</w:t>
            </w:r>
          </w:p>
        </w:tc>
        <w:tc>
          <w:tcPr>
            <w:tcW w:w="3685" w:type="dxa"/>
            <w:vAlign w:val="center"/>
          </w:tcPr>
          <w:p>
            <w:pPr>
              <w:spacing w:line="240" w:lineRule="exact"/>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restart"/>
            <w:vAlign w:val="center"/>
          </w:tcPr>
          <w:p>
            <w:pPr>
              <w:spacing w:line="24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（一）</w:t>
            </w:r>
          </w:p>
        </w:tc>
        <w:tc>
          <w:tcPr>
            <w:tcW w:w="750" w:type="dxa"/>
            <w:vMerge w:val="restart"/>
            <w:vAlign w:val="center"/>
          </w:tcPr>
          <w:p>
            <w:pPr>
              <w:spacing w:line="240" w:lineRule="exact"/>
              <w:jc w:val="center"/>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《中华人民共和国政府采购法》第二十二条规定</w:t>
            </w:r>
          </w:p>
        </w:tc>
        <w:tc>
          <w:tcPr>
            <w:tcW w:w="4548"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（1）具有独立承担民事责任的能力</w:t>
            </w:r>
          </w:p>
        </w:tc>
        <w:tc>
          <w:tcPr>
            <w:tcW w:w="3685"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供应商法定代表人身份证明和法定代表人授权代表委托书。</w:t>
            </w:r>
          </w:p>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不具有独立法人的分公司、办事处等分支机构参加磋商须出具总公司的授权证明。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vAlign w:val="center"/>
          </w:tcPr>
          <w:p>
            <w:pPr>
              <w:spacing w:line="240" w:lineRule="exact"/>
              <w:jc w:val="center"/>
              <w:rPr>
                <w:rFonts w:ascii="宋体" w:hAnsi="宋体" w:cs="宋体"/>
                <w:color w:val="000000" w:themeColor="text1"/>
                <w:sz w:val="21"/>
                <w:szCs w:val="21"/>
                <w14:textFill>
                  <w14:solidFill>
                    <w14:schemeClr w14:val="tx1"/>
                  </w14:solidFill>
                </w14:textFill>
              </w:rPr>
            </w:pPr>
          </w:p>
        </w:tc>
        <w:tc>
          <w:tcPr>
            <w:tcW w:w="750" w:type="dxa"/>
            <w:vMerge w:val="continue"/>
            <w:vAlign w:val="center"/>
          </w:tcPr>
          <w:p>
            <w:pPr>
              <w:spacing w:line="240" w:lineRule="exact"/>
              <w:rPr>
                <w:rFonts w:ascii="宋体" w:hAnsi="宋体" w:cs="宋体"/>
                <w:color w:val="000000" w:themeColor="text1"/>
                <w:sz w:val="21"/>
                <w:szCs w:val="21"/>
                <w14:textFill>
                  <w14:solidFill>
                    <w14:schemeClr w14:val="tx1"/>
                  </w14:solidFill>
                </w14:textFill>
              </w:rPr>
            </w:pPr>
          </w:p>
        </w:tc>
        <w:tc>
          <w:tcPr>
            <w:tcW w:w="4548"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具有良好的商业信誉和健全的财务会计制度</w:t>
            </w:r>
          </w:p>
        </w:tc>
        <w:tc>
          <w:tcPr>
            <w:tcW w:w="3685"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w:t>
            </w:r>
          </w:p>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sz w:val="21"/>
                <w:szCs w:val="21"/>
              </w:rPr>
              <w:t>（详见第七篇）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66" w:type="dxa"/>
            <w:vMerge w:val="continue"/>
            <w:vAlign w:val="center"/>
          </w:tcPr>
          <w:p>
            <w:pPr>
              <w:spacing w:line="240" w:lineRule="exact"/>
              <w:jc w:val="center"/>
              <w:rPr>
                <w:rFonts w:ascii="宋体" w:hAnsi="宋体" w:cs="宋体"/>
                <w:color w:val="000000" w:themeColor="text1"/>
                <w:sz w:val="21"/>
                <w:szCs w:val="21"/>
                <w14:textFill>
                  <w14:solidFill>
                    <w14:schemeClr w14:val="tx1"/>
                  </w14:solidFill>
                </w14:textFill>
              </w:rPr>
            </w:pPr>
          </w:p>
        </w:tc>
        <w:tc>
          <w:tcPr>
            <w:tcW w:w="750" w:type="dxa"/>
            <w:vMerge w:val="continue"/>
            <w:vAlign w:val="center"/>
          </w:tcPr>
          <w:p>
            <w:pPr>
              <w:spacing w:line="240" w:lineRule="exact"/>
              <w:rPr>
                <w:rFonts w:ascii="宋体" w:hAnsi="宋体" w:cs="宋体"/>
                <w:color w:val="000000" w:themeColor="text1"/>
                <w:sz w:val="21"/>
                <w:szCs w:val="21"/>
                <w:lang w:val="zh-CN"/>
                <w14:textFill>
                  <w14:solidFill>
                    <w14:schemeClr w14:val="tx1"/>
                  </w14:solidFill>
                </w14:textFill>
              </w:rPr>
            </w:pPr>
          </w:p>
        </w:tc>
        <w:tc>
          <w:tcPr>
            <w:tcW w:w="4548" w:type="dxa"/>
            <w:vAlign w:val="center"/>
          </w:tcPr>
          <w:p>
            <w:pPr>
              <w:spacing w:line="24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（3）具有履行合同所必需的设备和专业技术能力</w:t>
            </w:r>
          </w:p>
        </w:tc>
        <w:tc>
          <w:tcPr>
            <w:tcW w:w="3685" w:type="dxa"/>
            <w:vMerge w:val="continue"/>
            <w:vAlign w:val="center"/>
          </w:tcPr>
          <w:p>
            <w:pPr>
              <w:spacing w:line="240" w:lineRule="exact"/>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6" w:type="dxa"/>
            <w:vMerge w:val="continue"/>
            <w:vAlign w:val="center"/>
          </w:tcPr>
          <w:p>
            <w:pPr>
              <w:spacing w:line="240" w:lineRule="exact"/>
              <w:jc w:val="center"/>
              <w:rPr>
                <w:rFonts w:ascii="宋体" w:hAnsi="宋体" w:cs="宋体"/>
                <w:color w:val="000000" w:themeColor="text1"/>
                <w:sz w:val="21"/>
                <w:szCs w:val="21"/>
                <w14:textFill>
                  <w14:solidFill>
                    <w14:schemeClr w14:val="tx1"/>
                  </w14:solidFill>
                </w14:textFill>
              </w:rPr>
            </w:pPr>
          </w:p>
        </w:tc>
        <w:tc>
          <w:tcPr>
            <w:tcW w:w="750" w:type="dxa"/>
            <w:vMerge w:val="continue"/>
            <w:vAlign w:val="center"/>
          </w:tcPr>
          <w:p>
            <w:pPr>
              <w:spacing w:line="240" w:lineRule="exact"/>
              <w:rPr>
                <w:rFonts w:ascii="宋体" w:hAnsi="宋体" w:cs="宋体"/>
                <w:color w:val="000000" w:themeColor="text1"/>
                <w:sz w:val="21"/>
                <w:szCs w:val="21"/>
                <w:lang w:val="zh-CN"/>
                <w14:textFill>
                  <w14:solidFill>
                    <w14:schemeClr w14:val="tx1"/>
                  </w14:solidFill>
                </w14:textFill>
              </w:rPr>
            </w:pPr>
          </w:p>
        </w:tc>
        <w:tc>
          <w:tcPr>
            <w:tcW w:w="4548" w:type="dxa"/>
            <w:vAlign w:val="center"/>
          </w:tcPr>
          <w:p>
            <w:pPr>
              <w:spacing w:line="24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（4）有依法缴纳税收和社会保障金的良好记录</w:t>
            </w:r>
          </w:p>
        </w:tc>
        <w:tc>
          <w:tcPr>
            <w:tcW w:w="3685" w:type="dxa"/>
            <w:vMerge w:val="continue"/>
            <w:vAlign w:val="center"/>
          </w:tcPr>
          <w:p>
            <w:pPr>
              <w:spacing w:line="240" w:lineRule="exact"/>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vAlign w:val="center"/>
          </w:tcPr>
          <w:p>
            <w:pPr>
              <w:spacing w:line="240" w:lineRule="exact"/>
              <w:jc w:val="center"/>
              <w:rPr>
                <w:rFonts w:ascii="宋体" w:hAnsi="宋体" w:cs="宋体"/>
                <w:color w:val="000000" w:themeColor="text1"/>
                <w:sz w:val="21"/>
                <w:szCs w:val="21"/>
                <w14:textFill>
                  <w14:solidFill>
                    <w14:schemeClr w14:val="tx1"/>
                  </w14:solidFill>
                </w14:textFill>
              </w:rPr>
            </w:pPr>
          </w:p>
        </w:tc>
        <w:tc>
          <w:tcPr>
            <w:tcW w:w="750" w:type="dxa"/>
            <w:vMerge w:val="continue"/>
            <w:vAlign w:val="center"/>
          </w:tcPr>
          <w:p>
            <w:pPr>
              <w:spacing w:line="240" w:lineRule="exact"/>
              <w:rPr>
                <w:rFonts w:ascii="宋体" w:hAnsi="宋体" w:cs="宋体"/>
                <w:color w:val="000000" w:themeColor="text1"/>
                <w:sz w:val="21"/>
                <w:szCs w:val="21"/>
                <w:lang w:val="zh-CN"/>
                <w14:textFill>
                  <w14:solidFill>
                    <w14:schemeClr w14:val="tx1"/>
                  </w14:solidFill>
                </w14:textFill>
              </w:rPr>
            </w:pPr>
          </w:p>
        </w:tc>
        <w:tc>
          <w:tcPr>
            <w:tcW w:w="4548" w:type="dxa"/>
            <w:vAlign w:val="center"/>
          </w:tcPr>
          <w:p>
            <w:pPr>
              <w:spacing w:line="24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（5）参加政府采购活动前三年内，在经营活动中没有重大违法记录（注</w:t>
            </w:r>
            <w:r>
              <w:rPr>
                <w:rFonts w:hint="eastAsia" w:ascii="宋体" w:hAnsi="宋体" w:cs="宋体"/>
                <w:color w:val="000000" w:themeColor="text1"/>
                <w:sz w:val="21"/>
                <w:szCs w:val="21"/>
                <w14:textFill>
                  <w14:solidFill>
                    <w14:schemeClr w14:val="tx1"/>
                  </w14:solidFill>
                </w14:textFill>
              </w:rPr>
              <w:fldChar w:fldCharType="begin"/>
            </w:r>
            <w:r>
              <w:rPr>
                <w:rFonts w:hint="eastAsia" w:ascii="宋体" w:hAnsi="宋体" w:cs="宋体"/>
                <w:color w:val="000000" w:themeColor="text1"/>
                <w:sz w:val="21"/>
                <w:szCs w:val="21"/>
                <w14:textFill>
                  <w14:solidFill>
                    <w14:schemeClr w14:val="tx1"/>
                  </w14:solidFill>
                </w14:textFill>
              </w:rPr>
              <w:instrText xml:space="preserve"> eq \o\ac(○,</w:instrText>
            </w:r>
            <w:r>
              <w:rPr>
                <w:rFonts w:hint="eastAsia" w:ascii="宋体" w:hAnsi="宋体" w:cs="宋体"/>
                <w:color w:val="000000" w:themeColor="text1"/>
                <w:position w:val="2"/>
                <w:sz w:val="14"/>
                <w:szCs w:val="21"/>
                <w14:textFill>
                  <w14:solidFill>
                    <w14:schemeClr w14:val="tx1"/>
                  </w14:solidFill>
                </w14:textFill>
              </w:rPr>
              <w:instrText xml:space="preserve">3</w:instrText>
            </w:r>
            <w:r>
              <w:rPr>
                <w:rFonts w:hint="eastAsia" w:ascii="宋体" w:hAnsi="宋体" w:cs="宋体"/>
                <w:color w:val="000000" w:themeColor="text1"/>
                <w:sz w:val="21"/>
                <w:szCs w:val="21"/>
                <w14:textFill>
                  <w14:solidFill>
                    <w14:schemeClr w14:val="tx1"/>
                  </w14:solidFill>
                </w14:textFill>
              </w:rPr>
              <w:instrText xml:space="preserve">)</w:instrText>
            </w:r>
            <w:r>
              <w:rPr>
                <w:rFonts w:hint="eastAsia" w:ascii="宋体" w:hAnsi="宋体" w:cs="宋体"/>
                <w:color w:val="000000" w:themeColor="text1"/>
                <w:sz w:val="21"/>
                <w:szCs w:val="21"/>
                <w14:textFill>
                  <w14:solidFill>
                    <w14:schemeClr w14:val="tx1"/>
                  </w14:solidFill>
                </w14:textFill>
              </w:rPr>
              <w:fldChar w:fldCharType="end"/>
            </w:r>
            <w:r>
              <w:rPr>
                <w:rFonts w:hint="eastAsia" w:ascii="宋体" w:hAnsi="宋体" w:cs="宋体"/>
                <w:color w:val="000000" w:themeColor="text1"/>
                <w:sz w:val="21"/>
                <w:szCs w:val="21"/>
                <w14:textFill>
                  <w14:solidFill>
                    <w14:schemeClr w14:val="tx1"/>
                  </w14:solidFill>
                </w14:textFill>
              </w:rPr>
              <w:t>）</w:t>
            </w:r>
          </w:p>
        </w:tc>
        <w:tc>
          <w:tcPr>
            <w:tcW w:w="3685" w:type="dxa"/>
            <w:vAlign w:val="center"/>
          </w:tcPr>
          <w:p>
            <w:pPr>
              <w:rPr>
                <w:rFonts w:ascii="宋体" w:hAnsi="宋体" w:cs="宋体"/>
                <w:sz w:val="21"/>
                <w:szCs w:val="21"/>
              </w:rPr>
            </w:pP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sz w:val="21"/>
                <w:szCs w:val="21"/>
              </w:rPr>
              <w:t>供应商提供“基本资格条件承诺函”</w:t>
            </w:r>
          </w:p>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sz w:val="21"/>
                <w:szCs w:val="21"/>
              </w:rPr>
              <w:t>（详见第七篇）</w:t>
            </w:r>
          </w:p>
          <w:p>
            <w:pPr>
              <w:spacing w:line="240" w:lineRule="exact"/>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2.采购人或采购代理机构将通过</w:t>
            </w:r>
          </w:p>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信用中国”网站(www.creditchina.gov.cn)、"中国政府采购网"(www.ccgp.gov.cn)等渠道查询供应商信用记录，对列入失信被执行人、重大税收违法案件当事人名单、政府采购严重违法失信行为记录名单的供应商将拒绝其参与政府采购活动。（注</w:t>
            </w:r>
            <w:r>
              <w:rPr>
                <w:rFonts w:hint="eastAsia" w:ascii="宋体" w:hAnsi="宋体" w:cs="宋体"/>
                <w:b/>
                <w:kern w:val="0"/>
                <w:sz w:val="24"/>
                <w:szCs w:val="24"/>
              </w:rPr>
              <w:fldChar w:fldCharType="begin"/>
            </w:r>
            <w:r>
              <w:rPr>
                <w:rFonts w:hint="eastAsia" w:ascii="宋体" w:hAnsi="宋体" w:cs="宋体"/>
                <w:b/>
                <w:kern w:val="0"/>
                <w:sz w:val="24"/>
                <w:szCs w:val="24"/>
              </w:rPr>
              <w:instrText xml:space="preserve"> eq \o\ac(○,</w:instrText>
            </w:r>
            <w:r>
              <w:rPr>
                <w:rFonts w:hint="eastAsia" w:ascii="宋体" w:hAnsi="宋体" w:cs="宋体"/>
                <w:b/>
                <w:kern w:val="0"/>
                <w:position w:val="3"/>
                <w:sz w:val="16"/>
                <w:szCs w:val="24"/>
              </w:rPr>
              <w:instrText xml:space="preserve">1</w:instrText>
            </w:r>
            <w:r>
              <w:rPr>
                <w:rFonts w:hint="eastAsia" w:ascii="宋体" w:hAnsi="宋体" w:cs="宋体"/>
                <w:b/>
                <w:kern w:val="0"/>
                <w:sz w:val="24"/>
                <w:szCs w:val="24"/>
              </w:rPr>
              <w:instrText xml:space="preserve">)</w:instrText>
            </w:r>
            <w:r>
              <w:rPr>
                <w:rFonts w:hint="eastAsia" w:ascii="宋体" w:hAnsi="宋体" w:cs="宋体"/>
                <w:b/>
                <w:kern w:val="0"/>
                <w:sz w:val="24"/>
                <w:szCs w:val="24"/>
              </w:rPr>
              <w:fldChar w:fldCharType="end"/>
            </w:r>
            <w:r>
              <w:rPr>
                <w:rFonts w:hint="eastAsia" w:ascii="宋体" w:hAnsi="宋体" w:cs="宋体"/>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dxa"/>
            <w:vMerge w:val="continue"/>
            <w:vAlign w:val="center"/>
          </w:tcPr>
          <w:p>
            <w:pPr>
              <w:spacing w:line="240" w:lineRule="exact"/>
              <w:jc w:val="center"/>
              <w:rPr>
                <w:rFonts w:ascii="宋体" w:hAnsi="宋体" w:cs="宋体"/>
                <w:color w:val="000000" w:themeColor="text1"/>
                <w:sz w:val="21"/>
                <w:szCs w:val="21"/>
                <w14:textFill>
                  <w14:solidFill>
                    <w14:schemeClr w14:val="tx1"/>
                  </w14:solidFill>
                </w14:textFill>
              </w:rPr>
            </w:pPr>
          </w:p>
        </w:tc>
        <w:tc>
          <w:tcPr>
            <w:tcW w:w="750" w:type="dxa"/>
            <w:vMerge w:val="continue"/>
            <w:vAlign w:val="center"/>
          </w:tcPr>
          <w:p>
            <w:pPr>
              <w:spacing w:line="240" w:lineRule="exact"/>
              <w:rPr>
                <w:rFonts w:ascii="宋体" w:hAnsi="宋体" w:cs="宋体"/>
                <w:color w:val="000000" w:themeColor="text1"/>
                <w:sz w:val="21"/>
                <w:szCs w:val="21"/>
                <w14:textFill>
                  <w14:solidFill>
                    <w14:schemeClr w14:val="tx1"/>
                  </w14:solidFill>
                </w14:textFill>
              </w:rPr>
            </w:pPr>
          </w:p>
        </w:tc>
        <w:tc>
          <w:tcPr>
            <w:tcW w:w="4548"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（6）法律、行政法规规定的其他条件</w:t>
            </w:r>
          </w:p>
        </w:tc>
        <w:tc>
          <w:tcPr>
            <w:tcW w:w="3685" w:type="dxa"/>
            <w:vAlign w:val="center"/>
          </w:tcPr>
          <w:p>
            <w:pPr>
              <w:spacing w:line="240" w:lineRule="exact"/>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66" w:type="dxa"/>
            <w:vMerge w:val="continue"/>
            <w:vAlign w:val="center"/>
          </w:tcPr>
          <w:p>
            <w:pPr>
              <w:spacing w:line="240" w:lineRule="exact"/>
              <w:jc w:val="center"/>
              <w:rPr>
                <w:rFonts w:ascii="宋体" w:hAnsi="宋体" w:cs="宋体"/>
                <w:color w:val="000000" w:themeColor="text1"/>
                <w:sz w:val="21"/>
                <w:szCs w:val="21"/>
                <w14:textFill>
                  <w14:solidFill>
                    <w14:schemeClr w14:val="tx1"/>
                  </w14:solidFill>
                </w14:textFill>
              </w:rPr>
            </w:pPr>
          </w:p>
        </w:tc>
        <w:tc>
          <w:tcPr>
            <w:tcW w:w="750" w:type="dxa"/>
            <w:vMerge w:val="continue"/>
            <w:vAlign w:val="center"/>
          </w:tcPr>
          <w:p>
            <w:pPr>
              <w:spacing w:line="240" w:lineRule="exact"/>
              <w:rPr>
                <w:rFonts w:ascii="宋体" w:hAnsi="宋体" w:cs="宋体"/>
                <w:color w:val="000000" w:themeColor="text1"/>
                <w:sz w:val="21"/>
                <w:szCs w:val="21"/>
                <w:u w:val="single"/>
                <w14:textFill>
                  <w14:solidFill>
                    <w14:schemeClr w14:val="tx1"/>
                  </w14:solidFill>
                </w14:textFill>
              </w:rPr>
            </w:pPr>
          </w:p>
        </w:tc>
        <w:tc>
          <w:tcPr>
            <w:tcW w:w="4548"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（7）本项目的特定资格要求</w:t>
            </w:r>
          </w:p>
        </w:tc>
        <w:tc>
          <w:tcPr>
            <w:tcW w:w="3685"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按“第一篇三、供应商资格要求（三）本项目的特定资格要求”的要求提交。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66" w:type="dxa"/>
            <w:vAlign w:val="center"/>
          </w:tcPr>
          <w:p>
            <w:pPr>
              <w:spacing w:line="24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w:t>
            </w:r>
          </w:p>
        </w:tc>
        <w:tc>
          <w:tcPr>
            <w:tcW w:w="5298" w:type="dxa"/>
            <w:gridSpan w:val="2"/>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落实政府采购政策需满足的资格要求</w:t>
            </w:r>
          </w:p>
        </w:tc>
        <w:tc>
          <w:tcPr>
            <w:tcW w:w="3685" w:type="dxa"/>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按“第一篇三、供应商资格要求（二）落实政府采购政策需满足的资格要求”的要求提交（如果有）。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66" w:type="dxa"/>
            <w:vAlign w:val="center"/>
          </w:tcPr>
          <w:p>
            <w:pPr>
              <w:spacing w:line="24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w:t>
            </w:r>
          </w:p>
        </w:tc>
        <w:tc>
          <w:tcPr>
            <w:tcW w:w="5298" w:type="dxa"/>
            <w:gridSpan w:val="2"/>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保证金</w:t>
            </w:r>
          </w:p>
        </w:tc>
        <w:tc>
          <w:tcPr>
            <w:tcW w:w="3685" w:type="dxa"/>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按照竞争性磋商文件的规定提交保证金。</w:t>
            </w:r>
          </w:p>
        </w:tc>
      </w:tr>
    </w:tbl>
    <w:p>
      <w:pPr>
        <w:snapToGrid w:val="0"/>
        <w:spacing w:line="4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w:t>
      </w:r>
    </w:p>
    <w:p>
      <w:pPr>
        <w:snapToGrid w:val="0"/>
        <w:spacing w:line="400" w:lineRule="exact"/>
        <w:ind w:firstLine="480" w:firstLineChars="200"/>
        <w:rPr>
          <w:rFonts w:ascii="宋体" w:hAnsi="宋体" w:cs="宋体"/>
          <w:kern w:val="0"/>
          <w:sz w:val="24"/>
          <w:szCs w:val="24"/>
        </w:rPr>
      </w:pPr>
      <w:r>
        <w:rPr>
          <w:rFonts w:hint="eastAsia" w:ascii="宋体" w:hAnsi="宋体" w:cs="宋体"/>
          <w:color w:val="000000" w:themeColor="text1"/>
          <w:kern w:val="0"/>
          <w:sz w:val="24"/>
          <w:szCs w:val="24"/>
          <w14:textFill>
            <w14:solidFill>
              <w14:schemeClr w14:val="tx1"/>
            </w14:solidFill>
          </w14:textFill>
        </w:rPr>
        <w:fldChar w:fldCharType="begin"/>
      </w:r>
      <w:r>
        <w:rPr>
          <w:rFonts w:hint="eastAsia" w:ascii="宋体" w:hAnsi="宋体" w:cs="宋体"/>
          <w:color w:val="000000" w:themeColor="text1"/>
          <w:kern w:val="0"/>
          <w:sz w:val="24"/>
          <w:szCs w:val="24"/>
          <w14:textFill>
            <w14:solidFill>
              <w14:schemeClr w14:val="tx1"/>
            </w14:solidFill>
          </w14:textFill>
        </w:rPr>
        <w:instrText xml:space="preserve"> eq \o\ac(○,</w:instrText>
      </w:r>
      <w:r>
        <w:rPr>
          <w:rFonts w:hint="eastAsia" w:ascii="宋体" w:hAnsi="宋体" w:cs="宋体"/>
          <w:color w:val="000000" w:themeColor="text1"/>
          <w:kern w:val="0"/>
          <w:position w:val="3"/>
          <w:sz w:val="16"/>
          <w:szCs w:val="24"/>
          <w14:textFill>
            <w14:solidFill>
              <w14:schemeClr w14:val="tx1"/>
            </w14:solidFill>
          </w14:textFill>
        </w:rPr>
        <w:instrText xml:space="preserve">1</w:instrText>
      </w:r>
      <w:r>
        <w:rPr>
          <w:rFonts w:hint="eastAsia" w:ascii="宋体" w:hAnsi="宋体" w:cs="宋体"/>
          <w:color w:val="000000" w:themeColor="text1"/>
          <w:kern w:val="0"/>
          <w:sz w:val="24"/>
          <w:szCs w:val="24"/>
          <w14:textFill>
            <w14:solidFill>
              <w14:schemeClr w14:val="tx1"/>
            </w14:solidFill>
          </w14:textFill>
        </w:rPr>
        <w:instrText xml:space="preserve">)</w:instrText>
      </w:r>
      <w:r>
        <w:rPr>
          <w:rFonts w:hint="eastAsia"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号）”执行。</w:t>
      </w:r>
    </w:p>
    <w:p>
      <w:pPr>
        <w:snapToGrid w:val="0"/>
        <w:spacing w:line="4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675" w:type="dxa"/>
            <w:vAlign w:val="center"/>
          </w:tcPr>
          <w:p>
            <w:pPr>
              <w:spacing w:line="240" w:lineRule="exact"/>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序号</w:t>
            </w:r>
          </w:p>
        </w:tc>
        <w:tc>
          <w:tcPr>
            <w:tcW w:w="3544" w:type="dxa"/>
            <w:gridSpan w:val="2"/>
            <w:vAlign w:val="center"/>
          </w:tcPr>
          <w:p>
            <w:pPr>
              <w:spacing w:line="240" w:lineRule="exact"/>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评审因素</w:t>
            </w:r>
          </w:p>
        </w:tc>
        <w:tc>
          <w:tcPr>
            <w:tcW w:w="5409" w:type="dxa"/>
            <w:vAlign w:val="center"/>
          </w:tcPr>
          <w:p>
            <w:pPr>
              <w:spacing w:line="240" w:lineRule="exact"/>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w:t>
            </w:r>
          </w:p>
        </w:tc>
        <w:tc>
          <w:tcPr>
            <w:tcW w:w="1560" w:type="dxa"/>
            <w:vMerge w:val="restart"/>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有效性审查</w:t>
            </w:r>
          </w:p>
        </w:tc>
        <w:tc>
          <w:tcPr>
            <w:tcW w:w="1984"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响应文件签署或盖章</w:t>
            </w:r>
          </w:p>
        </w:tc>
        <w:tc>
          <w:tcPr>
            <w:tcW w:w="5409"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按竞争性磋商文件“第七篇 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pacing w:line="240" w:lineRule="exact"/>
              <w:rPr>
                <w:rFonts w:ascii="宋体" w:hAnsi="宋体" w:cs="宋体"/>
                <w:color w:val="000000" w:themeColor="text1"/>
                <w:kern w:val="0"/>
                <w:sz w:val="21"/>
                <w:szCs w:val="21"/>
                <w14:textFill>
                  <w14:solidFill>
                    <w14:schemeClr w14:val="tx1"/>
                  </w14:solidFill>
                </w14:textFill>
              </w:rPr>
            </w:pPr>
          </w:p>
        </w:tc>
        <w:tc>
          <w:tcPr>
            <w:tcW w:w="1984"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法定代表人身份证明及授权委托书</w:t>
            </w:r>
          </w:p>
        </w:tc>
        <w:tc>
          <w:tcPr>
            <w:tcW w:w="5409" w:type="dxa"/>
            <w:vAlign w:val="center"/>
          </w:tcPr>
          <w:p>
            <w:pPr>
              <w:spacing w:line="2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pacing w:line="240" w:lineRule="exact"/>
              <w:rPr>
                <w:rFonts w:ascii="宋体" w:hAnsi="宋体" w:cs="宋体"/>
                <w:color w:val="000000" w:themeColor="text1"/>
                <w:kern w:val="0"/>
                <w:sz w:val="21"/>
                <w:szCs w:val="21"/>
                <w14:textFill>
                  <w14:solidFill>
                    <w14:schemeClr w14:val="tx1"/>
                  </w14:solidFill>
                </w14:textFill>
              </w:rPr>
            </w:pPr>
          </w:p>
        </w:tc>
        <w:tc>
          <w:tcPr>
            <w:tcW w:w="1984" w:type="dxa"/>
            <w:vAlign w:val="center"/>
          </w:tcPr>
          <w:p>
            <w:pPr>
              <w:spacing w:line="24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val="zh-CN"/>
                <w14:textFill>
                  <w14:solidFill>
                    <w14:schemeClr w14:val="tx1"/>
                  </w14:solidFill>
                </w14:textFill>
              </w:rPr>
              <w:t>方案</w:t>
            </w:r>
          </w:p>
        </w:tc>
        <w:tc>
          <w:tcPr>
            <w:tcW w:w="5409"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每个包只能有一个</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pacing w:line="240" w:lineRule="exact"/>
              <w:rPr>
                <w:rFonts w:ascii="宋体" w:hAnsi="宋体" w:cs="宋体"/>
                <w:color w:val="000000" w:themeColor="text1"/>
                <w:kern w:val="0"/>
                <w:sz w:val="21"/>
                <w:szCs w:val="21"/>
                <w14:textFill>
                  <w14:solidFill>
                    <w14:schemeClr w14:val="tx1"/>
                  </w14:solidFill>
                </w14:textFill>
              </w:rPr>
            </w:pPr>
          </w:p>
        </w:tc>
        <w:tc>
          <w:tcPr>
            <w:tcW w:w="1984" w:type="dxa"/>
            <w:vAlign w:val="center"/>
          </w:tcPr>
          <w:p>
            <w:pPr>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报价唯一</w:t>
            </w:r>
          </w:p>
        </w:tc>
        <w:tc>
          <w:tcPr>
            <w:tcW w:w="5409" w:type="dxa"/>
            <w:vAlign w:val="center"/>
          </w:tcPr>
          <w:p>
            <w:pP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w:t>
            </w:r>
          </w:p>
        </w:tc>
        <w:tc>
          <w:tcPr>
            <w:tcW w:w="1560"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完整性审查</w:t>
            </w:r>
          </w:p>
        </w:tc>
        <w:tc>
          <w:tcPr>
            <w:tcW w:w="1984"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val="zh-CN"/>
                <w14:textFill>
                  <w14:solidFill>
                    <w14:schemeClr w14:val="tx1"/>
                  </w14:solidFill>
                </w14:textFill>
              </w:rPr>
              <w:t>文件份数</w:t>
            </w:r>
          </w:p>
        </w:tc>
        <w:tc>
          <w:tcPr>
            <w:tcW w:w="5409"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val="zh-CN"/>
                <w14:textFill>
                  <w14:solidFill>
                    <w14:schemeClr w14:val="tx1"/>
                  </w14:solidFill>
                </w14:textFill>
              </w:rPr>
              <w:t>文件正、副本数量</w:t>
            </w:r>
            <w:r>
              <w:rPr>
                <w:rFonts w:hint="eastAsia" w:ascii="宋体" w:hAnsi="宋体" w:cs="宋体"/>
                <w:b/>
                <w:bCs/>
                <w:color w:val="000000" w:themeColor="text1"/>
                <w:sz w:val="21"/>
                <w:szCs w:val="21"/>
                <w:lang w:val="zh-CN"/>
                <w14:textFill>
                  <w14:solidFill>
                    <w14:schemeClr w14:val="tx1"/>
                  </w14:solidFill>
                </w14:textFill>
              </w:rPr>
              <w:t>（含电子文档）</w:t>
            </w:r>
            <w:r>
              <w:rPr>
                <w:rFonts w:hint="eastAsia" w:ascii="宋体" w:hAnsi="宋体" w:cs="宋体"/>
                <w:color w:val="000000" w:themeColor="text1"/>
                <w:sz w:val="21"/>
                <w:szCs w:val="21"/>
                <w:lang w:val="zh-CN"/>
                <w14:textFill>
                  <w14:solidFill>
                    <w14:schemeClr w14:val="tx1"/>
                  </w14:solidFill>
                </w14:textFill>
              </w:rPr>
              <w:t>符合</w:t>
            </w:r>
            <w:r>
              <w:rPr>
                <w:rFonts w:hint="eastAsia" w:ascii="宋体" w:hAnsi="宋体" w:cs="宋体"/>
                <w:color w:val="000000" w:themeColor="text1"/>
                <w:sz w:val="21"/>
                <w:szCs w:val="21"/>
                <w14:textFill>
                  <w14:solidFill>
                    <w14:schemeClr w14:val="tx1"/>
                  </w14:solidFill>
                </w14:textFill>
              </w:rPr>
              <w:t>竞争性磋商</w:t>
            </w:r>
            <w:r>
              <w:rPr>
                <w:rFonts w:hint="eastAsia" w:ascii="宋体" w:hAnsi="宋体" w:cs="宋体"/>
                <w:color w:val="000000" w:themeColor="text1"/>
                <w:sz w:val="21"/>
                <w:szCs w:val="21"/>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w:t>
            </w:r>
          </w:p>
        </w:tc>
        <w:tc>
          <w:tcPr>
            <w:tcW w:w="1560" w:type="dxa"/>
            <w:vMerge w:val="restart"/>
            <w:vAlign w:val="center"/>
          </w:tcPr>
          <w:p>
            <w:pPr>
              <w:spacing w:line="240" w:lineRule="exact"/>
              <w:rPr>
                <w:rFonts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竞争性磋商文件的响应程度审查</w:t>
            </w:r>
          </w:p>
        </w:tc>
        <w:tc>
          <w:tcPr>
            <w:tcW w:w="1984"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响应文件内容</w:t>
            </w:r>
          </w:p>
        </w:tc>
        <w:tc>
          <w:tcPr>
            <w:tcW w:w="5409" w:type="dxa"/>
            <w:vAlign w:val="center"/>
          </w:tcPr>
          <w:p>
            <w:pPr>
              <w:pStyle w:val="32"/>
              <w:spacing w:line="240" w:lineRule="exac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kern w:val="0"/>
                <w:sz w:val="21"/>
                <w:szCs w:val="21"/>
              </w:rPr>
              <w:t>竞争性磋商文件第二篇“</w:t>
            </w:r>
            <w:r>
              <w:rPr>
                <w:rFonts w:hint="eastAsia" w:ascii="宋体" w:hAnsi="宋体" w:eastAsia="宋体" w:cs="宋体"/>
                <w:sz w:val="24"/>
                <w:szCs w:val="24"/>
              </w:rPr>
              <w:t>※</w:t>
            </w:r>
            <w:r>
              <w:rPr>
                <w:rFonts w:hint="eastAsia" w:ascii="宋体" w:hAnsi="宋体" w:eastAsia="宋体" w:cs="宋体"/>
                <w:kern w:val="0"/>
                <w:sz w:val="21"/>
                <w:szCs w:val="21"/>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pacing w:line="240" w:lineRule="exact"/>
              <w:rPr>
                <w:rFonts w:ascii="宋体" w:hAnsi="宋体" w:cs="宋体"/>
                <w:color w:val="000000" w:themeColor="text1"/>
                <w:sz w:val="21"/>
                <w:szCs w:val="21"/>
                <w:lang w:val="zh-CN"/>
                <w14:textFill>
                  <w14:solidFill>
                    <w14:schemeClr w14:val="tx1"/>
                  </w14:solidFill>
                </w14:textFill>
              </w:rPr>
            </w:pPr>
          </w:p>
        </w:tc>
        <w:tc>
          <w:tcPr>
            <w:tcW w:w="1984"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磋商有效期</w:t>
            </w:r>
          </w:p>
        </w:tc>
        <w:tc>
          <w:tcPr>
            <w:tcW w:w="5409" w:type="dxa"/>
            <w:vAlign w:val="center"/>
          </w:tcPr>
          <w:p>
            <w:pPr>
              <w:spacing w:line="240" w:lineRule="exac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响应文件及有关承诺文件有效期为提交响应文件截止时间起90天。</w:t>
            </w:r>
          </w:p>
        </w:tc>
      </w:tr>
    </w:tbl>
    <w:p>
      <w:pPr>
        <w:spacing w:line="400" w:lineRule="exact"/>
        <w:ind w:firstLine="480" w:firstLineChars="200"/>
        <w:rPr>
          <w:rFonts w:ascii="宋体" w:hAnsi="宋体" w:cs="宋体"/>
          <w:color w:val="000000" w:themeColor="text1"/>
          <w:sz w:val="24"/>
          <w:szCs w:val="24"/>
          <w:highlight w:val="r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（五）在磋商过程中磋商的任何一方不得向他人透露与磋商有关的技术资料、价格或其他信息。</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（七）供应商在磋商时作出的所有书面承诺须由法定代表人（或其授权代表）或自然人（供应商为自然人）签署。</w:t>
      </w:r>
    </w:p>
    <w:p>
      <w:pPr>
        <w:spacing w:line="400" w:lineRule="exact"/>
        <w:ind w:firstLine="480" w:firstLineChars="200"/>
        <w:rPr>
          <w:rFonts w:ascii="宋体" w:hAnsi="宋体" w:cs="宋体"/>
          <w:color w:val="000000" w:themeColor="text1"/>
          <w:sz w:val="24"/>
          <w:szCs w:val="24"/>
          <w:highlight w:val="r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r>
        <w:rPr>
          <w:rFonts w:hint="eastAsia" w:ascii="宋体" w:hAnsi="宋体" w:cs="宋体"/>
          <w:b/>
          <w:bCs/>
          <w:color w:val="000000" w:themeColor="text1"/>
          <w:sz w:val="24"/>
          <w:szCs w:val="24"/>
          <w14:textFill>
            <w14:solidFill>
              <w14:schemeClr w14:val="tx1"/>
            </w14:solidFill>
          </w14:textFill>
        </w:rPr>
        <w:t>已提交响应文件但未在规定时间内进行最后报价的供应商，或最后报价高于初始报价的（在未实质性变动竞争性磋商文件的情况下），或最后报价有歧义的，均视为放弃最后报价，以供应商响应文件中的报价为准。</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（九）磋商小组采用综合评分法对提交最后报价的供应商的响应文件和最后报价（含有效书面承诺）进行综合评分。</w:t>
      </w:r>
      <w:r>
        <w:rPr>
          <w:rFonts w:hint="eastAsia" w:ascii="宋体" w:hAnsi="宋体" w:cs="宋体"/>
          <w:color w:val="000000" w:themeColor="text1"/>
          <w:kern w:val="0"/>
          <w:sz w:val="24"/>
          <w:szCs w:val="24"/>
          <w14:textFill>
            <w14:solidFill>
              <w14:schemeClr w14:val="tx1"/>
            </w14:solidFill>
          </w14:textFill>
        </w:rPr>
        <w:t>综合评分法，是指响应文件满足竞争性磋商文件全部实质性要求且按照评审因素的量化指标评审得分最高的供应商为成交候选供应商的评审方法。供应商总得分为磋商报价、服务部分、商务部分等评定因素分别按照相应权重值计算分项得分后相加，满分为100分</w:t>
      </w:r>
      <w:r>
        <w:rPr>
          <w:rFonts w:hint="eastAsia" w:ascii="宋体" w:hAnsi="宋体" w:cs="宋体"/>
          <w:color w:val="000000" w:themeColor="text1"/>
          <w:sz w:val="24"/>
          <w:szCs w:val="24"/>
          <w14:textFill>
            <w14:solidFill>
              <w14:schemeClr w14:val="tx1"/>
            </w14:solidFill>
          </w14:textFill>
        </w:rPr>
        <w:t>。</w:t>
      </w:r>
    </w:p>
    <w:p>
      <w:pPr>
        <w:spacing w:line="4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十）磋商小组各成员独立对每个有效响应（通过资格性检查、符合性检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技术指标优劣顺序排列推荐。以上都相同的，按商务条款的优劣顺序排列推荐。若供应商的服务部分为0分，将失去成为成交候选人的资格。</w:t>
      </w:r>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74" w:name="_Toc15850"/>
      <w:r>
        <w:rPr>
          <w:rFonts w:hint="eastAsia" w:ascii="宋体" w:hAnsi="宋体" w:cs="宋体"/>
          <w:color w:val="000000" w:themeColor="text1"/>
          <w:sz w:val="24"/>
          <w:szCs w:val="24"/>
          <w14:textFill>
            <w14:solidFill>
              <w14:schemeClr w14:val="tx1"/>
            </w14:solidFill>
          </w14:textFill>
        </w:rPr>
        <w:t>二、评审标准</w:t>
      </w:r>
      <w:bookmarkEnd w:id="74"/>
    </w:p>
    <w:bookmarkEnd w:id="71"/>
    <w:tbl>
      <w:tblPr>
        <w:tblStyle w:val="57"/>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09"/>
        <w:gridCol w:w="4819"/>
        <w:gridCol w:w="142"/>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ind w:firstLine="28"/>
              <w:jc w:val="center"/>
              <w:rPr>
                <w:rFonts w:ascii="宋体" w:hAnsi="宋体" w:cs="宋体"/>
                <w:b/>
                <w:color w:val="auto"/>
                <w:sz w:val="21"/>
                <w:szCs w:val="21"/>
              </w:rPr>
            </w:pPr>
            <w:r>
              <w:rPr>
                <w:rFonts w:hint="eastAsia" w:ascii="宋体" w:hAnsi="宋体" w:cs="宋体"/>
                <w:b/>
                <w:color w:val="auto"/>
                <w:sz w:val="21"/>
                <w:szCs w:val="21"/>
              </w:rPr>
              <w:t>序号</w:t>
            </w:r>
          </w:p>
        </w:tc>
        <w:tc>
          <w:tcPr>
            <w:tcW w:w="1276" w:type="dxa"/>
            <w:vAlign w:val="center"/>
          </w:tcPr>
          <w:p>
            <w:pPr>
              <w:adjustRightInd w:val="0"/>
              <w:snapToGrid w:val="0"/>
              <w:ind w:firstLine="28"/>
              <w:jc w:val="center"/>
              <w:rPr>
                <w:rFonts w:ascii="宋体" w:hAnsi="宋体" w:cs="宋体"/>
                <w:b/>
                <w:color w:val="auto"/>
                <w:sz w:val="21"/>
                <w:szCs w:val="21"/>
              </w:rPr>
            </w:pPr>
            <w:r>
              <w:rPr>
                <w:rFonts w:hint="eastAsia" w:ascii="宋体" w:hAnsi="宋体" w:cs="宋体"/>
                <w:b/>
                <w:color w:val="auto"/>
                <w:sz w:val="21"/>
                <w:szCs w:val="21"/>
              </w:rPr>
              <w:t>评分因素及权值</w:t>
            </w:r>
          </w:p>
        </w:tc>
        <w:tc>
          <w:tcPr>
            <w:tcW w:w="709" w:type="dxa"/>
            <w:vAlign w:val="center"/>
          </w:tcPr>
          <w:p>
            <w:pPr>
              <w:adjustRightInd w:val="0"/>
              <w:snapToGrid w:val="0"/>
              <w:ind w:firstLine="28"/>
              <w:jc w:val="center"/>
              <w:rPr>
                <w:rFonts w:ascii="宋体" w:hAnsi="宋体" w:cs="宋体"/>
                <w:b/>
                <w:color w:val="auto"/>
                <w:sz w:val="21"/>
                <w:szCs w:val="21"/>
              </w:rPr>
            </w:pPr>
            <w:r>
              <w:rPr>
                <w:rFonts w:hint="eastAsia" w:ascii="宋体" w:hAnsi="宋体" w:cs="宋体"/>
                <w:b/>
                <w:color w:val="auto"/>
                <w:sz w:val="21"/>
                <w:szCs w:val="21"/>
              </w:rPr>
              <w:t>分值</w:t>
            </w:r>
          </w:p>
        </w:tc>
        <w:tc>
          <w:tcPr>
            <w:tcW w:w="4961" w:type="dxa"/>
            <w:gridSpan w:val="2"/>
            <w:vAlign w:val="center"/>
          </w:tcPr>
          <w:p>
            <w:pPr>
              <w:adjustRightInd w:val="0"/>
              <w:snapToGrid w:val="0"/>
              <w:ind w:firstLine="28"/>
              <w:jc w:val="center"/>
              <w:rPr>
                <w:rFonts w:ascii="宋体" w:hAnsi="宋体" w:cs="宋体"/>
                <w:b/>
                <w:color w:val="auto"/>
                <w:sz w:val="21"/>
                <w:szCs w:val="21"/>
              </w:rPr>
            </w:pPr>
            <w:r>
              <w:rPr>
                <w:rFonts w:hint="eastAsia" w:ascii="宋体" w:hAnsi="宋体" w:cs="宋体"/>
                <w:b/>
                <w:color w:val="auto"/>
                <w:sz w:val="21"/>
                <w:szCs w:val="21"/>
              </w:rPr>
              <w:t>评分标准</w:t>
            </w:r>
          </w:p>
        </w:tc>
        <w:tc>
          <w:tcPr>
            <w:tcW w:w="2115" w:type="dxa"/>
            <w:vAlign w:val="center"/>
          </w:tcPr>
          <w:p>
            <w:pPr>
              <w:pStyle w:val="256"/>
              <w:adjustRightInd w:val="0"/>
              <w:snapToGrid w:val="0"/>
              <w:spacing w:before="0" w:after="0" w:line="240" w:lineRule="auto"/>
              <w:ind w:left="1540" w:hanging="420"/>
              <w:rPr>
                <w:rFonts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1</w:t>
            </w:r>
          </w:p>
        </w:tc>
        <w:tc>
          <w:tcPr>
            <w:tcW w:w="1276"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磋商报价</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（10%）</w:t>
            </w:r>
          </w:p>
        </w:tc>
        <w:tc>
          <w:tcPr>
            <w:tcW w:w="70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10</w:t>
            </w:r>
          </w:p>
        </w:tc>
        <w:tc>
          <w:tcPr>
            <w:tcW w:w="4961" w:type="dxa"/>
            <w:gridSpan w:val="2"/>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满足资格性、符合性要求且最后报价最低的供应商的价格为磋商基准价，其价格分为满分。其他供应商的价格分统一按照下列公式计算：磋商报价得分=（磋商基准价/最后磋商报价）×价格权值×100</w:t>
            </w:r>
          </w:p>
        </w:tc>
        <w:tc>
          <w:tcPr>
            <w:tcW w:w="2115"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对小型和微型企业的报价给予6%的扣除，用扣除后的价格参与评审（注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2</w:t>
            </w:r>
          </w:p>
        </w:tc>
        <w:tc>
          <w:tcPr>
            <w:tcW w:w="1276" w:type="dxa"/>
            <w:vMerge w:val="restart"/>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服务部分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（65%）</w:t>
            </w:r>
          </w:p>
        </w:tc>
        <w:tc>
          <w:tcPr>
            <w:tcW w:w="70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25</w:t>
            </w:r>
          </w:p>
        </w:tc>
        <w:tc>
          <w:tcPr>
            <w:tcW w:w="4961" w:type="dxa"/>
            <w:gridSpan w:val="2"/>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1.有效供应商的起评分为25分。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2.供应商所供服务参数不满足磋商文件一般性服务需求的（磋商文件第二篇中（※）号标注的部分除外），每负偏离一条从起评分中扣除4分，负偏离5条及以上的，起评分得0分。</w:t>
            </w:r>
          </w:p>
        </w:tc>
        <w:tc>
          <w:tcPr>
            <w:tcW w:w="2115" w:type="dxa"/>
            <w:vAlign w:val="center"/>
          </w:tcPr>
          <w:p>
            <w:pPr>
              <w:adjustRightInd w:val="0"/>
              <w:snapToGrid w:val="0"/>
              <w:jc w:val="left"/>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75" w:type="dxa"/>
            <w:vMerge w:val="continue"/>
            <w:vAlign w:val="center"/>
          </w:tcPr>
          <w:p>
            <w:pPr>
              <w:adjustRightInd w:val="0"/>
              <w:snapToGrid w:val="0"/>
              <w:jc w:val="left"/>
              <w:rPr>
                <w:rFonts w:ascii="宋体" w:hAnsi="宋体" w:cs="宋体"/>
                <w:color w:val="auto"/>
                <w:sz w:val="21"/>
                <w:szCs w:val="21"/>
              </w:rPr>
            </w:pPr>
          </w:p>
        </w:tc>
        <w:tc>
          <w:tcPr>
            <w:tcW w:w="1276" w:type="dxa"/>
            <w:vMerge w:val="continue"/>
            <w:vAlign w:val="center"/>
          </w:tcPr>
          <w:p>
            <w:pPr>
              <w:adjustRightInd w:val="0"/>
              <w:snapToGrid w:val="0"/>
              <w:jc w:val="left"/>
              <w:rPr>
                <w:rFonts w:ascii="宋体" w:hAnsi="宋体" w:cs="宋体"/>
                <w:color w:val="auto"/>
                <w:sz w:val="21"/>
                <w:szCs w:val="21"/>
              </w:rPr>
            </w:pPr>
          </w:p>
        </w:tc>
        <w:tc>
          <w:tcPr>
            <w:tcW w:w="70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40</w:t>
            </w:r>
          </w:p>
        </w:tc>
        <w:tc>
          <w:tcPr>
            <w:tcW w:w="4961" w:type="dxa"/>
            <w:gridSpan w:val="2"/>
            <w:vAlign w:val="center"/>
          </w:tcPr>
          <w:p>
            <w:pPr>
              <w:adjustRightInd w:val="0"/>
              <w:snapToGrid w:val="0"/>
              <w:jc w:val="left"/>
              <w:rPr>
                <w:rFonts w:ascii="宋体" w:hAnsi="宋体" w:cs="宋体"/>
                <w:b/>
                <w:bCs/>
                <w:color w:val="auto"/>
                <w:sz w:val="21"/>
                <w:szCs w:val="21"/>
              </w:rPr>
            </w:pPr>
            <w:r>
              <w:rPr>
                <w:rFonts w:hint="eastAsia" w:ascii="宋体" w:hAnsi="宋体" w:cs="宋体"/>
                <w:b/>
                <w:bCs/>
                <w:color w:val="auto"/>
                <w:sz w:val="21"/>
                <w:szCs w:val="21"/>
              </w:rPr>
              <w:t>1．一体化办公平台运维升级需求分析（20分）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1.1对一体化办公平台应用现状进行分析：</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分析表达清晰明确，合理性强，全面性强，得5分；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分析表达比较清晰明确，合理性较强，全面性较强，得3分；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分析表达不够清晰明确，合理性一般，全面性较强一般得1分；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分析表达不清晰不明确，合理性差，全面性差或未提供的得0分。</w:t>
            </w:r>
          </w:p>
          <w:p>
            <w:pPr>
              <w:pStyle w:val="2"/>
              <w:rPr>
                <w:rFonts w:ascii="宋体" w:hAnsi="宋体" w:cs="宋体"/>
                <w:color w:val="auto"/>
              </w:rPr>
            </w:pPr>
          </w:p>
          <w:p>
            <w:pPr>
              <w:adjustRightInd w:val="0"/>
              <w:snapToGrid w:val="0"/>
              <w:jc w:val="left"/>
              <w:rPr>
                <w:rFonts w:ascii="宋体" w:hAnsi="宋体" w:cs="宋体"/>
                <w:color w:val="auto"/>
                <w:sz w:val="21"/>
                <w:szCs w:val="21"/>
              </w:rPr>
            </w:pPr>
            <w:r>
              <w:rPr>
                <w:rFonts w:hint="eastAsia" w:ascii="宋体" w:hAnsi="宋体" w:cs="宋体"/>
                <w:color w:val="auto"/>
                <w:sz w:val="21"/>
                <w:szCs w:val="21"/>
              </w:rPr>
              <w:t>1.2对一体化办公平台功能模块进行分析：</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分析表达清晰明确，合理性强，全面性强，得8分；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分析表达较清晰明确，合理性较强，全面性较强，得6分；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分析表达不够清晰明确，合理性一般，全面性较强一般得3分；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分析表达不清晰不明确，合理性差，全面性差或未提供的得0分。</w:t>
            </w:r>
          </w:p>
          <w:p>
            <w:pPr>
              <w:pStyle w:val="2"/>
              <w:rPr>
                <w:rFonts w:ascii="宋体" w:hAnsi="宋体" w:cs="宋体"/>
                <w:color w:val="auto"/>
              </w:rPr>
            </w:pPr>
          </w:p>
          <w:p>
            <w:pPr>
              <w:adjustRightInd w:val="0"/>
              <w:snapToGrid w:val="0"/>
              <w:jc w:val="left"/>
              <w:rPr>
                <w:rFonts w:ascii="宋体" w:hAnsi="宋体" w:cs="宋体"/>
                <w:color w:val="auto"/>
                <w:sz w:val="21"/>
                <w:szCs w:val="21"/>
              </w:rPr>
            </w:pPr>
            <w:r>
              <w:rPr>
                <w:rFonts w:hint="eastAsia" w:ascii="宋体" w:hAnsi="宋体" w:cs="宋体"/>
                <w:color w:val="auto"/>
                <w:sz w:val="21"/>
                <w:szCs w:val="21"/>
              </w:rPr>
              <w:t>1.3对一体化办公平台采用的技术架构进行分析：</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分析表达清晰明确，准确性高，合理性强，得7分；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分析表达较为清晰明确，准确性较高，合理性较强，得4分；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分析表达不够清晰明确，准确性一般，合理性一般得1分；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分析表达不清晰不明确，准确性差，合理性差或未提供的得0分。</w:t>
            </w:r>
          </w:p>
          <w:p>
            <w:pPr>
              <w:pStyle w:val="2"/>
              <w:rPr>
                <w:rFonts w:ascii="宋体" w:hAnsi="宋体" w:cs="宋体"/>
                <w:color w:val="auto"/>
              </w:rPr>
            </w:pPr>
          </w:p>
          <w:p>
            <w:pPr>
              <w:adjustRightInd w:val="0"/>
              <w:snapToGrid w:val="0"/>
              <w:jc w:val="left"/>
              <w:rPr>
                <w:rFonts w:ascii="宋体" w:hAnsi="宋体" w:cs="宋体"/>
                <w:b/>
                <w:bCs/>
                <w:color w:val="auto"/>
                <w:sz w:val="21"/>
                <w:szCs w:val="21"/>
              </w:rPr>
            </w:pPr>
            <w:r>
              <w:rPr>
                <w:rFonts w:hint="eastAsia" w:ascii="宋体" w:hAnsi="宋体" w:cs="宋体"/>
                <w:b/>
                <w:bCs/>
                <w:color w:val="auto"/>
                <w:sz w:val="21"/>
                <w:szCs w:val="21"/>
              </w:rPr>
              <w:t>2．一体化办公平台运维升级任务分析（15分）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2.1对一体化办公平台的运维升级范围进行分析：</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分析表达清晰明确，准确性高，合理性强，得5分；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分析表达较为清晰明确，准确性较高，合理性较强，得3分；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分析表达不够清晰明确，准确性一般，合理性一般得1分；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分析表达不清晰不明确，准确性差，合理性差或未提供的得0分。</w:t>
            </w: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r>
              <w:rPr>
                <w:rFonts w:hint="eastAsia" w:ascii="宋体" w:hAnsi="宋体" w:cs="宋体"/>
                <w:color w:val="auto"/>
                <w:sz w:val="21"/>
                <w:szCs w:val="21"/>
              </w:rPr>
              <w:t>2.2对一体化办公平台的运维升级内容分析设计：</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分析表达清晰明确，准确性高，合理性强，得5分；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分析表达较为清晰明确，准确性较高，合理性较强，得3分；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分析表达不够清晰明确，准确性一般，合理性一般得1分；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分析表达不清晰不明确，准确性差，合理性差或未提供的得0分。</w:t>
            </w:r>
          </w:p>
          <w:p>
            <w:pPr>
              <w:pStyle w:val="2"/>
              <w:rPr>
                <w:rFonts w:ascii="宋体" w:hAnsi="宋体" w:cs="宋体"/>
                <w:color w:val="auto"/>
              </w:rPr>
            </w:pPr>
          </w:p>
          <w:p>
            <w:pPr>
              <w:adjustRightInd w:val="0"/>
              <w:snapToGrid w:val="0"/>
              <w:jc w:val="left"/>
              <w:rPr>
                <w:rFonts w:ascii="宋体" w:hAnsi="宋体" w:cs="宋体"/>
                <w:color w:val="auto"/>
                <w:sz w:val="21"/>
                <w:szCs w:val="21"/>
              </w:rPr>
            </w:pPr>
            <w:r>
              <w:rPr>
                <w:rFonts w:hint="eastAsia" w:ascii="宋体" w:hAnsi="宋体" w:cs="宋体"/>
                <w:color w:val="auto"/>
                <w:sz w:val="21"/>
                <w:szCs w:val="21"/>
              </w:rPr>
              <w:t>2.3对一体化办公平台的运维升级方式进行分析：</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分析表达清晰明确，准确性高，合理性强，得5分；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分析表达较为清晰明确，准确性较高，合理性较强，得3分；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分析表达不够清晰明确，准确性一般，合理性一般得1分；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分析表达不清晰不明确，准确性差，合理性差或未提供的得0分。</w:t>
            </w:r>
          </w:p>
          <w:p>
            <w:pPr>
              <w:pStyle w:val="2"/>
              <w:rPr>
                <w:rFonts w:ascii="宋体" w:hAnsi="宋体" w:cs="宋体"/>
                <w:color w:val="auto"/>
              </w:rPr>
            </w:pPr>
          </w:p>
          <w:p>
            <w:pPr>
              <w:adjustRightInd w:val="0"/>
              <w:snapToGrid w:val="0"/>
              <w:jc w:val="left"/>
              <w:rPr>
                <w:rFonts w:ascii="宋体" w:hAnsi="宋体" w:cs="宋体"/>
                <w:b/>
                <w:bCs/>
                <w:color w:val="auto"/>
                <w:sz w:val="21"/>
                <w:szCs w:val="21"/>
              </w:rPr>
            </w:pPr>
            <w:r>
              <w:rPr>
                <w:rFonts w:hint="eastAsia" w:ascii="宋体" w:hAnsi="宋体" w:cs="宋体"/>
                <w:b/>
                <w:bCs/>
                <w:color w:val="auto"/>
                <w:sz w:val="21"/>
                <w:szCs w:val="21"/>
              </w:rPr>
              <w:t>3.运维服务项目阐述（5分）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对本项目的运维升级实施团队的人员配置、工作规范进行阐述。</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阐述表达清晰明确，准确性高，合理性强，得5分；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阐述表达较为清晰明确，准确性较高，合理性较强，得3分；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阐述表达不够清晰明确，准确性一般，合理性一般得1分；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阐述表达不清晰不明确，准确性差，合理性差或未提供的得0分。</w:t>
            </w:r>
          </w:p>
        </w:tc>
        <w:tc>
          <w:tcPr>
            <w:tcW w:w="2115" w:type="dxa"/>
            <w:vAlign w:val="center"/>
          </w:tcPr>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p>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供应商提供方案，格式自拟。</w:t>
            </w:r>
          </w:p>
          <w:p>
            <w:pPr>
              <w:adjustRightInd w:val="0"/>
              <w:snapToGrid w:val="0"/>
              <w:jc w:val="left"/>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gridSpan w:val="6"/>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供应商的应答应满足竞争性磋商文件“第三篇 项目商务要求”，有一条不满足的，商务部分得分为0分，不再进入商务部分的评审。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3</w:t>
            </w:r>
          </w:p>
        </w:tc>
        <w:tc>
          <w:tcPr>
            <w:tcW w:w="1276" w:type="dxa"/>
            <w:vMerge w:val="restart"/>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商务部分</w:t>
            </w:r>
          </w:p>
          <w:p>
            <w:pPr>
              <w:adjustRightInd w:val="0"/>
              <w:snapToGrid w:val="0"/>
              <w:jc w:val="left"/>
              <w:rPr>
                <w:rFonts w:ascii="宋体" w:hAnsi="宋体" w:cs="宋体"/>
                <w:color w:val="auto"/>
                <w:sz w:val="21"/>
                <w:szCs w:val="21"/>
              </w:rPr>
            </w:pPr>
            <w:r>
              <w:rPr>
                <w:rFonts w:hint="eastAsia" w:ascii="宋体" w:hAnsi="宋体" w:cs="宋体"/>
                <w:color w:val="auto"/>
                <w:sz w:val="21"/>
                <w:szCs w:val="21"/>
              </w:rPr>
              <w:t>（25%）</w:t>
            </w:r>
          </w:p>
        </w:tc>
        <w:tc>
          <w:tcPr>
            <w:tcW w:w="709" w:type="dxa"/>
            <w:vMerge w:val="restart"/>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供应商实力  9分</w:t>
            </w:r>
          </w:p>
        </w:tc>
        <w:tc>
          <w:tcPr>
            <w:tcW w:w="481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1.供应商具备ITSS信息技术服务运行维护标准符合性证书，一级得3分，二级得2分，三级得1分，未提供或不具备得0分。</w:t>
            </w:r>
          </w:p>
        </w:tc>
        <w:tc>
          <w:tcPr>
            <w:tcW w:w="2257" w:type="dxa"/>
            <w:gridSpan w:val="2"/>
            <w:vMerge w:val="restart"/>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供应商须在响应文件中提供相应证书复印件并加盖供应商公章。（证书获得单位与供应商名称一致，否则不记分）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675" w:type="dxa"/>
            <w:vMerge w:val="continue"/>
            <w:vAlign w:val="center"/>
          </w:tcPr>
          <w:p>
            <w:pPr>
              <w:adjustRightInd w:val="0"/>
              <w:snapToGrid w:val="0"/>
              <w:jc w:val="left"/>
              <w:rPr>
                <w:rFonts w:ascii="宋体" w:hAnsi="宋体" w:cs="宋体"/>
                <w:color w:val="auto"/>
                <w:sz w:val="21"/>
                <w:szCs w:val="21"/>
              </w:rPr>
            </w:pPr>
          </w:p>
        </w:tc>
        <w:tc>
          <w:tcPr>
            <w:tcW w:w="1276" w:type="dxa"/>
            <w:vMerge w:val="continue"/>
            <w:vAlign w:val="center"/>
          </w:tcPr>
          <w:p>
            <w:pPr>
              <w:adjustRightInd w:val="0"/>
              <w:snapToGrid w:val="0"/>
              <w:jc w:val="left"/>
              <w:rPr>
                <w:rFonts w:ascii="宋体" w:hAnsi="宋体" w:cs="宋体"/>
                <w:color w:val="auto"/>
                <w:sz w:val="21"/>
                <w:szCs w:val="21"/>
              </w:rPr>
            </w:pPr>
          </w:p>
        </w:tc>
        <w:tc>
          <w:tcPr>
            <w:tcW w:w="709" w:type="dxa"/>
            <w:vMerge w:val="continue"/>
            <w:vAlign w:val="center"/>
          </w:tcPr>
          <w:p>
            <w:pPr>
              <w:adjustRightInd w:val="0"/>
              <w:snapToGrid w:val="0"/>
              <w:jc w:val="left"/>
              <w:rPr>
                <w:rFonts w:ascii="宋体" w:hAnsi="宋体" w:cs="宋体"/>
                <w:color w:val="auto"/>
                <w:sz w:val="21"/>
                <w:szCs w:val="21"/>
              </w:rPr>
            </w:pPr>
          </w:p>
        </w:tc>
        <w:tc>
          <w:tcPr>
            <w:tcW w:w="481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2.供应商具有软件企业认定证书的得3分，未提供或不具备得0分。</w:t>
            </w:r>
          </w:p>
        </w:tc>
        <w:tc>
          <w:tcPr>
            <w:tcW w:w="2257" w:type="dxa"/>
            <w:gridSpan w:val="2"/>
            <w:vMerge w:val="continue"/>
            <w:vAlign w:val="center"/>
          </w:tcPr>
          <w:p>
            <w:pPr>
              <w:adjustRightInd w:val="0"/>
              <w:snapToGrid w:val="0"/>
              <w:jc w:val="left"/>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75" w:type="dxa"/>
            <w:vMerge w:val="continue"/>
            <w:vAlign w:val="center"/>
          </w:tcPr>
          <w:p>
            <w:pPr>
              <w:adjustRightInd w:val="0"/>
              <w:snapToGrid w:val="0"/>
              <w:jc w:val="left"/>
              <w:rPr>
                <w:rFonts w:ascii="宋体" w:hAnsi="宋体" w:cs="宋体"/>
                <w:color w:val="auto"/>
                <w:sz w:val="21"/>
                <w:szCs w:val="21"/>
              </w:rPr>
            </w:pPr>
          </w:p>
        </w:tc>
        <w:tc>
          <w:tcPr>
            <w:tcW w:w="1276" w:type="dxa"/>
            <w:vMerge w:val="continue"/>
            <w:vAlign w:val="center"/>
          </w:tcPr>
          <w:p>
            <w:pPr>
              <w:adjustRightInd w:val="0"/>
              <w:snapToGrid w:val="0"/>
              <w:jc w:val="left"/>
              <w:rPr>
                <w:rFonts w:ascii="宋体" w:hAnsi="宋体" w:cs="宋体"/>
                <w:color w:val="auto"/>
                <w:sz w:val="21"/>
                <w:szCs w:val="21"/>
              </w:rPr>
            </w:pPr>
          </w:p>
        </w:tc>
        <w:tc>
          <w:tcPr>
            <w:tcW w:w="709" w:type="dxa"/>
            <w:vMerge w:val="continue"/>
            <w:vAlign w:val="center"/>
          </w:tcPr>
          <w:p>
            <w:pPr>
              <w:adjustRightInd w:val="0"/>
              <w:snapToGrid w:val="0"/>
              <w:jc w:val="left"/>
              <w:rPr>
                <w:rFonts w:ascii="宋体" w:hAnsi="宋体" w:cs="宋体"/>
                <w:color w:val="auto"/>
                <w:sz w:val="21"/>
                <w:szCs w:val="21"/>
              </w:rPr>
            </w:pPr>
          </w:p>
        </w:tc>
        <w:tc>
          <w:tcPr>
            <w:tcW w:w="481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3.供应商具有认证机构颁发的ISO9001质量管理体系证书、ISO20000信息技术服务管理体系证书、ISO27001信息安全管理体系证书、ISO14001环境管理体系认证证书的，每提供一个证书得1分，最多得3分。</w:t>
            </w:r>
          </w:p>
        </w:tc>
        <w:tc>
          <w:tcPr>
            <w:tcW w:w="2257" w:type="dxa"/>
            <w:gridSpan w:val="2"/>
            <w:vMerge w:val="continue"/>
            <w:vAlign w:val="center"/>
          </w:tcPr>
          <w:p>
            <w:pPr>
              <w:adjustRightInd w:val="0"/>
              <w:snapToGrid w:val="0"/>
              <w:jc w:val="left"/>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675" w:type="dxa"/>
            <w:vMerge w:val="continue"/>
            <w:vAlign w:val="center"/>
          </w:tcPr>
          <w:p>
            <w:pPr>
              <w:adjustRightInd w:val="0"/>
              <w:snapToGrid w:val="0"/>
              <w:jc w:val="left"/>
              <w:rPr>
                <w:rFonts w:ascii="宋体" w:hAnsi="宋体" w:cs="宋体"/>
                <w:color w:val="auto"/>
                <w:sz w:val="21"/>
                <w:szCs w:val="21"/>
              </w:rPr>
            </w:pPr>
          </w:p>
        </w:tc>
        <w:tc>
          <w:tcPr>
            <w:tcW w:w="1276" w:type="dxa"/>
            <w:vMerge w:val="continue"/>
            <w:vAlign w:val="center"/>
          </w:tcPr>
          <w:p>
            <w:pPr>
              <w:adjustRightInd w:val="0"/>
              <w:snapToGrid w:val="0"/>
              <w:jc w:val="left"/>
              <w:rPr>
                <w:rFonts w:ascii="宋体" w:hAnsi="宋体" w:cs="宋体"/>
                <w:color w:val="auto"/>
                <w:sz w:val="21"/>
                <w:szCs w:val="21"/>
              </w:rPr>
            </w:pPr>
          </w:p>
        </w:tc>
        <w:tc>
          <w:tcPr>
            <w:tcW w:w="70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供应商服务能力   4分</w:t>
            </w:r>
          </w:p>
        </w:tc>
        <w:tc>
          <w:tcPr>
            <w:tcW w:w="4819" w:type="dxa"/>
            <w:vAlign w:val="center"/>
          </w:tcPr>
          <w:p>
            <w:pPr>
              <w:adjustRightInd w:val="0"/>
              <w:snapToGrid w:val="0"/>
              <w:rPr>
                <w:rFonts w:ascii="宋体" w:hAnsi="宋体" w:cs="宋体"/>
                <w:color w:val="auto"/>
                <w:sz w:val="21"/>
                <w:szCs w:val="21"/>
              </w:rPr>
            </w:pPr>
            <w:r>
              <w:rPr>
                <w:rFonts w:hint="eastAsia" w:ascii="宋体" w:hAnsi="宋体" w:cs="宋体"/>
                <w:color w:val="auto"/>
                <w:sz w:val="21"/>
                <w:szCs w:val="21"/>
              </w:rPr>
              <w:t>4.为保证本项目售后服务质量，供应商注册地在重庆或重庆本地有售后服务机构或在重庆本地有授权服务机构的，得2分，否则得0分。（提供运营场所的证明文件复印件）</w:t>
            </w:r>
          </w:p>
          <w:p>
            <w:pPr>
              <w:adjustRightInd w:val="0"/>
              <w:snapToGrid w:val="0"/>
              <w:rPr>
                <w:rFonts w:ascii="宋体" w:hAnsi="宋体" w:cs="宋体"/>
                <w:color w:val="auto"/>
                <w:sz w:val="21"/>
                <w:szCs w:val="21"/>
              </w:rPr>
            </w:pPr>
            <w:r>
              <w:rPr>
                <w:rFonts w:hint="eastAsia" w:ascii="宋体" w:hAnsi="宋体" w:cs="宋体"/>
                <w:color w:val="auto"/>
                <w:sz w:val="21"/>
                <w:szCs w:val="21"/>
              </w:rPr>
              <w:t>5.供应商提供本项目技术服务团队设置方案及应急处理方案：人员配置及组织结构科学合理，应急处理方案可行性强，符合项目特点的得2分；人员配置及组织结构和应急处理方案基本符合项目要求的得1分；人员配置及组织结构和应急处理方案不符合项目实际情况或未提供方案的得0分。（响应文件中提供方案）</w:t>
            </w:r>
          </w:p>
        </w:tc>
        <w:tc>
          <w:tcPr>
            <w:tcW w:w="2257" w:type="dxa"/>
            <w:gridSpan w:val="2"/>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供应商注册地在重庆或在重庆设立售后服务机构的，须提供在渝工商注册证明复印件；供应商授权本地服务机构的，须提供授权书复印件或服务协议复印件。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675" w:type="dxa"/>
            <w:vMerge w:val="continue"/>
            <w:vAlign w:val="center"/>
          </w:tcPr>
          <w:p>
            <w:pPr>
              <w:adjustRightInd w:val="0"/>
              <w:snapToGrid w:val="0"/>
              <w:jc w:val="left"/>
              <w:rPr>
                <w:rFonts w:ascii="宋体" w:hAnsi="宋体" w:cs="宋体"/>
                <w:color w:val="auto"/>
                <w:sz w:val="21"/>
                <w:szCs w:val="21"/>
              </w:rPr>
            </w:pPr>
          </w:p>
        </w:tc>
        <w:tc>
          <w:tcPr>
            <w:tcW w:w="1276" w:type="dxa"/>
            <w:vMerge w:val="continue"/>
            <w:vAlign w:val="center"/>
          </w:tcPr>
          <w:p>
            <w:pPr>
              <w:adjustRightInd w:val="0"/>
              <w:snapToGrid w:val="0"/>
              <w:jc w:val="left"/>
              <w:rPr>
                <w:rFonts w:ascii="宋体" w:hAnsi="宋体" w:cs="宋体"/>
                <w:color w:val="auto"/>
                <w:sz w:val="21"/>
                <w:szCs w:val="21"/>
              </w:rPr>
            </w:pPr>
          </w:p>
        </w:tc>
        <w:tc>
          <w:tcPr>
            <w:tcW w:w="70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人员资质6分</w:t>
            </w:r>
          </w:p>
        </w:tc>
        <w:tc>
          <w:tcPr>
            <w:tcW w:w="4819" w:type="dxa"/>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6.供应商为本项目配备的项目经理需具有信息系统项目管理师高级证书的得</w:t>
            </w:r>
            <w:r>
              <w:rPr>
                <w:rFonts w:ascii="宋体" w:hAnsi="宋体" w:cs="宋体"/>
                <w:color w:val="auto"/>
                <w:sz w:val="21"/>
                <w:szCs w:val="21"/>
              </w:rPr>
              <w:t>3</w:t>
            </w:r>
            <w:r>
              <w:rPr>
                <w:rFonts w:hint="eastAsia" w:ascii="宋体" w:hAnsi="宋体" w:cs="宋体"/>
                <w:color w:val="auto"/>
                <w:sz w:val="21"/>
                <w:szCs w:val="21"/>
              </w:rPr>
              <w:t>分，没有或者未提供得0分。</w:t>
            </w:r>
          </w:p>
          <w:p>
            <w:pPr>
              <w:adjustRightInd w:val="0"/>
              <w:snapToGrid w:val="0"/>
              <w:jc w:val="left"/>
              <w:rPr>
                <w:rFonts w:hint="eastAsia" w:ascii="宋体" w:hAnsi="宋体" w:cs="宋体"/>
                <w:color w:val="auto"/>
                <w:sz w:val="21"/>
                <w:szCs w:val="21"/>
              </w:rPr>
            </w:pPr>
            <w:r>
              <w:rPr>
                <w:rFonts w:hint="eastAsia" w:ascii="宋体" w:hAnsi="宋体" w:cs="宋体"/>
                <w:color w:val="auto"/>
                <w:sz w:val="21"/>
                <w:szCs w:val="21"/>
              </w:rPr>
              <w:t>7.供应商提供的运维人员具有（ITSS）IT服务项目经理证书的得</w:t>
            </w:r>
            <w:r>
              <w:rPr>
                <w:rFonts w:ascii="宋体" w:hAnsi="宋体" w:cs="宋体"/>
                <w:color w:val="auto"/>
                <w:sz w:val="21"/>
                <w:szCs w:val="21"/>
              </w:rPr>
              <w:t>3</w:t>
            </w:r>
            <w:r>
              <w:rPr>
                <w:rFonts w:hint="eastAsia" w:ascii="宋体" w:hAnsi="宋体" w:cs="宋体"/>
                <w:color w:val="auto"/>
                <w:sz w:val="21"/>
                <w:szCs w:val="21"/>
              </w:rPr>
              <w:t>分，否则得0分。</w:t>
            </w:r>
          </w:p>
        </w:tc>
        <w:tc>
          <w:tcPr>
            <w:tcW w:w="2257" w:type="dxa"/>
            <w:gridSpan w:val="2"/>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供应商提供证书复印件及其为持证人员2022年2月起至今以来任意一个月缴纳社保的证明材料复印件，并加盖供应商公章。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Borders>
              <w:bottom w:val="single" w:color="auto" w:sz="4" w:space="0"/>
            </w:tcBorders>
            <w:vAlign w:val="center"/>
          </w:tcPr>
          <w:p>
            <w:pPr>
              <w:adjustRightInd w:val="0"/>
              <w:snapToGrid w:val="0"/>
              <w:jc w:val="left"/>
              <w:rPr>
                <w:rFonts w:ascii="宋体" w:hAnsi="宋体" w:cs="宋体"/>
                <w:color w:val="auto"/>
                <w:sz w:val="21"/>
                <w:szCs w:val="21"/>
              </w:rPr>
            </w:pPr>
          </w:p>
        </w:tc>
        <w:tc>
          <w:tcPr>
            <w:tcW w:w="1276" w:type="dxa"/>
            <w:vMerge w:val="continue"/>
            <w:tcBorders>
              <w:bottom w:val="single" w:color="auto" w:sz="4" w:space="0"/>
            </w:tcBorders>
            <w:vAlign w:val="center"/>
          </w:tcPr>
          <w:p>
            <w:pPr>
              <w:adjustRightInd w:val="0"/>
              <w:snapToGrid w:val="0"/>
              <w:jc w:val="left"/>
              <w:rPr>
                <w:rFonts w:ascii="宋体" w:hAnsi="宋体" w:cs="宋体"/>
                <w:color w:val="auto"/>
                <w:sz w:val="21"/>
                <w:szCs w:val="21"/>
              </w:rPr>
            </w:pPr>
          </w:p>
        </w:tc>
        <w:tc>
          <w:tcPr>
            <w:tcW w:w="709" w:type="dxa"/>
            <w:tcBorders>
              <w:top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业绩6分</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 w:val="21"/>
                <w:szCs w:val="21"/>
              </w:rPr>
            </w:pPr>
            <w:r>
              <w:rPr>
                <w:rFonts w:ascii="宋体" w:hAnsi="宋体" w:cs="宋体"/>
                <w:color w:val="auto"/>
                <w:sz w:val="21"/>
                <w:szCs w:val="21"/>
              </w:rPr>
              <w:t>8</w:t>
            </w:r>
            <w:r>
              <w:rPr>
                <w:rFonts w:hint="eastAsia" w:ascii="宋体" w:hAnsi="宋体" w:cs="宋体"/>
                <w:color w:val="auto"/>
                <w:sz w:val="21"/>
                <w:szCs w:val="21"/>
              </w:rPr>
              <w:t>.自2019年6月1日至今供应商具有政府部门（含行政机关、事业单位）办公信息系统软件运维项目案例的，每有一个得2分，最高得6分。</w:t>
            </w:r>
          </w:p>
        </w:tc>
        <w:tc>
          <w:tcPr>
            <w:tcW w:w="22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 w:val="21"/>
                <w:szCs w:val="21"/>
              </w:rPr>
            </w:pPr>
            <w:r>
              <w:rPr>
                <w:rFonts w:hint="eastAsia" w:ascii="宋体" w:hAnsi="宋体" w:cs="宋体"/>
                <w:color w:val="auto"/>
                <w:sz w:val="21"/>
                <w:szCs w:val="21"/>
              </w:rPr>
              <w:t>供应商提供合同复印件并加盖供应商公章。</w:t>
            </w:r>
          </w:p>
        </w:tc>
      </w:tr>
    </w:tbl>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r>
        <w:rPr>
          <w:rFonts w:hint="eastAsia" w:ascii="宋体" w:hAnsi="宋体" w:cs="宋体"/>
          <w:color w:val="000000" w:themeColor="text1"/>
          <w:kern w:val="0"/>
          <w:sz w:val="24"/>
          <w:szCs w:val="24"/>
          <w14:textFill>
            <w14:solidFill>
              <w14:schemeClr w14:val="tx1"/>
            </w14:solidFill>
          </w14:textFill>
        </w:rPr>
        <w:fldChar w:fldCharType="begin"/>
      </w:r>
      <w:r>
        <w:rPr>
          <w:rFonts w:hint="eastAsia" w:ascii="宋体" w:hAnsi="宋体" w:cs="宋体"/>
          <w:color w:val="000000" w:themeColor="text1"/>
          <w:kern w:val="0"/>
          <w:sz w:val="24"/>
          <w:szCs w:val="24"/>
          <w14:textFill>
            <w14:solidFill>
              <w14:schemeClr w14:val="tx1"/>
            </w14:solidFill>
          </w14:textFill>
        </w:rPr>
        <w:instrText xml:space="preserve"> eq \o\ac(○,</w:instrText>
      </w:r>
      <w:r>
        <w:rPr>
          <w:rFonts w:hint="eastAsia" w:ascii="宋体" w:hAnsi="宋体" w:cs="宋体"/>
          <w:color w:val="000000" w:themeColor="text1"/>
          <w:kern w:val="0"/>
          <w:position w:val="3"/>
          <w:sz w:val="16"/>
          <w:szCs w:val="24"/>
          <w14:textFill>
            <w14:solidFill>
              <w14:schemeClr w14:val="tx1"/>
            </w14:solidFill>
          </w14:textFill>
        </w:rPr>
        <w:instrText xml:space="preserve">2</w:instrText>
      </w:r>
      <w:r>
        <w:rPr>
          <w:rFonts w:hint="eastAsia" w:ascii="宋体" w:hAnsi="宋体" w:cs="宋体"/>
          <w:color w:val="000000" w:themeColor="text1"/>
          <w:kern w:val="0"/>
          <w:sz w:val="24"/>
          <w:szCs w:val="24"/>
          <w14:textFill>
            <w14:solidFill>
              <w14:schemeClr w14:val="tx1"/>
            </w14:solidFill>
          </w14:textFill>
        </w:rPr>
        <w:instrText xml:space="preserve">)</w:instrText>
      </w:r>
      <w:r>
        <w:rPr>
          <w:rFonts w:hint="eastAsia"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：关于小微企业报价扣除比例说明</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1.对小微企业给予</w:t>
      </w:r>
      <w:r>
        <w:rPr>
          <w:rFonts w:hint="eastAsia" w:ascii="宋体" w:hAnsi="宋体" w:cs="宋体"/>
          <w:color w:val="000000" w:themeColor="text1"/>
          <w:sz w:val="24"/>
          <w:szCs w:val="24"/>
          <w:u w:val="single"/>
          <w14:textFill>
            <w14:solidFill>
              <w14:schemeClr w14:val="tx1"/>
            </w14:solidFill>
          </w14:textFill>
        </w:rPr>
        <w:t xml:space="preserve"> 6 </w:t>
      </w:r>
      <w:r>
        <w:rPr>
          <w:rFonts w:hint="eastAsia" w:ascii="宋体" w:hAnsi="宋体" w:cs="宋体"/>
          <w:color w:val="000000" w:themeColor="text1"/>
          <w:sz w:val="24"/>
          <w:szCs w:val="24"/>
          <w14:textFill>
            <w14:solidFill>
              <w14:schemeClr w14:val="tx1"/>
            </w14:solidFill>
          </w14:textFill>
        </w:rPr>
        <w:t>%的扣除，以扣除后的报价参与评审。</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2.监狱企业、残疾人福利性单位视同小型、微型企业。 </w:t>
      </w:r>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75" w:name="_Toc31263"/>
      <w:r>
        <w:rPr>
          <w:rFonts w:hint="eastAsia" w:ascii="宋体" w:hAnsi="宋体" w:cs="宋体"/>
          <w:color w:val="000000" w:themeColor="text1"/>
          <w:sz w:val="24"/>
          <w:szCs w:val="24"/>
          <w14:textFill>
            <w14:solidFill>
              <w14:schemeClr w14:val="tx1"/>
            </w14:solidFill>
          </w14:textFill>
        </w:rPr>
        <w:t>三、无效响应</w:t>
      </w:r>
      <w:bookmarkEnd w:id="75"/>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供应商发生以下条款情况之一者，视为无效响应，其响应文件将被拒绝：</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（一）供应商不符合规定的资格条件的；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（二）供应商的法定代表人（或其授权代表）或自然人未参加磋商；</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（三）供应商未按照竞争性磋商文件的要求缴纳磋商保证金；</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（四）供应商所提交的响应文件不按第七篇“响应文件编制要求”要求签署或盖章；</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（五）供应商的报价超过采购预算或者最高限价的；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（六）法定代表人为同一个人的两个及两个以上法人，母公司、全资子公司及其控股公司，在同一分包采购中同时参与磋商；</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（七）单位负责人为同一人或者存在直接控股、管理关系的不同供应商，参加同一合同项下的政府采购活动的；</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（八）为采购项目提供整体设计、规范编制或者项目管理、监理、检测等服务的供应商，再参加该采购项目的其他采购活动；</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（九）供应商的服务期、质量保证期及磋商有效期不满足竞争性磋商文件要求的；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（十）供应商响应文件内容有与国家现行法律法规相违背的内容，或附有采购人无法接受的条件。</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（十一）供应商联合体形式参与磋商的；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（十二）供应商被列入失信被执行人、重大税收违法案件当事人名单、政府采购严重违法失信行为记录名单及其他不符合《中华人民共和国政府采购法》第二十二条规定条件的。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应当拒绝其参与政府采购活动。</w:t>
      </w:r>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76" w:name="_Toc563"/>
      <w:r>
        <w:rPr>
          <w:rFonts w:hint="eastAsia" w:ascii="宋体" w:hAnsi="宋体" w:cs="宋体"/>
          <w:color w:val="000000" w:themeColor="text1"/>
          <w:sz w:val="24"/>
          <w:szCs w:val="24"/>
          <w14:textFill>
            <w14:solidFill>
              <w14:schemeClr w14:val="tx1"/>
            </w14:solidFill>
          </w14:textFill>
        </w:rPr>
        <w:t>四、</w:t>
      </w:r>
      <w:bookmarkEnd w:id="72"/>
      <w:bookmarkEnd w:id="73"/>
      <w:r>
        <w:rPr>
          <w:rFonts w:hint="eastAsia" w:ascii="宋体" w:hAnsi="宋体" w:cs="宋体"/>
          <w:color w:val="000000" w:themeColor="text1"/>
          <w:sz w:val="24"/>
          <w:szCs w:val="24"/>
          <w14:textFill>
            <w14:solidFill>
              <w14:schemeClr w14:val="tx1"/>
            </w14:solidFill>
          </w14:textFill>
        </w:rPr>
        <w:t>采购终止</w:t>
      </w:r>
      <w:bookmarkEnd w:id="76"/>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出现下列情形之一的，采购人或者采购代理机构应当终止竞争性磋商采购活动，发布项目终止公告并说明原因，重新开展采购活动：</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（一）因情况变化，不再符合规定的竞争性磋商采购方式适用情形的；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（二）出现影响采购公正的违法、违规行为的；</w:t>
      </w:r>
    </w:p>
    <w:p>
      <w:pPr>
        <w:snapToGrid w:val="0"/>
        <w:spacing w:line="400" w:lineRule="exact"/>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在采购过程中符合要求的供应商或者报价未超过采购预算的供应商不足3家的，但《政府采购竞争性磋商采购方式管理暂行办法》第二十一条第三款规定的情形,以及财政部财库[2015]124号文件规定的情形除外。</w:t>
      </w:r>
    </w:p>
    <w:p>
      <w:pPr>
        <w:spacing w:line="360" w:lineRule="auto"/>
        <w:ind w:firstLine="480" w:firstLineChars="200"/>
        <w:rPr>
          <w:rFonts w:ascii="宋体" w:hAnsi="宋体" w:cs="宋体"/>
          <w:color w:val="000000" w:themeColor="text1"/>
          <w:sz w:val="24"/>
          <w:szCs w:val="24"/>
          <w14:textFill>
            <w14:solidFill>
              <w14:schemeClr w14:val="tx1"/>
            </w14:solidFill>
          </w14:textFill>
        </w:rPr>
        <w:sectPr>
          <w:footerReference r:id="rId9" w:type="default"/>
          <w:footerReference r:id="rId10" w:type="even"/>
          <w:pgSz w:w="11907" w:h="16840"/>
          <w:pgMar w:top="1134" w:right="1191" w:bottom="1134" w:left="1304" w:header="964" w:footer="992" w:gutter="0"/>
          <w:pgNumType w:fmt="numberInDash"/>
          <w:cols w:space="720" w:num="1"/>
          <w:rtlGutter w:val="1"/>
          <w:docGrid w:linePitch="312" w:charSpace="0"/>
        </w:sectPr>
      </w:pPr>
    </w:p>
    <w:p>
      <w:pPr>
        <w:pStyle w:val="4"/>
        <w:spacing w:line="360" w:lineRule="auto"/>
        <w:ind w:firstLine="2891" w:firstLineChars="800"/>
        <w:rPr>
          <w:rFonts w:ascii="宋体" w:hAnsi="宋体" w:eastAsia="宋体" w:cs="宋体"/>
          <w:bCs/>
          <w:color w:val="000000" w:themeColor="text1"/>
          <w:szCs w:val="30"/>
          <w14:textFill>
            <w14:solidFill>
              <w14:schemeClr w14:val="tx1"/>
            </w14:solidFill>
          </w14:textFill>
        </w:rPr>
      </w:pPr>
      <w:bookmarkStart w:id="77" w:name="_Toc27024"/>
      <w:bookmarkStart w:id="78" w:name="_Toc102227313"/>
      <w:r>
        <w:rPr>
          <w:rFonts w:hint="eastAsia" w:ascii="宋体" w:hAnsi="宋体" w:eastAsia="宋体" w:cs="宋体"/>
          <w:bCs/>
          <w:color w:val="000000" w:themeColor="text1"/>
          <w:sz w:val="36"/>
          <w:szCs w:val="30"/>
          <w14:textFill>
            <w14:solidFill>
              <w14:schemeClr w14:val="tx1"/>
            </w14:solidFill>
          </w14:textFill>
        </w:rPr>
        <w:t>第五篇  供应商须知</w:t>
      </w:r>
      <w:bookmarkEnd w:id="77"/>
      <w:bookmarkEnd w:id="78"/>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79" w:name="_Toc21401"/>
      <w:bookmarkStart w:id="80" w:name="_Toc342913389"/>
      <w:r>
        <w:rPr>
          <w:rFonts w:hint="eastAsia" w:ascii="宋体" w:hAnsi="宋体" w:cs="宋体"/>
          <w:color w:val="000000" w:themeColor="text1"/>
          <w:sz w:val="24"/>
          <w:szCs w:val="24"/>
          <w14:textFill>
            <w14:solidFill>
              <w14:schemeClr w14:val="tx1"/>
            </w14:solidFill>
          </w14:textFill>
        </w:rPr>
        <w:t>一、磋商费用</w:t>
      </w:r>
      <w:bookmarkEnd w:id="79"/>
      <w:bookmarkEnd w:id="80"/>
    </w:p>
    <w:p>
      <w:pPr>
        <w:pStyle w:val="209"/>
        <w:spacing w:line="4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参与磋商的供应商应承担其编制响应文件与递交响应文件所涉及的一切费用，不论磋商结果如何，采购人和采购代理机构在任何情况下无义务也无责任承担这些费用。</w:t>
      </w:r>
    </w:p>
    <w:p>
      <w:pPr>
        <w:pStyle w:val="5"/>
        <w:tabs>
          <w:tab w:val="left" w:pos="2640"/>
        </w:tabs>
        <w:spacing w:before="0" w:after="0" w:line="400" w:lineRule="exact"/>
        <w:rPr>
          <w:rFonts w:ascii="宋体" w:hAnsi="宋体" w:cs="宋体"/>
          <w:color w:val="000000" w:themeColor="text1"/>
          <w:sz w:val="24"/>
          <w:szCs w:val="24"/>
          <w14:textFill>
            <w14:solidFill>
              <w14:schemeClr w14:val="tx1"/>
            </w14:solidFill>
          </w14:textFill>
        </w:rPr>
      </w:pPr>
      <w:bookmarkStart w:id="81" w:name="_Toc342913391"/>
      <w:bookmarkStart w:id="82" w:name="_Toc6224"/>
      <w:r>
        <w:rPr>
          <w:rFonts w:hint="eastAsia" w:ascii="宋体" w:hAnsi="宋体" w:cs="宋体"/>
          <w:color w:val="000000" w:themeColor="text1"/>
          <w:sz w:val="24"/>
          <w:szCs w:val="24"/>
          <w14:textFill>
            <w14:solidFill>
              <w14:schemeClr w14:val="tx1"/>
            </w14:solidFill>
          </w14:textFill>
        </w:rPr>
        <w:t>二、竞争性磋商文件</w:t>
      </w:r>
      <w:bookmarkEnd w:id="81"/>
      <w:bookmarkEnd w:id="82"/>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（一）竞争性磋商文件由采购邀请书、采购服务需求、采购商务需求、磋商程序及方法、评审标准、无效响应和采购终止、供应商须知、政府采购合同、响应文件编制要求七部分组成。</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（二）采购人（或采购代理机构）所作的一切有效的书面通知、修改及补充，都是竞争性磋商文件不可分割的部分。</w:t>
      </w:r>
    </w:p>
    <w:p>
      <w:pPr>
        <w:spacing w:line="400" w:lineRule="exact"/>
        <w:rPr>
          <w:rFonts w:ascii="宋体" w:hAnsi="宋体" w:cs="宋体"/>
          <w:color w:val="000000" w:themeColor="text1"/>
          <w:sz w:val="24"/>
          <w:szCs w:val="24"/>
          <w14:textFill>
            <w14:solidFill>
              <w14:schemeClr w14:val="tx1"/>
            </w14:solidFill>
          </w14:textFill>
        </w:rPr>
      </w:pPr>
      <w:bookmarkStart w:id="83" w:name="_Toc179714297"/>
      <w:bookmarkStart w:id="84" w:name="_Toc102227318"/>
      <w:bookmarkStart w:id="85" w:name="_Toc342913392"/>
      <w:r>
        <w:rPr>
          <w:rFonts w:hint="eastAsia" w:ascii="宋体" w:hAnsi="宋体" w:cs="宋体"/>
          <w:color w:val="000000" w:themeColor="text1"/>
          <w:sz w:val="24"/>
          <w:szCs w:val="24"/>
          <w14:textFill>
            <w14:solidFill>
              <w14:schemeClr w14:val="tx1"/>
            </w14:solidFill>
          </w14:textFill>
        </w:rPr>
        <w:t xml:space="preserve">    （三）竞争性磋商文件的解释</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pacing w:line="4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（四）本竞争性磋商文件中，磋商小组根据与供应商进行磋商可能实质性变动的内容为竞争性磋商文件第二、三、六篇全部内容。</w:t>
      </w:r>
    </w:p>
    <w:p>
      <w:pPr>
        <w:spacing w:line="4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（五）评审的依据为竞争性磋商文件和响应文件（含有效的书面承诺）。磋商小组判断响应文件对竞争性磋商文件的响应，仅基于响应文件本身而不靠外部证据。</w:t>
      </w:r>
    </w:p>
    <w:p>
      <w:pPr>
        <w:pStyle w:val="5"/>
        <w:spacing w:before="0" w:after="0" w:line="400" w:lineRule="exact"/>
        <w:rPr>
          <w:rFonts w:ascii="宋体" w:hAnsi="宋体" w:cs="宋体"/>
          <w:color w:val="000000" w:themeColor="text1"/>
          <w:sz w:val="24"/>
          <w:szCs w:val="24"/>
          <w14:textFill>
            <w14:solidFill>
              <w14:schemeClr w14:val="tx1"/>
            </w14:solidFill>
          </w14:textFill>
        </w:rPr>
      </w:pPr>
      <w:bookmarkStart w:id="86" w:name="_Toc22564"/>
      <w:r>
        <w:rPr>
          <w:rFonts w:hint="eastAsia" w:ascii="宋体" w:hAnsi="宋体" w:cs="宋体"/>
          <w:color w:val="000000" w:themeColor="text1"/>
          <w:sz w:val="24"/>
          <w:szCs w:val="24"/>
          <w14:textFill>
            <w14:solidFill>
              <w14:schemeClr w14:val="tx1"/>
            </w14:solidFill>
          </w14:textFill>
        </w:rPr>
        <w:t>三、磋商要求</w:t>
      </w:r>
      <w:bookmarkEnd w:id="83"/>
      <w:bookmarkEnd w:id="84"/>
      <w:bookmarkEnd w:id="85"/>
      <w:bookmarkEnd w:id="86"/>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（一）响应文件</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2、响应文件组成</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（二）磋商有效期：响应文件及有关承诺文件有效期为提交响应文件截止时间起90天。</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（三）修正错误</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1、若供应商所递交的响应文件或最后报价中的价格出现大写金额和小写金额不一致的错误，以大写金额修正为准。</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（四）提交响应文件的份数和签署</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1、响应文件一式四份，其中正本一份，副本二份；</w:t>
      </w:r>
      <w:r>
        <w:rPr>
          <w:rFonts w:hint="eastAsia" w:ascii="宋体" w:hAnsi="宋体" w:cs="宋体"/>
          <w:b/>
          <w:bCs/>
          <w:color w:val="000000" w:themeColor="text1"/>
          <w:sz w:val="24"/>
          <w:szCs w:val="24"/>
          <w14:textFill>
            <w14:solidFill>
              <w14:schemeClr w14:val="tx1"/>
            </w14:solidFill>
          </w14:textFill>
        </w:rPr>
        <w:t>电子文档一份（正本签字盖章扫描件）</w:t>
      </w:r>
      <w:r>
        <w:rPr>
          <w:rFonts w:hint="eastAsia" w:ascii="宋体" w:hAnsi="宋体" w:cs="宋体"/>
          <w:color w:val="000000" w:themeColor="text1"/>
          <w:sz w:val="24"/>
          <w:szCs w:val="24"/>
          <w14:textFill>
            <w14:solidFill>
              <w14:schemeClr w14:val="tx1"/>
            </w14:solidFill>
          </w14:textFill>
        </w:rPr>
        <w:t>（电子文档内容应与纸质文件正本一致，如不一致以纸质文件正本为准。</w:t>
      </w:r>
      <w:r>
        <w:rPr>
          <w:rFonts w:hint="eastAsia" w:ascii="宋体" w:hAnsi="宋体" w:cs="宋体"/>
          <w:b/>
          <w:bCs/>
          <w:color w:val="000000" w:themeColor="text1"/>
          <w:sz w:val="24"/>
          <w:szCs w:val="24"/>
          <w14:textFill>
            <w14:solidFill>
              <w14:schemeClr w14:val="tx1"/>
            </w14:solidFill>
          </w14:textFill>
        </w:rPr>
        <w:t>推荐采用U盘为电子文档载体</w:t>
      </w:r>
      <w:r>
        <w:rPr>
          <w:rFonts w:hint="eastAsia" w:ascii="宋体" w:hAnsi="宋体" w:cs="宋体"/>
          <w:color w:val="000000" w:themeColor="text1"/>
          <w:sz w:val="24"/>
          <w:szCs w:val="24"/>
          <w14:textFill>
            <w14:solidFill>
              <w14:schemeClr w14:val="tx1"/>
            </w14:solidFill>
          </w14:textFill>
        </w:rPr>
        <w:t>）；副本可为正本的复印件，应与正本一致，如出现不一致情况以正本为准。</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2、响应文件按竞争性磋商文件“第七篇响应文件编制要求”要求签署或盖章。</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（五）响应文件的递交</w:t>
      </w:r>
    </w:p>
    <w:p>
      <w:pPr>
        <w:snapToGrid w:val="0"/>
        <w:spacing w:line="400" w:lineRule="exact"/>
        <w:ind w:firstLine="480" w:firstLineChars="200"/>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响应文件</w:t>
      </w:r>
      <w:r>
        <w:rPr>
          <w:rFonts w:hint="eastAsia" w:ascii="宋体" w:hAnsi="宋体" w:cs="宋体"/>
          <w:color w:val="000000" w:themeColor="text1"/>
          <w:sz w:val="24"/>
          <w14:textFill>
            <w14:solidFill>
              <w14:schemeClr w14:val="tx1"/>
            </w14:solidFill>
          </w14:textFill>
        </w:rPr>
        <w:t>的正本、副本、电子文档均应密封送达</w:t>
      </w:r>
      <w:r>
        <w:rPr>
          <w:rFonts w:hint="eastAsia" w:ascii="宋体" w:hAnsi="宋体" w:cs="宋体"/>
          <w:color w:val="000000" w:themeColor="text1"/>
          <w:sz w:val="24"/>
          <w:szCs w:val="24"/>
          <w14:textFill>
            <w14:solidFill>
              <w14:schemeClr w14:val="tx1"/>
            </w14:solidFill>
          </w14:textFill>
        </w:rPr>
        <w:t>递交响应文件地点</w:t>
      </w:r>
      <w:r>
        <w:rPr>
          <w:rFonts w:hint="eastAsia" w:ascii="宋体" w:hAnsi="宋体" w:cs="宋体"/>
          <w:color w:val="000000" w:themeColor="text1"/>
          <w:sz w:val="24"/>
          <w14:textFill>
            <w14:solidFill>
              <w14:schemeClr w14:val="tx1"/>
            </w14:solidFill>
          </w14:textFill>
        </w:rPr>
        <w:t>，应在封套上注明项目名称、供应商名称。若正本、副本以及电子文档分别进行密封的，还应在封套上注明“正本”、“副本”、“电子文档”字样。</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2、封套的封口处应加盖供应商公章或由法定代表人授权代表签字。</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3、如果未按上述规定进行密封，采购代理机构对响应文件误投、丢失或提前拆封不负责任。</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（六）供应商参与人员</w:t>
      </w:r>
    </w:p>
    <w:p>
      <w:pPr>
        <w:snapToGrid w:val="0"/>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各个供应商应当派1-2名代表参与磋商，至少1人应为法定代表人（或其授权代表）或自然人（供应商为自然人）。</w:t>
      </w:r>
    </w:p>
    <w:p>
      <w:pPr>
        <w:pStyle w:val="5"/>
        <w:spacing w:before="0" w:after="0" w:line="400" w:lineRule="exact"/>
        <w:rPr>
          <w:rFonts w:ascii="宋体" w:hAnsi="宋体" w:cs="宋体"/>
          <w:color w:val="000000" w:themeColor="text1"/>
          <w:sz w:val="24"/>
          <w:szCs w:val="24"/>
          <w14:textFill>
            <w14:solidFill>
              <w14:schemeClr w14:val="tx1"/>
            </w14:solidFill>
          </w14:textFill>
        </w:rPr>
      </w:pPr>
      <w:bookmarkStart w:id="87" w:name="_Toc27505"/>
      <w:r>
        <w:rPr>
          <w:rFonts w:hint="eastAsia" w:ascii="宋体" w:hAnsi="宋体" w:cs="宋体"/>
          <w:color w:val="000000" w:themeColor="text1"/>
          <w:sz w:val="24"/>
          <w:szCs w:val="24"/>
          <w14:textFill>
            <w14:solidFill>
              <w14:schemeClr w14:val="tx1"/>
            </w14:solidFill>
          </w14:textFill>
        </w:rPr>
        <w:t>四、成交供应商的确认和变更</w:t>
      </w:r>
      <w:bookmarkEnd w:id="87"/>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（一）成交供应商的确认</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（二）成交供应商的变更</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2.成交供应商无充分理由放弃成交的，采购人将会同采购代理机构把相关情况报财政部门，财政部门将根据相关法律法规的规定对违规供应商进行处罚。</w:t>
      </w:r>
    </w:p>
    <w:p>
      <w:pPr>
        <w:pStyle w:val="5"/>
        <w:spacing w:before="0" w:after="0" w:line="400" w:lineRule="exact"/>
        <w:rPr>
          <w:rFonts w:ascii="宋体" w:hAnsi="宋体" w:cs="宋体"/>
          <w:color w:val="000000" w:themeColor="text1"/>
          <w:sz w:val="24"/>
          <w:szCs w:val="24"/>
          <w14:textFill>
            <w14:solidFill>
              <w14:schemeClr w14:val="tx1"/>
            </w14:solidFill>
          </w14:textFill>
        </w:rPr>
      </w:pPr>
      <w:bookmarkStart w:id="88" w:name="_Toc102227321"/>
      <w:bookmarkStart w:id="89" w:name="_Toc797"/>
      <w:bookmarkStart w:id="90" w:name="_Toc342913395"/>
      <w:r>
        <w:rPr>
          <w:rFonts w:hint="eastAsia" w:ascii="宋体" w:hAnsi="宋体" w:cs="宋体"/>
          <w:color w:val="000000" w:themeColor="text1"/>
          <w:sz w:val="24"/>
          <w:szCs w:val="24"/>
          <w14:textFill>
            <w14:solidFill>
              <w14:schemeClr w14:val="tx1"/>
            </w14:solidFill>
          </w14:textFill>
        </w:rPr>
        <w:t>五、成交通知</w:t>
      </w:r>
      <w:bookmarkEnd w:id="88"/>
      <w:bookmarkEnd w:id="89"/>
      <w:bookmarkEnd w:id="90"/>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（一）成交供应商确定后，采购代理机构将在重庆市生态环境局政府公众信息网站（http://sthjj.cq.gov.cn）上发布成交结果公告。</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（二）结果公告发出同时，采购代理机构将以书面形式发出《成交通知书》。《成交通知书》一经发出即发生法律效力。</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（三）《成交通知书》将作为签订合同的依据。</w:t>
      </w:r>
    </w:p>
    <w:p>
      <w:pPr>
        <w:spacing w:line="4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（四）如有供应商对成交结果提出质疑的，在质疑处理完毕后发出成交通知书。</w:t>
      </w:r>
    </w:p>
    <w:p>
      <w:pPr>
        <w:pStyle w:val="5"/>
        <w:spacing w:before="0" w:after="0" w:line="400" w:lineRule="exact"/>
        <w:rPr>
          <w:rFonts w:ascii="宋体" w:hAnsi="宋体" w:cs="宋体"/>
          <w:color w:val="000000" w:themeColor="text1"/>
          <w:sz w:val="24"/>
          <w:szCs w:val="24"/>
          <w14:textFill>
            <w14:solidFill>
              <w14:schemeClr w14:val="tx1"/>
            </w14:solidFill>
          </w14:textFill>
        </w:rPr>
      </w:pPr>
      <w:bookmarkStart w:id="91" w:name="_Toc10640"/>
      <w:r>
        <w:rPr>
          <w:rFonts w:hint="eastAsia" w:ascii="宋体" w:hAnsi="宋体" w:cs="宋体"/>
          <w:color w:val="000000" w:themeColor="text1"/>
          <w:sz w:val="24"/>
          <w:szCs w:val="24"/>
          <w14:textFill>
            <w14:solidFill>
              <w14:schemeClr w14:val="tx1"/>
            </w14:solidFill>
          </w14:textFill>
        </w:rPr>
        <w:t>六、关于质疑和投诉</w:t>
      </w:r>
      <w:bookmarkEnd w:id="91"/>
    </w:p>
    <w:p>
      <w:pPr>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（一）质疑</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供应商认为采购文件、采购过程和成交结果使自己的权益收到伤害的，可向采购人或采购代理机构以书面形式提出质疑。</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提出质疑的应当是参与所质疑项目采购活动的供应商。 </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1.质疑时限、内容</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1.2供应商提出质疑应当提交质疑函和必要的证明材料，质疑函应当包括下列内容：</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1.2.1供应商的姓名或者名称、地址、邮编、联系人及联系电话；</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1.2.2质疑项目的名称及采购执行编号；</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1.2.3具体、明确的质疑事项和与质疑事项相关的请求；</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1.2.4事实依据；</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1.2.5必要的法律依据；</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1.2.6提出质疑的日期；</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1.2.7营业执照（或事业单位法人证书，或个体工商户营业执照或有效的自然人身份证明）复印件；</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1.2.8法定代表人授权委托书原件、法定代表人身份证复印件和其授权代表的身份证复印件（供应商为自然人的提供自然人身份证复印件）；</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2.质疑答复</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采购人、采购代理机构应当在收到供应商的书面质疑后七个工作日内作出答复，并以书面形式通知质疑供应商和其他有关供应商。</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3.其他</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3.2质疑函范本可在财政部门户网站和中国政府采购网下载。</w:t>
      </w:r>
    </w:p>
    <w:p>
      <w:pPr>
        <w:pStyle w:val="5"/>
        <w:spacing w:before="0" w:after="0" w:line="400" w:lineRule="exact"/>
        <w:rPr>
          <w:rFonts w:ascii="宋体" w:hAnsi="宋体" w:cs="宋体"/>
          <w:color w:val="000000" w:themeColor="text1"/>
          <w:sz w:val="24"/>
          <w:szCs w:val="24"/>
          <w14:textFill>
            <w14:solidFill>
              <w14:schemeClr w14:val="tx1"/>
            </w14:solidFill>
          </w14:textFill>
        </w:rPr>
      </w:pPr>
      <w:bookmarkStart w:id="92" w:name="_Toc1857"/>
      <w:r>
        <w:rPr>
          <w:rFonts w:hint="eastAsia" w:ascii="宋体" w:hAnsi="宋体" w:cs="宋体"/>
          <w:color w:val="000000" w:themeColor="text1"/>
          <w:sz w:val="24"/>
          <w:szCs w:val="24"/>
          <w14:textFill>
            <w14:solidFill>
              <w14:schemeClr w14:val="tx1"/>
            </w14:solidFill>
          </w14:textFill>
        </w:rPr>
        <w:t>七、采购代理服务费</w:t>
      </w:r>
      <w:bookmarkEnd w:id="92"/>
    </w:p>
    <w:p>
      <w:pPr>
        <w:spacing w:line="4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1供应商成交</w:t>
      </w:r>
      <w:r>
        <w:rPr>
          <w:rFonts w:hint="eastAsia" w:ascii="宋体" w:hAnsi="宋体" w:cs="宋体"/>
          <w:color w:val="000000" w:themeColor="text1"/>
          <w:sz w:val="24"/>
          <w14:textFill>
            <w14:solidFill>
              <w14:schemeClr w14:val="tx1"/>
            </w14:solidFill>
          </w14:textFill>
        </w:rPr>
        <w:t>后向采购代理机构缴纳招标代理服务费，招标代理服务费的收取标准按照以下服务招标标准执行（本项目代理服务费不足6000元按6000元收取）:</w:t>
      </w:r>
    </w:p>
    <w:tbl>
      <w:tblPr>
        <w:tblStyle w:val="57"/>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2103"/>
        <w:gridCol w:w="2103"/>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599" w:type="dxa"/>
            <w:tcBorders>
              <w:tl2br w:val="single" w:color="auto" w:sz="4" w:space="0"/>
            </w:tcBorders>
          </w:tcPr>
          <w:p>
            <w:pPr>
              <w:spacing w:line="240" w:lineRule="atLeast"/>
              <w:jc w:val="righ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8++YPWAAAA&#10;CAEAAA8AAAAAAAAAAQAgAAAAIgAAAGRycy9kb3ducmV2LnhtbFBLAQIUABQAAAAIAIdO4kDKvwaT&#10;5gEAALYDAAAOAAAAAAAAAAEAIAAAACUBAABkcnMvZTJvRG9jLnhtbFBLBQYAAAAABgAGAFkBAAB9&#10;BQAAAAA=&#10;">
                      <v:fill on="f" focussize="0,0"/>
                      <v:stroke color="#000000" joinstyle="round"/>
                      <v:imagedata o:title=""/>
                      <o:lock v:ext="edit" aspectratio="f"/>
                    </v:line>
                  </w:pict>
                </mc:Fallback>
              </mc:AlternateContent>
            </w:r>
            <w:r>
              <w:rPr>
                <w:rFonts w:hint="eastAsia" w:ascii="宋体" w:hAnsi="宋体" w:cs="宋体"/>
                <w:color w:val="000000" w:themeColor="text1"/>
                <w:sz w:val="21"/>
                <w:szCs w:val="21"/>
                <w14:textFill>
                  <w14:solidFill>
                    <w14:schemeClr w14:val="tx1"/>
                  </w14:solidFill>
                </w14:textFill>
              </w:rPr>
              <w:t>招标类型</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中标金额（万元）</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货物招标</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服务招标</w:t>
            </w:r>
          </w:p>
        </w:tc>
        <w:tc>
          <w:tcPr>
            <w:tcW w:w="2102" w:type="dxa"/>
            <w:vAlign w:val="center"/>
          </w:tcPr>
          <w:p>
            <w:pPr>
              <w:pStyle w:val="206"/>
              <w:widowControl w:val="0"/>
              <w:pBdr>
                <w:left w:val="none" w:color="auto" w:sz="0" w:space="0"/>
                <w:right w:val="none" w:color="auto" w:sz="0" w:space="0"/>
              </w:pBdr>
              <w:spacing w:before="0" w:beforeAutospacing="0" w:after="0" w:afterAutospacing="0" w:line="240" w:lineRule="atLeast"/>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100以下</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100-200</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1.1%</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0.8%</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200-500</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1.08%</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0.78%</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500-1000</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0.76%</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0.43%</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1000-5000</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0.45%</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0.23%</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5000-10000</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0.23%</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0.09%</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10000-100000</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0.045%</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0.045%</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9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100000以上</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0.009%</w:t>
            </w:r>
          </w:p>
        </w:tc>
        <w:tc>
          <w:tcPr>
            <w:tcW w:w="2103"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0.009%</w:t>
            </w:r>
          </w:p>
        </w:tc>
        <w:tc>
          <w:tcPr>
            <w:tcW w:w="2102"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0.009%</w:t>
            </w:r>
          </w:p>
        </w:tc>
      </w:tr>
    </w:tbl>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注：招标代理服务收费按差额定率累进法计算。例如：某服务招标代理业务中标金额为500万元，计算招标代理服务收费额如下：</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100万元×1.5%=1.5万元</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（200-100）万元×0.8%=0.8万元</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（500-200）×0.78%=2.34万元</w:t>
      </w:r>
    </w:p>
    <w:p>
      <w:pPr>
        <w:spacing w:line="400" w:lineRule="exact"/>
        <w:ind w:firstLine="480" w:firstLineChars="200"/>
        <w:rPr>
          <w:rFonts w:ascii="宋体" w:hAnsi="宋体" w:cs="宋体"/>
          <w:b/>
          <w:bCs/>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合计收费=1.5+0.8+2.34=4.64（万元）</w:t>
      </w:r>
    </w:p>
    <w:p>
      <w:pPr>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2.服务费以转账、电汇等形式支付。</w:t>
      </w:r>
    </w:p>
    <w:p>
      <w:pPr>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3.采购代理服务费缴纳账户信息：</w:t>
      </w:r>
    </w:p>
    <w:p>
      <w:pPr>
        <w:snapToGrid w:val="0"/>
        <w:spacing w:line="500" w:lineRule="exact"/>
        <w:ind w:firstLine="482" w:firstLineChars="200"/>
        <w:rPr>
          <w:rFonts w:ascii="宋体" w:hAnsi="宋体" w:cs="宋体"/>
          <w:b/>
          <w:bCs/>
          <w:color w:val="000000" w:themeColor="text1"/>
          <w:sz w:val="24"/>
          <w:szCs w:val="24"/>
          <w14:textFill>
            <w14:solidFill>
              <w14:schemeClr w14:val="tx1"/>
            </w14:solidFill>
          </w14:textFill>
        </w:rPr>
      </w:pPr>
      <w:bookmarkStart w:id="93" w:name="_Toc102227322"/>
      <w:bookmarkStart w:id="94" w:name="_Toc342913396"/>
      <w:bookmarkStart w:id="95" w:name="_Toc11641055"/>
      <w:bookmarkStart w:id="96" w:name="_Toc12789059"/>
      <w:r>
        <w:rPr>
          <w:rFonts w:hint="eastAsia" w:ascii="宋体" w:hAnsi="宋体" w:cs="宋体"/>
          <w:b/>
          <w:bCs/>
          <w:color w:val="000000" w:themeColor="text1"/>
          <w:sz w:val="24"/>
          <w:szCs w:val="24"/>
          <w14:textFill>
            <w14:solidFill>
              <w14:schemeClr w14:val="tx1"/>
            </w14:solidFill>
          </w14:textFill>
        </w:rPr>
        <w:t>户  名：重庆鼎创招标代理有限公司</w:t>
      </w:r>
    </w:p>
    <w:p>
      <w:pPr>
        <w:snapToGrid w:val="0"/>
        <w:spacing w:line="50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开户行：招商银行股份有限公司重庆观音桥支行</w:t>
      </w:r>
    </w:p>
    <w:p>
      <w:pPr>
        <w:snapToGrid w:val="0"/>
        <w:spacing w:line="50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账  号：123911157910105</w:t>
      </w:r>
    </w:p>
    <w:p>
      <w:pPr>
        <w:pStyle w:val="5"/>
        <w:spacing w:before="0" w:after="0" w:line="400" w:lineRule="exact"/>
        <w:rPr>
          <w:rFonts w:ascii="宋体" w:hAnsi="宋体" w:cs="宋体"/>
          <w:color w:val="000000" w:themeColor="text1"/>
          <w:sz w:val="24"/>
          <w:szCs w:val="24"/>
          <w14:textFill>
            <w14:solidFill>
              <w14:schemeClr w14:val="tx1"/>
            </w14:solidFill>
          </w14:textFill>
        </w:rPr>
      </w:pPr>
      <w:bookmarkStart w:id="97" w:name="_Toc28353"/>
      <w:r>
        <w:rPr>
          <w:rFonts w:hint="eastAsia" w:ascii="宋体" w:hAnsi="宋体" w:cs="宋体"/>
          <w:color w:val="000000" w:themeColor="text1"/>
          <w:sz w:val="24"/>
          <w:szCs w:val="24"/>
          <w14:textFill>
            <w14:solidFill>
              <w14:schemeClr w14:val="tx1"/>
            </w14:solidFill>
          </w14:textFill>
        </w:rPr>
        <w:t>八、签订</w:t>
      </w:r>
      <w:bookmarkEnd w:id="93"/>
      <w:r>
        <w:rPr>
          <w:rFonts w:hint="eastAsia" w:ascii="宋体" w:hAnsi="宋体" w:cs="宋体"/>
          <w:color w:val="000000" w:themeColor="text1"/>
          <w:sz w:val="24"/>
          <w:szCs w:val="24"/>
          <w14:textFill>
            <w14:solidFill>
              <w14:schemeClr w14:val="tx1"/>
            </w14:solidFill>
          </w14:textFill>
        </w:rPr>
        <w:t>合同</w:t>
      </w:r>
      <w:bookmarkEnd w:id="94"/>
      <w:bookmarkEnd w:id="97"/>
    </w:p>
    <w:p>
      <w:pPr>
        <w:spacing w:line="40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（一）采购人应当自成交通知书发出之日起二十日内，按照竞争性磋商文件和成交供应商响应文件的约定，与成交供应商签订书面合同。所签订的合同不得对竞争性磋商文件和供应商的响应文件作实质性修改。</w:t>
      </w:r>
    </w:p>
    <w:p>
      <w:pPr>
        <w:spacing w:line="38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（二）竞争性磋商文件、供应商的响应文件及澄清文件等，均为签订政府采购合同的依据。</w:t>
      </w:r>
    </w:p>
    <w:p>
      <w:pPr>
        <w:spacing w:line="38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（三）合同生效条款由供需双方约定，法律、行政法规规定应当办理批准、登记等手续后生效的合同，依照其规定。</w:t>
      </w:r>
    </w:p>
    <w:p>
      <w:pPr>
        <w:spacing w:line="38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（四）合同原则上应按照《重庆市政府采购合同》签订，相关单位要求适用合同通用格式版本的，应按其要求另行签订其他合同。</w:t>
      </w:r>
    </w:p>
    <w:p>
      <w:pPr>
        <w:spacing w:line="380" w:lineRule="exact"/>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（五）采购人要求成交供应商提供履约保证金的，应当在竞争性磋商文件中予以约定。成交供应商履约完毕后，采购人</w:t>
      </w:r>
      <w:r>
        <w:rPr>
          <w:rFonts w:hint="eastAsia" w:ascii="宋体" w:hAnsi="宋体" w:cs="宋体"/>
          <w:color w:val="000000" w:themeColor="text1"/>
          <w:sz w:val="24"/>
          <w14:textFill>
            <w14:solidFill>
              <w14:schemeClr w14:val="tx1"/>
            </w14:solidFill>
          </w14:textFill>
        </w:rPr>
        <w:t>应按磋商文件及合同的约定无息退还其履约保证金。</w:t>
      </w:r>
    </w:p>
    <w:bookmarkEnd w:id="95"/>
    <w:bookmarkEnd w:id="96"/>
    <w:p>
      <w:pPr>
        <w:rPr>
          <w:rFonts w:ascii="宋体" w:hAnsi="宋体" w:cs="宋体"/>
          <w:color w:val="000000" w:themeColor="text1"/>
          <w14:textFill>
            <w14:solidFill>
              <w14:schemeClr w14:val="tx1"/>
            </w14:solidFill>
          </w14:textFill>
        </w:rPr>
        <w:sectPr>
          <w:footerReference r:id="rId11" w:type="default"/>
          <w:footerReference r:id="rId12" w:type="even"/>
          <w:pgSz w:w="11907" w:h="16840"/>
          <w:pgMar w:top="1134" w:right="1191" w:bottom="1134" w:left="1304" w:header="964" w:footer="992" w:gutter="0"/>
          <w:pgNumType w:fmt="numberInDash"/>
          <w:cols w:space="720" w:num="1"/>
          <w:rtlGutter w:val="1"/>
          <w:docGrid w:linePitch="312" w:charSpace="0"/>
        </w:sectPr>
      </w:pPr>
    </w:p>
    <w:p>
      <w:pPr>
        <w:pStyle w:val="4"/>
        <w:spacing w:after="0" w:line="360" w:lineRule="auto"/>
        <w:jc w:val="center"/>
        <w:rPr>
          <w:rFonts w:ascii="宋体" w:hAnsi="宋体" w:eastAsia="宋体" w:cs="宋体"/>
          <w:b w:val="0"/>
          <w:color w:val="000000" w:themeColor="text1"/>
          <w:sz w:val="36"/>
          <w:szCs w:val="30"/>
          <w14:textFill>
            <w14:solidFill>
              <w14:schemeClr w14:val="tx1"/>
            </w14:solidFill>
          </w14:textFill>
        </w:rPr>
      </w:pPr>
      <w:bookmarkStart w:id="98" w:name="_Toc7030"/>
      <w:bookmarkStart w:id="99" w:name="_Toc8580"/>
      <w:bookmarkStart w:id="100" w:name="_Toc1780"/>
      <w:r>
        <w:rPr>
          <w:rFonts w:hint="eastAsia" w:ascii="宋体" w:hAnsi="宋体" w:eastAsia="宋体" w:cs="宋体"/>
          <w:b w:val="0"/>
          <w:color w:val="000000" w:themeColor="text1"/>
          <w:sz w:val="36"/>
          <w:szCs w:val="30"/>
          <w14:textFill>
            <w14:solidFill>
              <w14:schemeClr w14:val="tx1"/>
            </w14:solidFill>
          </w14:textFill>
        </w:rPr>
        <w:t>第六篇  政府采购合同</w:t>
      </w:r>
      <w:bookmarkEnd w:id="98"/>
      <w:bookmarkEnd w:id="99"/>
    </w:p>
    <w:p>
      <w:pPr>
        <w:spacing w:line="500" w:lineRule="exact"/>
        <w:jc w:val="center"/>
        <w:rPr>
          <w:rFonts w:ascii="宋体" w:hAnsi="宋体" w:cs="宋体"/>
          <w:b/>
          <w:color w:val="000000" w:themeColor="text1"/>
          <w:sz w:val="44"/>
          <w14:textFill>
            <w14:solidFill>
              <w14:schemeClr w14:val="tx1"/>
            </w14:solidFill>
          </w14:textFill>
        </w:rPr>
      </w:pPr>
      <w:r>
        <w:rPr>
          <w:rFonts w:hint="eastAsia" w:ascii="宋体" w:hAnsi="宋体" w:cs="宋体"/>
          <w:b/>
          <w:color w:val="000000" w:themeColor="text1"/>
          <w:sz w:val="44"/>
          <w14:textFill>
            <w14:solidFill>
              <w14:schemeClr w14:val="tx1"/>
            </w14:solidFill>
          </w14:textFill>
        </w:rPr>
        <w:t>重庆市政府采购合同（参考样本）</w:t>
      </w:r>
    </w:p>
    <w:p>
      <w:pPr>
        <w:spacing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（项目号：     ）</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甲方（需方）：___________________________      计价单位：____________</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乙方（供方）：___________________________      计量单位：_____________</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经双方协商一致，达成以下购销合同：</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709"/>
        <w:gridCol w:w="1109"/>
        <w:gridCol w:w="1134"/>
        <w:gridCol w:w="13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21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项目名称</w:t>
            </w:r>
          </w:p>
        </w:tc>
        <w:tc>
          <w:tcPr>
            <w:tcW w:w="70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数量</w:t>
            </w:r>
          </w:p>
        </w:tc>
        <w:tc>
          <w:tcPr>
            <w:tcW w:w="110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综合单价</w:t>
            </w:r>
          </w:p>
        </w:tc>
        <w:tc>
          <w:tcPr>
            <w:tcW w:w="1134"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总价</w:t>
            </w:r>
          </w:p>
        </w:tc>
        <w:tc>
          <w:tcPr>
            <w:tcW w:w="1301"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服务时间</w:t>
            </w:r>
          </w:p>
        </w:tc>
        <w:tc>
          <w:tcPr>
            <w:tcW w:w="1417"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70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10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134"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301"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417"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70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109"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134"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301"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c>
          <w:tcPr>
            <w:tcW w:w="1417" w:type="dxa"/>
            <w:vAlign w:val="center"/>
          </w:tcPr>
          <w:p>
            <w:pPr>
              <w:spacing w:line="240" w:lineRule="atLeast"/>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89" w:type="dxa"/>
            <w:gridSpan w:val="6"/>
            <w:vAlign w:val="center"/>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89" w:type="dxa"/>
            <w:gridSpan w:val="6"/>
            <w:vAlign w:val="center"/>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9889" w:type="dxa"/>
            <w:gridSpan w:val="6"/>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889" w:type="dxa"/>
            <w:gridSpan w:val="6"/>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889" w:type="dxa"/>
            <w:gridSpan w:val="6"/>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三、付款方式：</w:t>
            </w:r>
          </w:p>
          <w:p>
            <w:pPr>
              <w:pStyle w:val="32"/>
              <w:spacing w:line="240" w:lineRule="atLeast"/>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889" w:type="dxa"/>
            <w:gridSpan w:val="6"/>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四、违约责任：</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按《中华人民共和国民法典》、《政府采购法》执行，或按双方约定。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889" w:type="dxa"/>
            <w:gridSpan w:val="6"/>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五、其他约定事项：</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1.采购文件及其补遗文件、响应文件和承诺是本合同不可分割的部分。</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2.本合同如发生争议由双方协商解决，协商不成向需方所在人民法院提请诉讼。</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3.本合同一式__份， 需方__份，供方__份，具同等法律效力。</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4219" w:type="dxa"/>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需方：重庆市生态环境大数据应用中心</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地址：重庆市渝北区礼环南路102号</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联系电话：023-88521793</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授权代表：</w:t>
            </w:r>
          </w:p>
        </w:tc>
        <w:tc>
          <w:tcPr>
            <w:tcW w:w="5670" w:type="dxa"/>
            <w:gridSpan w:val="5"/>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供方：</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电话：</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传真：</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开户银行：</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账号：</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授权代表：</w:t>
            </w:r>
          </w:p>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89" w:type="dxa"/>
            <w:gridSpan w:val="6"/>
          </w:tcPr>
          <w:p>
            <w:pPr>
              <w:spacing w:line="240" w:lineRule="atLeas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备注：</w:t>
            </w:r>
          </w:p>
          <w:p>
            <w:pPr>
              <w:spacing w:line="240" w:lineRule="atLeast"/>
              <w:rPr>
                <w:rFonts w:ascii="宋体" w:hAnsi="宋体" w:cs="宋体"/>
                <w:color w:val="000000" w:themeColor="text1"/>
                <w:sz w:val="21"/>
                <w:szCs w:val="21"/>
                <w14:textFill>
                  <w14:solidFill>
                    <w14:schemeClr w14:val="tx1"/>
                  </w14:solidFill>
                </w14:textFill>
              </w:rPr>
            </w:pPr>
          </w:p>
        </w:tc>
      </w:tr>
    </w:tbl>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签约时间：           年   月   日            签约地点：</w:t>
      </w:r>
    </w:p>
    <w:p>
      <w:pPr>
        <w:tabs>
          <w:tab w:val="left" w:pos="9000"/>
        </w:tabs>
        <w:spacing w:line="276" w:lineRule="auto"/>
        <w:jc w:val="center"/>
        <w:rPr>
          <w:rFonts w:ascii="宋体" w:hAnsi="宋体" w:cs="宋体"/>
          <w:color w:val="000000" w:themeColor="text1"/>
          <w:sz w:val="21"/>
          <w:szCs w:val="21"/>
          <w14:textFill>
            <w14:solidFill>
              <w14:schemeClr w14:val="tx1"/>
            </w14:solidFill>
          </w14:textFill>
        </w:rPr>
        <w:sectPr>
          <w:footerReference r:id="rId13" w:type="default"/>
          <w:footerReference r:id="rId14" w:type="even"/>
          <w:pgSz w:w="11907" w:h="16840"/>
          <w:pgMar w:top="1134" w:right="1191" w:bottom="1134" w:left="1304" w:header="964" w:footer="992" w:gutter="0"/>
          <w:pgNumType w:fmt="numberInDash"/>
          <w:cols w:space="720" w:num="1"/>
          <w:docGrid w:linePitch="312" w:charSpace="0"/>
        </w:sectPr>
      </w:pPr>
    </w:p>
    <w:p>
      <w:pPr>
        <w:pStyle w:val="4"/>
        <w:spacing w:before="0" w:after="0" w:line="360" w:lineRule="auto"/>
        <w:ind w:firstLine="2530" w:firstLineChars="700"/>
        <w:rPr>
          <w:rFonts w:ascii="宋体" w:hAnsi="宋体" w:eastAsia="宋体" w:cs="宋体"/>
          <w:color w:val="000000" w:themeColor="text1"/>
          <w:sz w:val="36"/>
          <w:szCs w:val="30"/>
          <w14:textFill>
            <w14:solidFill>
              <w14:schemeClr w14:val="tx1"/>
            </w14:solidFill>
          </w14:textFill>
        </w:rPr>
      </w:pPr>
      <w:bookmarkStart w:id="101" w:name="_Toc31983"/>
      <w:r>
        <w:rPr>
          <w:rFonts w:hint="eastAsia" w:ascii="宋体" w:hAnsi="宋体" w:eastAsia="宋体" w:cs="宋体"/>
          <w:color w:val="000000" w:themeColor="text1"/>
          <w:sz w:val="36"/>
          <w:szCs w:val="30"/>
          <w14:textFill>
            <w14:solidFill>
              <w14:schemeClr w14:val="tx1"/>
            </w14:solidFill>
          </w14:textFill>
        </w:rPr>
        <w:t>第七篇  响应文件编制要求</w:t>
      </w:r>
      <w:bookmarkEnd w:id="100"/>
      <w:bookmarkEnd w:id="101"/>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一、经济部分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（一）竞争性磋商报价函</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（二）分项报价明细表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二、服务部分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（一）服务方案</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（二）服务响应偏离表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三、商务部分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（一）商务要求响应情况：服务期、服务地点及验收方式等</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（二）商务响应偏离表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（三）其它优惠服务承诺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四、资格条件及其他</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（二）法定代表人身份证明书（格式）</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（三）法定代表人授权委托书（格式）</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（四）基本资格条件承诺函</w:t>
      </w:r>
    </w:p>
    <w:p>
      <w:pPr>
        <w:snapToGrid w:val="0"/>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（五）特定资格条件证书或证明文件（如有）</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五、其他资料</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（一）供应商中小微企业声明函、监狱企业证明文件、残疾人福利性单位声明函</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w:t>
      </w:r>
      <w:r>
        <w:rPr>
          <w:rFonts w:hint="eastAsia" w:ascii="宋体" w:hAnsi="宋体" w:cs="宋体"/>
          <w:sz w:val="24"/>
          <w:szCs w:val="24"/>
        </w:rPr>
        <w:t>其他与项目有关的资料</w:t>
      </w:r>
    </w:p>
    <w:p>
      <w:pPr>
        <w:rPr>
          <w:rFonts w:ascii="宋体" w:hAnsi="宋体" w:cs="宋体"/>
          <w:color w:val="000000" w:themeColor="text1"/>
          <w:sz w:val="24"/>
          <w:szCs w:val="24"/>
          <w14:textFill>
            <w14:solidFill>
              <w14:schemeClr w14:val="tx1"/>
            </w14:solidFill>
          </w14:textFill>
        </w:rPr>
      </w:pPr>
      <w:bookmarkStart w:id="102" w:name="_Toc313888360"/>
      <w:bookmarkStart w:id="103" w:name="_Toc342913419"/>
      <w:bookmarkStart w:id="104" w:name="_Toc10238"/>
      <w:bookmarkStart w:id="105" w:name="_Toc499576264"/>
      <w:bookmarkStart w:id="106" w:name="_Toc313008356"/>
      <w:bookmarkStart w:id="107" w:name="_Toc283382454"/>
      <w:bookmarkStart w:id="108" w:name="_Toc12789073"/>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14:textFill>
            <w14:solidFill>
              <w14:schemeClr w14:val="tx1"/>
            </w14:solidFill>
          </w14:textFill>
        </w:rPr>
      </w:pPr>
    </w:p>
    <w:p>
      <w:pPr>
        <w:widowControl/>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109" w:name="_Toc11818"/>
      <w:r>
        <w:rPr>
          <w:rFonts w:hint="eastAsia" w:ascii="宋体" w:hAnsi="宋体" w:cs="宋体"/>
          <w:color w:val="000000" w:themeColor="text1"/>
          <w:sz w:val="24"/>
          <w:szCs w:val="24"/>
          <w14:textFill>
            <w14:solidFill>
              <w14:schemeClr w14:val="tx1"/>
            </w14:solidFill>
          </w14:textFill>
        </w:rPr>
        <w:t>一、经济部分</w:t>
      </w:r>
      <w:bookmarkEnd w:id="102"/>
      <w:bookmarkEnd w:id="103"/>
      <w:bookmarkEnd w:id="104"/>
      <w:bookmarkEnd w:id="105"/>
      <w:bookmarkEnd w:id="106"/>
      <w:bookmarkEnd w:id="109"/>
    </w:p>
    <w:bookmarkEnd w:id="107"/>
    <w:bookmarkEnd w:id="108"/>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（一）竞争性磋商报价函</w:t>
      </w:r>
    </w:p>
    <w:p>
      <w:pPr>
        <w:tabs>
          <w:tab w:val="left" w:pos="6300"/>
        </w:tabs>
        <w:snapToGrid w:val="0"/>
        <w:spacing w:line="312" w:lineRule="auto"/>
        <w:jc w:val="center"/>
        <w:rPr>
          <w:rFonts w:ascii="宋体" w:hAnsi="宋体" w:cs="宋体"/>
          <w:b/>
          <w:color w:val="000000" w:themeColor="text1"/>
          <w:szCs w:val="28"/>
          <w14:textFill>
            <w14:solidFill>
              <w14:schemeClr w14:val="tx1"/>
            </w14:solidFill>
          </w14:textFill>
        </w:rPr>
      </w:pPr>
      <w:r>
        <w:rPr>
          <w:rFonts w:hint="eastAsia" w:ascii="宋体" w:hAnsi="宋体" w:cs="宋体"/>
          <w:b/>
          <w:color w:val="000000" w:themeColor="text1"/>
          <w:szCs w:val="28"/>
          <w14:textFill>
            <w14:solidFill>
              <w14:schemeClr w14:val="tx1"/>
            </w14:solidFill>
          </w14:textFill>
        </w:rPr>
        <w:t>竞争性磋商报价函</w:t>
      </w:r>
    </w:p>
    <w:p>
      <w:pPr>
        <w:tabs>
          <w:tab w:val="left" w:pos="6300"/>
        </w:tabs>
        <w:snapToGrid w:val="0"/>
        <w:spacing w:line="312"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（采购代理机构名称）</w:t>
      </w:r>
      <w:r>
        <w:rPr>
          <w:rFonts w:hint="eastAsia" w:ascii="宋体" w:hAnsi="宋体" w:cs="宋体"/>
          <w:color w:val="000000" w:themeColor="text1"/>
          <w:sz w:val="24"/>
          <w:szCs w:val="24"/>
          <w14:textFill>
            <w14:solidFill>
              <w14:schemeClr w14:val="tx1"/>
            </w14:solidFill>
          </w14:textFill>
        </w:rPr>
        <w:t>：</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我方收到____________________________（项目名称）的竞争性磋商文件，经详细研究，决定参加该项目的磋商。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1、愿意按照竞争性磋商文件中的一切要求，提供本项目所需的技术和服务，初始报价为人民币大写：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元整；人民币小写：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元。以我公司最后报价为准。</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2、我方现提交的响应文件为：响应文件正本</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份，副本</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份，电子文档</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份。</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3、我方承诺：本次磋商的有效期为提交响应文件截止时间起90天。</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4、我方完全理解和接受贵方竞争性磋商文件的一切规定和要求及评审办法。</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7、我方同意按竞争性磋商文件规定，交纳竞争性磋商文件要求的磋商保证金（如果有）。如果我方成为成交供应商，保证在接到成交通知书前，向采购代理机构缴纳竞争性磋商文件规定的采购代理服务费。</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8"/>
          <w14:textFill>
            <w14:solidFill>
              <w14:schemeClr w14:val="tx1"/>
            </w14:solidFill>
          </w14:textFill>
        </w:rPr>
        <w:t>我方未</w:t>
      </w:r>
      <w:r>
        <w:rPr>
          <w:rFonts w:hint="eastAsia" w:ascii="宋体" w:hAnsi="宋体" w:cs="宋体"/>
          <w:color w:val="000000" w:themeColor="text1"/>
          <w:sz w:val="24"/>
          <w:szCs w:val="24"/>
          <w14:textFill>
            <w14:solidFill>
              <w14:schemeClr w14:val="tx1"/>
            </w14:solidFill>
          </w14:textFill>
        </w:rPr>
        <w:t>为采购项目提供整体设计、规范编制或者项目管理、监理、检测等服务。</w:t>
      </w:r>
    </w:p>
    <w:p>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p>
    <w:p>
      <w:pPr>
        <w:tabs>
          <w:tab w:val="left" w:pos="6300"/>
        </w:tabs>
        <w:snapToGrid w:val="0"/>
        <w:spacing w:line="312" w:lineRule="auto"/>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供应商（公章）或自然人签署：</w:t>
      </w:r>
    </w:p>
    <w:p>
      <w:pPr>
        <w:tabs>
          <w:tab w:val="left" w:pos="6300"/>
        </w:tabs>
        <w:snapToGrid w:val="0"/>
        <w:spacing w:line="460" w:lineRule="exact"/>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地址：  </w:t>
      </w:r>
    </w:p>
    <w:p>
      <w:pPr>
        <w:tabs>
          <w:tab w:val="left" w:pos="6300"/>
        </w:tabs>
        <w:snapToGrid w:val="0"/>
        <w:spacing w:line="460" w:lineRule="exact"/>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                                             传真：</w:t>
      </w:r>
    </w:p>
    <w:p>
      <w:pPr>
        <w:tabs>
          <w:tab w:val="left" w:pos="6300"/>
        </w:tabs>
        <w:snapToGrid w:val="0"/>
        <w:spacing w:line="460" w:lineRule="exact"/>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网址：                                             邮编：</w:t>
      </w:r>
    </w:p>
    <w:p>
      <w:pPr>
        <w:tabs>
          <w:tab w:val="left" w:pos="6300"/>
        </w:tabs>
        <w:snapToGrid w:val="0"/>
        <w:spacing w:line="460" w:lineRule="exact"/>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sectPr>
          <w:headerReference r:id="rId15" w:type="default"/>
          <w:footerReference r:id="rId16" w:type="default"/>
          <w:pgSz w:w="11907" w:h="16840"/>
          <w:pgMar w:top="1134" w:right="1191" w:bottom="1134" w:left="1304" w:header="851" w:footer="992" w:gutter="0"/>
          <w:pgNumType w:fmt="numberInDash"/>
          <w:cols w:space="720" w:num="1"/>
          <w:rtlGutter w:val="1"/>
          <w:docGrid w:linePitch="380" w:charSpace="-5735"/>
        </w:sectPr>
      </w:pPr>
      <w:r>
        <w:rPr>
          <w:rFonts w:hint="eastAsia" w:ascii="宋体" w:hAnsi="宋体" w:cs="宋体"/>
          <w:color w:val="000000" w:themeColor="text1"/>
          <w:sz w:val="24"/>
          <w:szCs w:val="24"/>
          <w14:textFill>
            <w14:solidFill>
              <w14:schemeClr w14:val="tx1"/>
            </w14:solidFill>
          </w14:textFill>
        </w:rPr>
        <w:t xml:space="preserve">                                                  年   月   日</w:t>
      </w:r>
    </w:p>
    <w:p>
      <w:pPr>
        <w:tabs>
          <w:tab w:val="left" w:pos="6300"/>
        </w:tabs>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（二）分项报价明细表</w:t>
      </w:r>
    </w:p>
    <w:p>
      <w:pPr>
        <w:tabs>
          <w:tab w:val="left" w:pos="6300"/>
        </w:tabs>
        <w:snapToGrid w:val="0"/>
        <w:spacing w:line="480" w:lineRule="exact"/>
        <w:jc w:val="center"/>
        <w:rPr>
          <w:rFonts w:ascii="宋体" w:hAnsi="宋体" w:cs="宋体"/>
          <w:b/>
          <w:bCs/>
          <w:color w:val="000000" w:themeColor="text1"/>
          <w:szCs w:val="28"/>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分项报价明细表</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磋商项目名称：                                          单位：人民币/元</w:t>
      </w:r>
    </w:p>
    <w:tbl>
      <w:tblPr>
        <w:tblStyle w:val="57"/>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61"/>
        <w:gridCol w:w="2747"/>
        <w:gridCol w:w="1480"/>
        <w:gridCol w:w="148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19" w:type="dxa"/>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序号</w:t>
            </w:r>
          </w:p>
        </w:tc>
        <w:tc>
          <w:tcPr>
            <w:tcW w:w="1761" w:type="dxa"/>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名称</w:t>
            </w:r>
          </w:p>
        </w:tc>
        <w:tc>
          <w:tcPr>
            <w:tcW w:w="2747" w:type="dxa"/>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相关信息</w:t>
            </w:r>
          </w:p>
        </w:tc>
        <w:tc>
          <w:tcPr>
            <w:tcW w:w="1480" w:type="dxa"/>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1480" w:type="dxa"/>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tc>
        <w:tc>
          <w:tcPr>
            <w:tcW w:w="1480" w:type="dxa"/>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0" w:leftChars="0" w:firstLine="420" w:firstLineChars="200"/>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0" w:leftChars="0" w:firstLine="420" w:firstLineChars="200"/>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0" w:leftChars="0" w:firstLine="420" w:firstLineChars="200"/>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0" w:leftChars="0" w:firstLine="420" w:firstLineChars="200"/>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0" w:leftChars="0" w:firstLine="420" w:firstLineChars="200"/>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0" w:leftChars="0" w:firstLine="420" w:firstLineChars="200"/>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980" w:hanging="420"/>
              <w:outlineLvl w:val="0"/>
              <w:rPr>
                <w:rFonts w:ascii="宋体" w:hAnsi="宋体" w:cs="宋体"/>
                <w:color w:val="000000" w:themeColor="text1"/>
                <w:sz w:val="21"/>
                <w:szCs w:val="21"/>
                <w14:textFill>
                  <w14:solidFill>
                    <w14:schemeClr w14:val="tx1"/>
                  </w14:solidFill>
                </w14:textFill>
              </w:rPr>
            </w:pP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19" w:type="dxa"/>
            <w:vAlign w:val="center"/>
          </w:tcPr>
          <w:p>
            <w:pPr>
              <w:pStyle w:val="23"/>
              <w:spacing w:line="240" w:lineRule="atLeast"/>
              <w:ind w:left="980" w:hanging="420"/>
              <w:outlineLvl w:val="0"/>
              <w:rPr>
                <w:rFonts w:ascii="宋体" w:hAnsi="宋体" w:cs="宋体"/>
                <w:color w:val="000000" w:themeColor="text1"/>
                <w:sz w:val="21"/>
                <w:szCs w:val="21"/>
                <w14:textFill>
                  <w14:solidFill>
                    <w14:schemeClr w14:val="tx1"/>
                  </w14:solidFill>
                </w14:textFill>
              </w:rPr>
            </w:pPr>
          </w:p>
        </w:tc>
        <w:tc>
          <w:tcPr>
            <w:tcW w:w="1761"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总计</w:t>
            </w:r>
          </w:p>
        </w:tc>
        <w:tc>
          <w:tcPr>
            <w:tcW w:w="2747" w:type="dxa"/>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c>
          <w:tcPr>
            <w:tcW w:w="1480" w:type="dxa"/>
            <w:vAlign w:val="center"/>
          </w:tcPr>
          <w:p>
            <w:pPr>
              <w:jc w:val="center"/>
              <w:rPr>
                <w:rFonts w:ascii="宋体" w:hAnsi="宋体" w:cs="宋体"/>
                <w:color w:val="000000" w:themeColor="text1"/>
                <w:sz w:val="21"/>
                <w:szCs w:val="21"/>
                <w14:textFill>
                  <w14:solidFill>
                    <w14:schemeClr w14:val="tx1"/>
                  </w14:solidFill>
                </w14:textFill>
              </w:rPr>
            </w:pPr>
          </w:p>
        </w:tc>
      </w:tr>
    </w:tbl>
    <w:p>
      <w:pPr>
        <w:tabs>
          <w:tab w:val="left" w:pos="6300"/>
        </w:tabs>
        <w:snapToGrid w:val="0"/>
        <w:spacing w:line="312" w:lineRule="auto"/>
        <w:ind w:firstLine="480" w:firstLineChars="200"/>
        <w:rPr>
          <w:rFonts w:ascii="宋体" w:hAnsi="宋体" w:cs="宋体"/>
          <w:color w:val="000000" w:themeColor="text1"/>
          <w:sz w:val="24"/>
          <w:szCs w:val="24"/>
          <w14:textFill>
            <w14:solidFill>
              <w14:schemeClr w14:val="tx1"/>
            </w14:solidFill>
          </w14:textFill>
        </w:rPr>
      </w:pPr>
    </w:p>
    <w:p>
      <w:pPr>
        <w:pStyle w:val="37"/>
        <w:spacing w:line="360" w:lineRule="auto"/>
        <w:rPr>
          <w:rFonts w:ascii="宋体" w:hAnsi="宋体" w:cs="宋体"/>
          <w:color w:val="000000" w:themeColor="text1"/>
          <w:sz w:val="24"/>
          <w:szCs w:val="24"/>
          <w14:textFill>
            <w14:solidFill>
              <w14:schemeClr w14:val="tx1"/>
            </w14:solidFill>
          </w14:textFill>
        </w:rPr>
      </w:pPr>
    </w:p>
    <w:p>
      <w:pPr>
        <w:pStyle w:val="37"/>
        <w:spacing w:line="360" w:lineRule="auto"/>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注：1.供应商应完整填写本表。</w:t>
      </w:r>
    </w:p>
    <w:p>
      <w:pPr>
        <w:pStyle w:val="37"/>
        <w:spacing w:line="360" w:lineRule="auto"/>
        <w:ind w:firstLine="480" w:firstLineChars="20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.该表可扩展</w:t>
      </w:r>
      <w:bookmarkStart w:id="110" w:name="OLE_LINK2"/>
      <w:bookmarkStart w:id="111" w:name="OLE_LINK1"/>
      <w:r>
        <w:rPr>
          <w:rFonts w:hint="eastAsia" w:ascii="宋体" w:hAnsi="宋体" w:cs="宋体"/>
          <w:color w:val="000000" w:themeColor="text1"/>
          <w:sz w:val="24"/>
          <w:szCs w:val="24"/>
          <w14:textFill>
            <w14:solidFill>
              <w14:schemeClr w14:val="tx1"/>
            </w14:solidFill>
          </w14:textFill>
        </w:rPr>
        <w:t>。</w:t>
      </w:r>
      <w:bookmarkEnd w:id="110"/>
      <w:bookmarkEnd w:id="111"/>
    </w:p>
    <w:p>
      <w:pPr>
        <w:pStyle w:val="37"/>
        <w:spacing w:line="360" w:lineRule="auto"/>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供应商名称（公章）或自然人签署：</w:t>
      </w:r>
    </w:p>
    <w:p>
      <w:pPr>
        <w:spacing w:line="360" w:lineRule="auto"/>
        <w:ind w:right="480" w:firstLine="6480" w:firstLineChars="2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     月    日</w:t>
      </w:r>
    </w:p>
    <w:p>
      <w:pPr>
        <w:snapToGrid w:val="0"/>
        <w:spacing w:line="360" w:lineRule="auto"/>
        <w:ind w:firstLine="480" w:firstLineChars="200"/>
        <w:rPr>
          <w:rFonts w:ascii="宋体" w:hAnsi="宋体" w:cs="宋体"/>
          <w:color w:val="000000" w:themeColor="text1"/>
          <w:sz w:val="24"/>
          <w:szCs w:val="24"/>
          <w:bdr w:val="single" w:color="auto" w:sz="4" w:space="0"/>
          <w14:textFill>
            <w14:solidFill>
              <w14:schemeClr w14:val="tx1"/>
            </w14:solidFill>
          </w14:textFill>
        </w:rPr>
        <w:sectPr>
          <w:headerReference r:id="rId17" w:type="default"/>
          <w:pgSz w:w="11907" w:h="16840"/>
          <w:pgMar w:top="1134" w:right="1191" w:bottom="1134" w:left="1304" w:header="851" w:footer="992" w:gutter="0"/>
          <w:pgNumType w:fmt="numberInDash"/>
          <w:cols w:space="720" w:num="1"/>
          <w:rtlGutter w:val="1"/>
          <w:docGrid w:linePitch="380" w:charSpace="-5735"/>
        </w:sectPr>
      </w:pPr>
    </w:p>
    <w:p>
      <w:pPr>
        <w:pStyle w:val="5"/>
        <w:spacing w:before="0" w:after="0" w:line="440" w:lineRule="exact"/>
        <w:rPr>
          <w:rFonts w:ascii="宋体" w:hAnsi="宋体" w:cs="宋体"/>
          <w:color w:val="000000" w:themeColor="text1"/>
          <w:sz w:val="24"/>
          <w:szCs w:val="24"/>
          <w14:textFill>
            <w14:solidFill>
              <w14:schemeClr w14:val="tx1"/>
            </w14:solidFill>
          </w14:textFill>
        </w:rPr>
      </w:pPr>
      <w:bookmarkStart w:id="112" w:name="_Toc499576265"/>
      <w:bookmarkStart w:id="113" w:name="_Toc313008357"/>
      <w:bookmarkStart w:id="114" w:name="_Toc13366"/>
      <w:bookmarkStart w:id="115" w:name="_Toc28589"/>
      <w:bookmarkStart w:id="116" w:name="_Toc313888361"/>
      <w:bookmarkStart w:id="117" w:name="_Toc342913420"/>
      <w:r>
        <w:rPr>
          <w:rFonts w:hint="eastAsia" w:ascii="宋体" w:hAnsi="宋体" w:cs="宋体"/>
          <w:color w:val="000000" w:themeColor="text1"/>
          <w:sz w:val="24"/>
          <w:szCs w:val="24"/>
          <w14:textFill>
            <w14:solidFill>
              <w14:schemeClr w14:val="tx1"/>
            </w14:solidFill>
          </w14:textFill>
        </w:rPr>
        <w:t>二、服务部分</w:t>
      </w:r>
      <w:bookmarkEnd w:id="112"/>
      <w:bookmarkEnd w:id="113"/>
      <w:bookmarkEnd w:id="114"/>
      <w:bookmarkEnd w:id="115"/>
      <w:bookmarkEnd w:id="116"/>
      <w:bookmarkEnd w:id="117"/>
    </w:p>
    <w:p>
      <w:pPr>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（一）服务方案（格式自定）</w:t>
      </w:r>
    </w:p>
    <w:p>
      <w:pPr>
        <w:tabs>
          <w:tab w:val="left" w:pos="6300"/>
        </w:tabs>
        <w:snapToGrid w:val="0"/>
        <w:spacing w:line="500" w:lineRule="exac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（二）服务响应偏离表</w:t>
      </w:r>
    </w:p>
    <w:p>
      <w:pPr>
        <w:pStyle w:val="32"/>
        <w:tabs>
          <w:tab w:val="left" w:pos="6300"/>
        </w:tabs>
        <w:snapToGrid w:val="0"/>
        <w:spacing w:line="50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p>
    <w:tbl>
      <w:tblPr>
        <w:tblStyle w:val="57"/>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服务需求</w:t>
            </w: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响应情况</w:t>
            </w: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658"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759"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c>
          <w:tcPr>
            <w:tcW w:w="2067" w:type="dxa"/>
            <w:vAlign w:val="center"/>
          </w:tcPr>
          <w:p>
            <w:pPr>
              <w:tabs>
                <w:tab w:val="left" w:pos="6300"/>
              </w:tabs>
              <w:snapToGrid w:val="0"/>
              <w:spacing w:line="500" w:lineRule="exact"/>
              <w:jc w:val="center"/>
              <w:outlineLvl w:val="0"/>
              <w:rPr>
                <w:rFonts w:ascii="宋体" w:hAnsi="宋体" w:cs="宋体"/>
                <w:color w:val="000000" w:themeColor="text1"/>
                <w:sz w:val="21"/>
                <w:szCs w:val="21"/>
                <w14:textFill>
                  <w14:solidFill>
                    <w14:schemeClr w14:val="tx1"/>
                  </w14:solidFill>
                </w14:textFill>
              </w:rPr>
            </w:pPr>
          </w:p>
        </w:tc>
      </w:tr>
    </w:tbl>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供应商：                            法定代表人（或其授权代表）或自然人：</w:t>
      </w:r>
    </w:p>
    <w:p>
      <w:pPr>
        <w:spacing w:line="500" w:lineRule="exact"/>
        <w:rPr>
          <w:rFonts w:ascii="宋体" w:hAnsi="宋体" w:cs="宋体"/>
          <w:color w:val="000000" w:themeColor="text1"/>
          <w:sz w:val="24"/>
          <w:szCs w:val="28"/>
          <w14:textFill>
            <w14:solidFill>
              <w14:schemeClr w14:val="tx1"/>
            </w14:solidFill>
          </w14:textFill>
        </w:rPr>
      </w:pPr>
    </w:p>
    <w:p>
      <w:pPr>
        <w:spacing w:line="500" w:lineRule="exact"/>
        <w:ind w:firstLine="720" w:firstLineChars="30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（供应商公章）                               （签署或盖章）</w:t>
      </w:r>
    </w:p>
    <w:p>
      <w:pPr>
        <w:spacing w:line="500" w:lineRule="exact"/>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 xml:space="preserve">                                              年     月     日</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、本表即为对本项目“第二篇  采购服务需求”进行比较和响应；</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表必须按照竞争性磋商要求逐条如实填写，根据响应情况在“差异说明”项填写正偏离或负偏离及原因，完全符合的填写“无差异”，如未逐条填写或未填写差异说明，但在响应文件其余地方能体现响应本磋商文件服务需求，视同“无差异”，不作为废标条款，完全响应的也可以在本页所在处自拟承诺或声明完全响应采购文件的服务需求。</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3、本表可扩展。</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4、可附相关支撑材料。（格式自定）</w:t>
      </w:r>
    </w:p>
    <w:p>
      <w:pPr>
        <w:pStyle w:val="5"/>
        <w:spacing w:before="0"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b w:val="0"/>
          <w:color w:val="000000" w:themeColor="text1"/>
          <w14:textFill>
            <w14:solidFill>
              <w14:schemeClr w14:val="tx1"/>
            </w14:solidFill>
          </w14:textFill>
        </w:rPr>
        <w:br w:type="page"/>
      </w:r>
      <w:bookmarkStart w:id="118" w:name="_Toc499576266"/>
      <w:bookmarkStart w:id="119" w:name="_Toc342913421"/>
      <w:bookmarkStart w:id="120" w:name="_Toc17833"/>
      <w:bookmarkStart w:id="121" w:name="_Toc313888362"/>
      <w:bookmarkStart w:id="122" w:name="_Toc313008358"/>
      <w:bookmarkStart w:id="123" w:name="_Toc17616"/>
      <w:r>
        <w:rPr>
          <w:rFonts w:hint="eastAsia" w:ascii="宋体" w:hAnsi="宋体" w:cs="宋体"/>
          <w:color w:val="000000" w:themeColor="text1"/>
          <w:sz w:val="24"/>
          <w:szCs w:val="24"/>
          <w14:textFill>
            <w14:solidFill>
              <w14:schemeClr w14:val="tx1"/>
            </w14:solidFill>
          </w14:textFill>
        </w:rPr>
        <w:t>三、商务部分</w:t>
      </w:r>
      <w:bookmarkEnd w:id="118"/>
      <w:bookmarkEnd w:id="119"/>
      <w:bookmarkEnd w:id="120"/>
      <w:bookmarkEnd w:id="121"/>
      <w:bookmarkEnd w:id="122"/>
      <w:bookmarkEnd w:id="123"/>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（一）商务要求响应情况：</w:t>
      </w:r>
      <w:bookmarkStart w:id="124" w:name="_Toc283382459"/>
      <w:r>
        <w:rPr>
          <w:rFonts w:hint="eastAsia" w:ascii="宋体" w:hAnsi="宋体" w:cs="宋体"/>
          <w:color w:val="000000" w:themeColor="text1"/>
          <w:sz w:val="24"/>
          <w:szCs w:val="24"/>
          <w14:textFill>
            <w14:solidFill>
              <w14:schemeClr w14:val="tx1"/>
            </w14:solidFill>
          </w14:textFill>
        </w:rPr>
        <w:t>服务期、服务地点及验收方式等（格式自定）</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（二）商务响应偏离表</w:t>
      </w:r>
    </w:p>
    <w:p>
      <w:pPr>
        <w:spacing w:line="400" w:lineRule="exact"/>
        <w:ind w:firstLine="3935" w:firstLineChars="1400"/>
        <w:rPr>
          <w:rFonts w:ascii="宋体" w:hAnsi="宋体" w:cs="宋体"/>
          <w:color w:val="000000" w:themeColor="text1"/>
          <w:sz w:val="24"/>
          <w:szCs w:val="28"/>
          <w14:textFill>
            <w14:solidFill>
              <w14:schemeClr w14:val="tx1"/>
            </w14:solidFill>
          </w14:textFill>
        </w:rPr>
      </w:pPr>
      <w:r>
        <w:rPr>
          <w:rFonts w:hint="eastAsia" w:ascii="宋体" w:hAnsi="宋体" w:cs="宋体"/>
          <w:b/>
          <w:color w:val="000000" w:themeColor="text1"/>
          <w:szCs w:val="28"/>
          <w14:textFill>
            <w14:solidFill>
              <w14:schemeClr w14:val="tx1"/>
            </w14:solidFill>
          </w14:textFill>
        </w:rPr>
        <w:t>商务响应偏离表</w:t>
      </w:r>
      <w:r>
        <w:rPr>
          <w:rFonts w:hint="eastAsia" w:ascii="宋体" w:hAnsi="宋体" w:cs="宋体"/>
          <w:color w:val="000000" w:themeColor="text1"/>
          <w:sz w:val="24"/>
          <w:szCs w:val="28"/>
          <w14:textFill>
            <w14:solidFill>
              <w14:schemeClr w14:val="tx1"/>
            </w14:solidFill>
          </w14:textFill>
        </w:rPr>
        <w:t xml:space="preserve">                              </w:t>
      </w:r>
    </w:p>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 xml:space="preserve">磋商项目名称： </w:t>
      </w:r>
    </w:p>
    <w:tbl>
      <w:tblPr>
        <w:tblStyle w:val="57"/>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序号</w:t>
            </w:r>
          </w:p>
        </w:tc>
        <w:tc>
          <w:tcPr>
            <w:tcW w:w="3179"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磋商项目商务需求</w:t>
            </w:r>
          </w:p>
        </w:tc>
        <w:tc>
          <w:tcPr>
            <w:tcW w:w="2434"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响应情况</w:t>
            </w:r>
          </w:p>
        </w:tc>
        <w:tc>
          <w:tcPr>
            <w:tcW w:w="2355"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3179"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434"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355"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3179"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434"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355"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3179"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434"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355"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3179"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434"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355"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3179"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434"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c>
          <w:tcPr>
            <w:tcW w:w="2355" w:type="dxa"/>
            <w:vAlign w:val="center"/>
          </w:tcPr>
          <w:p>
            <w:pPr>
              <w:spacing w:line="500" w:lineRule="exact"/>
              <w:ind w:firstLine="600" w:firstLineChars="250"/>
              <w:rPr>
                <w:rFonts w:ascii="宋体" w:hAnsi="宋体" w:cs="宋体"/>
                <w:color w:val="000000" w:themeColor="text1"/>
                <w:sz w:val="24"/>
                <w:szCs w:val="28"/>
                <w14:textFill>
                  <w14:solidFill>
                    <w14:schemeClr w14:val="tx1"/>
                  </w14:solidFill>
                </w14:textFill>
              </w:rPr>
            </w:pPr>
          </w:p>
        </w:tc>
      </w:tr>
    </w:tbl>
    <w:p>
      <w:pPr>
        <w:spacing w:line="500" w:lineRule="exact"/>
        <w:ind w:firstLine="600" w:firstLineChars="250"/>
        <w:rPr>
          <w:rFonts w:ascii="宋体" w:hAnsi="宋体" w:cs="宋体"/>
          <w:color w:val="000000" w:themeColor="text1"/>
          <w:sz w:val="24"/>
          <w:szCs w:val="28"/>
          <w14:textFill>
            <w14:solidFill>
              <w14:schemeClr w14:val="tx1"/>
            </w14:solidFill>
          </w14:textFill>
        </w:rPr>
      </w:pPr>
    </w:p>
    <w:p>
      <w:pPr>
        <w:spacing w:line="500" w:lineRule="exact"/>
        <w:ind w:firstLine="600" w:firstLineChars="2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供应商：                              法定代表人（或其授权代表）或自然人：</w:t>
      </w:r>
    </w:p>
    <w:p>
      <w:pPr>
        <w:spacing w:line="500" w:lineRule="exact"/>
        <w:rPr>
          <w:rFonts w:ascii="宋体" w:hAnsi="宋体" w:cs="宋体"/>
          <w:color w:val="000000" w:themeColor="text1"/>
          <w:sz w:val="24"/>
          <w:szCs w:val="28"/>
          <w14:textFill>
            <w14:solidFill>
              <w14:schemeClr w14:val="tx1"/>
            </w14:solidFill>
          </w14:textFill>
        </w:rPr>
      </w:pPr>
    </w:p>
    <w:p>
      <w:pPr>
        <w:spacing w:line="500" w:lineRule="exact"/>
        <w:ind w:firstLine="360" w:firstLineChars="150"/>
        <w:rPr>
          <w:rFonts w:ascii="宋体" w:hAnsi="宋体" w:cs="宋体"/>
          <w:color w:val="000000" w:themeColor="text1"/>
          <w:sz w:val="24"/>
          <w:szCs w:val="28"/>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（供应商公章）                                 （签署或盖章）</w:t>
      </w: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8"/>
          <w14:textFill>
            <w14:solidFill>
              <w14:schemeClr w14:val="tx1"/>
            </w14:solidFill>
          </w14:textFill>
        </w:rPr>
        <w:t xml:space="preserve">                                            年     月     日</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、本表即为对本项目“第三篇 采购商务需求”进行比较和响应；</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表必须按照竞争性磋商要求逐条如实填写，根据响应情况在“差异说明”项填写正偏离或负偏离及原因，完全符合的填写“无差异”，如未逐条填写或未填写差异说明，但在响应文件其余地方能体现响应本磋商文件商务需求，视同“无差异”，不作为废标条款，完全响应的也可以在本页所在处自拟承诺或声明完全响应采购文件的商务需求。</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3、本表可扩展。</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p>
    <w:p>
      <w:pPr>
        <w:tabs>
          <w:tab w:val="left" w:pos="6300"/>
        </w:tabs>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（三）其它优惠承诺（格式自定）</w:t>
      </w:r>
    </w:p>
    <w:p>
      <w:pPr>
        <w:pStyle w:val="5"/>
        <w:spacing w:before="0" w:after="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bookmarkEnd w:id="124"/>
      <w:bookmarkStart w:id="125" w:name="_Toc6903"/>
      <w:bookmarkStart w:id="126" w:name="_Toc342913422"/>
      <w:bookmarkStart w:id="127" w:name="_Toc313008359"/>
      <w:bookmarkStart w:id="128" w:name="_Toc499576267"/>
      <w:bookmarkStart w:id="129" w:name="_Toc29768"/>
      <w:bookmarkStart w:id="130" w:name="_Toc313888363"/>
      <w:r>
        <w:rPr>
          <w:rFonts w:hint="eastAsia" w:ascii="宋体" w:hAnsi="宋体" w:cs="宋体"/>
          <w:color w:val="000000" w:themeColor="text1"/>
          <w:sz w:val="24"/>
          <w:szCs w:val="24"/>
          <w14:textFill>
            <w14:solidFill>
              <w14:schemeClr w14:val="tx1"/>
            </w14:solidFill>
          </w14:textFill>
        </w:rPr>
        <w:t>四、资格条件及其他</w:t>
      </w:r>
      <w:bookmarkEnd w:id="125"/>
      <w:bookmarkEnd w:id="126"/>
      <w:bookmarkEnd w:id="127"/>
      <w:bookmarkEnd w:id="128"/>
      <w:bookmarkEnd w:id="129"/>
      <w:bookmarkEnd w:id="130"/>
    </w:p>
    <w:p>
      <w:pPr>
        <w:tabs>
          <w:tab w:val="left" w:pos="6300"/>
        </w:tabs>
        <w:snapToGrid w:val="0"/>
        <w:spacing w:line="500" w:lineRule="exact"/>
        <w:ind w:firstLine="5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（一）法人营业执照（副本）或事业单位法人证书（副本）或个体工商户营业执照或有效的自然人身份证明或社会团体法人登记证书复印件</w:t>
      </w:r>
    </w:p>
    <w:p>
      <w:pPr>
        <w:tabs>
          <w:tab w:val="left" w:pos="6300"/>
        </w:tabs>
        <w:snapToGrid w:val="0"/>
        <w:spacing w:line="500" w:lineRule="exact"/>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pStyle w:val="55"/>
        <w:rPr>
          <w:rFonts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p>
    <w:p>
      <w:pPr>
        <w:widowControl/>
        <w:ind w:firstLine="56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（二）法定代表人身份证明书（格式）</w:t>
      </w:r>
    </w:p>
    <w:p>
      <w:pPr>
        <w:pStyle w:val="5"/>
        <w:rPr>
          <w:rFonts w:ascii="宋体" w:hAnsi="宋体" w:cs="宋体"/>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磋商项目名称：</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570"/>
        <w:rPr>
          <w:rFonts w:ascii="宋体" w:hAnsi="宋体" w:cs="宋体"/>
          <w:sz w:val="24"/>
        </w:rPr>
      </w:pPr>
      <w:r>
        <w:rPr>
          <w:rFonts w:hint="eastAsia" w:ascii="宋体" w:hAnsi="宋体" w:cs="宋体"/>
          <w:sz w:val="24"/>
          <w:u w:val="single"/>
        </w:rPr>
        <w:t xml:space="preserve">        </w:t>
      </w:r>
      <w:r>
        <w:rPr>
          <w:rFonts w:hint="eastAsia" w:ascii="宋体" w:hAnsi="宋体" w:cs="宋体"/>
          <w:sz w:val="24"/>
        </w:rPr>
        <w:t>（法定代表人姓名）在</w:t>
      </w:r>
      <w:r>
        <w:rPr>
          <w:rFonts w:hint="eastAsia" w:ascii="宋体" w:hAnsi="宋体" w:cs="宋体"/>
          <w:sz w:val="24"/>
          <w:u w:val="single"/>
        </w:rPr>
        <w:t xml:space="preserve">                       </w:t>
      </w:r>
      <w:r>
        <w:rPr>
          <w:rFonts w:hint="eastAsia" w:ascii="宋体" w:hAnsi="宋体" w:cs="宋体"/>
          <w:sz w:val="24"/>
        </w:rPr>
        <w:t>（供应商名称）任</w:t>
      </w:r>
      <w:r>
        <w:rPr>
          <w:rFonts w:hint="eastAsia" w:ascii="宋体" w:hAnsi="宋体" w:cs="宋体"/>
          <w:sz w:val="24"/>
          <w:u w:val="single"/>
        </w:rPr>
        <w:t xml:space="preserve">    </w:t>
      </w:r>
      <w:r>
        <w:rPr>
          <w:rFonts w:hint="eastAsia" w:ascii="宋体" w:hAnsi="宋体" w:cs="宋体"/>
          <w:sz w:val="24"/>
        </w:rPr>
        <w:t>（职务名称）职务，是（供应商名称）</w:t>
      </w:r>
      <w:r>
        <w:rPr>
          <w:rFonts w:hint="eastAsia" w:ascii="宋体" w:hAnsi="宋体" w:cs="宋体"/>
          <w:sz w:val="24"/>
          <w:u w:val="single"/>
        </w:rPr>
        <w:t xml:space="preserve">              </w:t>
      </w:r>
      <w:r>
        <w:rPr>
          <w:rFonts w:hint="eastAsia" w:ascii="宋体" w:hAnsi="宋体" w:cs="宋体"/>
          <w:sz w:val="24"/>
        </w:rPr>
        <w:t>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（供应商公章）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法定代表人电话：XXXXXXX      电子邮箱：XXXXXX@XXXXX（若授权他人办理并签署响应文件的可不填写）</w:t>
      </w: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p>
    <w:p>
      <w:pPr>
        <w:tabs>
          <w:tab w:val="left" w:pos="6300"/>
        </w:tabs>
        <w:snapToGrid w:val="0"/>
        <w:spacing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column"/>
      </w:r>
      <w:r>
        <w:rPr>
          <w:rFonts w:hint="eastAsia" w:ascii="宋体" w:hAnsi="宋体" w:cs="宋体"/>
          <w:color w:val="000000" w:themeColor="text1"/>
          <w14:textFill>
            <w14:solidFill>
              <w14:schemeClr w14:val="tx1"/>
            </w14:solidFill>
          </w14:textFill>
        </w:rPr>
        <w:t>（三）法定代表人授权委托书（格式）</w:t>
      </w: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（供应商法定代表人名称）是</w:t>
      </w:r>
      <w:r>
        <w:rPr>
          <w:rFonts w:hint="eastAsia" w:ascii="宋体" w:hAnsi="宋体" w:cs="宋体"/>
          <w:sz w:val="24"/>
          <w:u w:val="single"/>
        </w:rPr>
        <w:t xml:space="preserve">                    </w:t>
      </w:r>
      <w:r>
        <w:rPr>
          <w:rFonts w:hint="eastAsia" w:ascii="宋体" w:hAnsi="宋体" w:cs="宋体"/>
          <w:sz w:val="24"/>
        </w:rPr>
        <w:t>（供应商名称）的法定代表人，特授权</w:t>
      </w:r>
      <w:r>
        <w:rPr>
          <w:rFonts w:hint="eastAsia" w:ascii="宋体" w:hAnsi="宋体" w:cs="宋体"/>
          <w:sz w:val="24"/>
          <w:u w:val="single"/>
        </w:rPr>
        <w:t xml:space="preserve">          </w:t>
      </w:r>
      <w:r>
        <w:rPr>
          <w:rFonts w:hint="eastAsia" w:ascii="宋体" w:hAnsi="宋体" w:cs="宋体"/>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w:t>
      </w:r>
      <w:r>
        <w:rPr>
          <w:rFonts w:hint="eastAsia" w:ascii="宋体" w:hAnsi="宋体" w:cs="宋体"/>
          <w:sz w:val="24"/>
          <w:szCs w:val="28"/>
        </w:rPr>
        <w:t>签署</w:t>
      </w:r>
      <w:r>
        <w:rPr>
          <w:rFonts w:hint="eastAsia" w:ascii="宋体" w:hAnsi="宋体" w:cs="宋体"/>
          <w:sz w:val="24"/>
        </w:rPr>
        <w:t>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供应商法定代表人：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（签署或盖章）                                （签署或盖章）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宋体" w:hAnsi="宋体" w:cs="宋体"/>
          <w:sz w:val="24"/>
        </w:rPr>
      </w:pP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注：若为法定代表人办理并签署响应文件的，不提供此文件。</w:t>
      </w:r>
    </w:p>
    <w:p>
      <w:pPr>
        <w:tabs>
          <w:tab w:val="left" w:pos="6300"/>
        </w:tabs>
        <w:snapToGrid w:val="0"/>
        <w:spacing w:line="500" w:lineRule="exact"/>
        <w:ind w:firstLine="57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tabs>
          <w:tab w:val="left" w:pos="6300"/>
        </w:tabs>
        <w:snapToGrid w:val="0"/>
        <w:spacing w:line="500" w:lineRule="exact"/>
        <w:rPr>
          <w:rFonts w:ascii="宋体" w:hAnsi="宋体" w:cs="宋体"/>
        </w:rPr>
      </w:pPr>
      <w:r>
        <w:rPr>
          <w:rFonts w:hint="eastAsia" w:ascii="宋体" w:hAnsi="宋体" w:cs="宋体"/>
          <w:color w:val="000000" w:themeColor="text1"/>
          <w14:textFill>
            <w14:solidFill>
              <w14:schemeClr w14:val="tx1"/>
            </w14:solidFill>
          </w14:textFill>
        </w:rPr>
        <w:t>（四）</w:t>
      </w:r>
      <w:r>
        <w:rPr>
          <w:rFonts w:hint="eastAsia" w:ascii="宋体" w:hAnsi="宋体" w:cs="宋体"/>
        </w:rPr>
        <w:t>基本资格条件承诺函</w:t>
      </w:r>
    </w:p>
    <w:p>
      <w:pPr>
        <w:tabs>
          <w:tab w:val="left" w:pos="6300"/>
        </w:tabs>
        <w:snapToGrid w:val="0"/>
        <w:spacing w:line="500" w:lineRule="exact"/>
        <w:ind w:firstLine="560" w:firstLineChars="200"/>
        <w:rPr>
          <w:rFonts w:ascii="宋体" w:hAnsi="宋体" w:cs="宋体"/>
        </w:rPr>
      </w:pPr>
    </w:p>
    <w:p>
      <w:pPr>
        <w:tabs>
          <w:tab w:val="left" w:pos="6300"/>
        </w:tabs>
        <w:snapToGrid w:val="0"/>
        <w:spacing w:line="500" w:lineRule="exact"/>
        <w:ind w:firstLine="2714" w:firstLineChars="901"/>
        <w:rPr>
          <w:rFonts w:ascii="宋体" w:hAnsi="宋体" w:cs="宋体"/>
          <w:b/>
          <w:bCs/>
          <w:sz w:val="30"/>
          <w:szCs w:val="30"/>
        </w:rPr>
      </w:pPr>
      <w:r>
        <w:rPr>
          <w:rFonts w:hint="eastAsia" w:ascii="宋体" w:hAnsi="宋体" w:cs="宋体"/>
          <w:b/>
          <w:bCs/>
          <w:sz w:val="30"/>
          <w:szCs w:val="30"/>
        </w:rPr>
        <w:t>基本资格条件承诺函</w:t>
      </w:r>
    </w:p>
    <w:p>
      <w:pPr>
        <w:tabs>
          <w:tab w:val="left" w:pos="6300"/>
        </w:tabs>
        <w:snapToGrid w:val="0"/>
        <w:spacing w:line="530" w:lineRule="exact"/>
        <w:rPr>
          <w:rFonts w:ascii="宋体" w:hAnsi="宋体" w:cs="宋体"/>
          <w:sz w:val="24"/>
        </w:rPr>
      </w:pPr>
    </w:p>
    <w:p>
      <w:pPr>
        <w:tabs>
          <w:tab w:val="left" w:pos="6300"/>
        </w:tabs>
        <w:snapToGrid w:val="0"/>
        <w:spacing w:line="53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（采购代理机构名称）：</w:t>
      </w:r>
    </w:p>
    <w:p>
      <w:pPr>
        <w:tabs>
          <w:tab w:val="left" w:pos="6300"/>
        </w:tabs>
        <w:snapToGrid w:val="0"/>
        <w:spacing w:line="530" w:lineRule="exact"/>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（供应商名称）郑重承诺：</w:t>
      </w:r>
    </w:p>
    <w:p>
      <w:pPr>
        <w:spacing w:line="530" w:lineRule="exact"/>
        <w:ind w:firstLine="480" w:firstLineChars="200"/>
        <w:rPr>
          <w:rFonts w:ascii="宋体" w:hAnsi="宋体" w:cs="宋体"/>
          <w:sz w:val="24"/>
          <w:szCs w:val="24"/>
        </w:rPr>
      </w:pPr>
      <w:r>
        <w:rPr>
          <w:rFonts w:hint="eastAsia" w:ascii="宋体" w:hAnsi="宋体" w:cs="宋体"/>
          <w:sz w:val="24"/>
          <w:szCs w:val="24"/>
        </w:rPr>
        <w:t>1.我方具有良好的商业信誉和健全的财务会计制度，具有履行合同所必需的设备和专业技术能力，具</w:t>
      </w:r>
      <w:r>
        <w:rPr>
          <w:rFonts w:hint="eastAsia" w:ascii="宋体" w:hAnsi="宋体" w:cs="宋体"/>
          <w:sz w:val="24"/>
          <w:szCs w:val="24"/>
          <w:lang w:val="zh-CN"/>
        </w:rPr>
        <w:t>有依法缴纳税收和社会保障金的良好记录</w:t>
      </w:r>
      <w:r>
        <w:rPr>
          <w:rFonts w:hint="eastAsia" w:ascii="宋体" w:hAnsi="宋体" w:cs="宋体"/>
          <w:sz w:val="24"/>
          <w:szCs w:val="24"/>
        </w:rPr>
        <w:t>，参加本项目采购活动前三年内无重大违法活动记录。</w:t>
      </w:r>
    </w:p>
    <w:p>
      <w:pPr>
        <w:spacing w:line="530" w:lineRule="exact"/>
        <w:ind w:firstLine="480" w:firstLineChars="200"/>
        <w:rPr>
          <w:rFonts w:ascii="宋体" w:hAnsi="宋体" w:cs="宋体"/>
          <w:sz w:val="24"/>
          <w:szCs w:val="24"/>
        </w:rPr>
      </w:pPr>
      <w:r>
        <w:rPr>
          <w:rFonts w:hint="eastAsia" w:ascii="宋体" w:hAnsi="宋体" w:cs="宋体"/>
          <w:sz w:val="24"/>
          <w:szCs w:val="24"/>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ascii="宋体" w:hAnsi="宋体" w:cs="宋体"/>
          <w:sz w:val="24"/>
          <w:szCs w:val="24"/>
        </w:rPr>
      </w:pPr>
      <w:r>
        <w:rPr>
          <w:rFonts w:hint="eastAsia" w:ascii="宋体" w:hAnsi="宋体" w:cs="宋体"/>
          <w:sz w:val="24"/>
          <w:szCs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30" w:lineRule="exact"/>
        <w:ind w:firstLine="480" w:firstLineChars="200"/>
        <w:rPr>
          <w:rFonts w:ascii="宋体" w:hAnsi="宋体" w:cs="宋体"/>
          <w:sz w:val="24"/>
          <w:szCs w:val="24"/>
        </w:rPr>
      </w:pPr>
      <w:r>
        <w:rPr>
          <w:rFonts w:hint="eastAsia" w:ascii="宋体" w:hAnsi="宋体" w:cs="宋体"/>
          <w:sz w:val="24"/>
          <w:szCs w:val="24"/>
        </w:rPr>
        <w:t>我方对以上承诺负全部法律责任。</w:t>
      </w:r>
    </w:p>
    <w:p>
      <w:pPr>
        <w:tabs>
          <w:tab w:val="left" w:pos="6300"/>
        </w:tabs>
        <w:snapToGrid w:val="0"/>
        <w:spacing w:line="530" w:lineRule="exact"/>
        <w:ind w:firstLine="480" w:firstLineChars="200"/>
        <w:rPr>
          <w:rFonts w:ascii="宋体" w:hAnsi="宋体" w:cs="宋体"/>
          <w:sz w:val="24"/>
          <w:szCs w:val="24"/>
        </w:rPr>
      </w:pPr>
      <w:r>
        <w:rPr>
          <w:rFonts w:hint="eastAsia" w:ascii="宋体" w:hAnsi="宋体" w:cs="宋体"/>
          <w:sz w:val="24"/>
          <w:szCs w:val="24"/>
        </w:rPr>
        <w:t>特此承诺。</w:t>
      </w:r>
    </w:p>
    <w:p>
      <w:pPr>
        <w:tabs>
          <w:tab w:val="left" w:pos="6300"/>
        </w:tabs>
        <w:snapToGrid w:val="0"/>
        <w:spacing w:line="530" w:lineRule="exact"/>
        <w:rPr>
          <w:rFonts w:ascii="宋体" w:hAnsi="宋体" w:cs="宋体"/>
          <w:sz w:val="24"/>
          <w:szCs w:val="24"/>
        </w:rPr>
      </w:pPr>
    </w:p>
    <w:p>
      <w:pPr>
        <w:tabs>
          <w:tab w:val="left" w:pos="6300"/>
        </w:tabs>
        <w:snapToGrid w:val="0"/>
        <w:spacing w:line="530" w:lineRule="exact"/>
        <w:ind w:right="424" w:firstLine="570"/>
        <w:jc w:val="right"/>
        <w:rPr>
          <w:rFonts w:ascii="宋体" w:hAnsi="宋体" w:cs="宋体"/>
          <w:sz w:val="24"/>
          <w:szCs w:val="24"/>
        </w:rPr>
      </w:pPr>
      <w:r>
        <w:rPr>
          <w:rFonts w:hint="eastAsia" w:ascii="宋体" w:hAnsi="宋体" w:cs="宋体"/>
          <w:sz w:val="24"/>
          <w:szCs w:val="24"/>
        </w:rPr>
        <w:t>（供应商公章或自然人签署）</w:t>
      </w:r>
    </w:p>
    <w:p>
      <w:pPr>
        <w:tabs>
          <w:tab w:val="left" w:pos="6300"/>
        </w:tabs>
        <w:snapToGrid w:val="0"/>
        <w:spacing w:line="500" w:lineRule="exact"/>
        <w:ind w:firstLine="7442" w:firstLineChars="3101"/>
        <w:rPr>
          <w:rFonts w:ascii="宋体" w:hAnsi="宋体" w:cs="宋体"/>
          <w:sz w:val="24"/>
          <w:szCs w:val="24"/>
        </w:rPr>
      </w:pPr>
      <w:r>
        <w:rPr>
          <w:rFonts w:hint="eastAsia" w:ascii="宋体" w:hAnsi="宋体" w:cs="宋体"/>
          <w:sz w:val="24"/>
          <w:szCs w:val="24"/>
        </w:rPr>
        <w:t>年   月   日</w:t>
      </w:r>
    </w:p>
    <w:p>
      <w:pPr>
        <w:tabs>
          <w:tab w:val="left" w:pos="6300"/>
        </w:tabs>
        <w:snapToGrid w:val="0"/>
        <w:spacing w:line="500" w:lineRule="exact"/>
        <w:ind w:firstLine="560" w:firstLineChars="200"/>
        <w:rPr>
          <w:rFonts w:ascii="宋体" w:hAnsi="宋体" w:cs="宋体"/>
        </w:rPr>
      </w:pPr>
    </w:p>
    <w:p>
      <w:pPr>
        <w:tabs>
          <w:tab w:val="left" w:pos="6300"/>
        </w:tabs>
        <w:snapToGrid w:val="0"/>
        <w:spacing w:line="500" w:lineRule="exact"/>
        <w:ind w:firstLine="280" w:firstLineChars="10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rPr>
          <w:rFonts w:ascii="宋体" w:hAnsi="宋体" w:cs="宋体"/>
          <w:color w:val="000000" w:themeColor="text1"/>
          <w14:textFill>
            <w14:solidFill>
              <w14:schemeClr w14:val="tx1"/>
            </w14:solidFill>
          </w14:textFill>
        </w:rPr>
      </w:pPr>
    </w:p>
    <w:p>
      <w:pPr>
        <w:tabs>
          <w:tab w:val="left" w:pos="6300"/>
        </w:tabs>
        <w:snapToGrid w:val="0"/>
        <w:spacing w:line="500" w:lineRule="exact"/>
        <w:rPr>
          <w:rFonts w:ascii="宋体" w:hAnsi="宋体" w:cs="宋体"/>
          <w:color w:val="000000" w:themeColor="text1"/>
          <w14:textFill>
            <w14:solidFill>
              <w14:schemeClr w14:val="tx1"/>
            </w14:solidFill>
          </w14:textFill>
        </w:rPr>
      </w:pPr>
    </w:p>
    <w:p>
      <w:pPr>
        <w:tabs>
          <w:tab w:val="left" w:pos="6300"/>
        </w:tabs>
        <w:snapToGrid w:val="0"/>
        <w:spacing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（五）特定资格条件证书或证明文件（如有）</w:t>
      </w:r>
    </w:p>
    <w:p>
      <w:pPr>
        <w:tabs>
          <w:tab w:val="left" w:pos="6300"/>
        </w:tabs>
        <w:snapToGrid w:val="0"/>
        <w:spacing w:line="360" w:lineRule="auto"/>
        <w:ind w:firstLine="560" w:firstLineChars="200"/>
        <w:rPr>
          <w:rFonts w:ascii="宋体" w:hAnsi="宋体" w:cs="宋体"/>
          <w:color w:val="000000" w:themeColor="text1"/>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bookmarkStart w:id="131" w:name="_Toc14422"/>
      <w:bookmarkStart w:id="132" w:name="_Toc499576268"/>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bookmarkStart w:id="133" w:name="_Toc28583"/>
      <w:r>
        <w:rPr>
          <w:rFonts w:hint="eastAsia" w:ascii="宋体" w:hAnsi="宋体" w:cs="宋体"/>
          <w:color w:val="000000" w:themeColor="text1"/>
          <w:sz w:val="24"/>
          <w:szCs w:val="24"/>
          <w14:textFill>
            <w14:solidFill>
              <w14:schemeClr w14:val="tx1"/>
            </w14:solidFill>
          </w14:textFill>
        </w:rPr>
        <w:br w:type="page"/>
      </w:r>
    </w:p>
    <w:p>
      <w:pPr>
        <w:pStyle w:val="5"/>
        <w:spacing w:before="0" w:after="0" w:line="360" w:lineRule="auto"/>
        <w:rPr>
          <w:rFonts w:ascii="宋体" w:hAnsi="宋体" w:cs="宋体"/>
          <w:color w:val="000000" w:themeColor="text1"/>
          <w:sz w:val="24"/>
          <w:szCs w:val="24"/>
          <w14:textFill>
            <w14:solidFill>
              <w14:schemeClr w14:val="tx1"/>
            </w14:solidFill>
          </w14:textFill>
        </w:rPr>
      </w:pPr>
      <w:bookmarkStart w:id="134" w:name="_Toc28689"/>
      <w:r>
        <w:rPr>
          <w:rFonts w:hint="eastAsia" w:ascii="宋体" w:hAnsi="宋体" w:cs="宋体"/>
          <w:color w:val="000000" w:themeColor="text1"/>
          <w:sz w:val="24"/>
          <w:szCs w:val="24"/>
          <w14:textFill>
            <w14:solidFill>
              <w14:schemeClr w14:val="tx1"/>
            </w14:solidFill>
          </w14:textFill>
        </w:rPr>
        <w:t>五、其他资料</w:t>
      </w:r>
      <w:bookmarkEnd w:id="131"/>
      <w:bookmarkEnd w:id="132"/>
      <w:bookmarkEnd w:id="133"/>
      <w:bookmarkEnd w:id="134"/>
    </w:p>
    <w:p>
      <w:pPr>
        <w:tabs>
          <w:tab w:val="left" w:pos="6300"/>
        </w:tabs>
        <w:snapToGrid w:val="0"/>
        <w:spacing w:line="400" w:lineRule="exact"/>
        <w:ind w:firstLine="480" w:firstLineChars="200"/>
        <w:rPr>
          <w:rFonts w:ascii="宋体" w:hAnsi="宋体" w:cs="宋体"/>
          <w:sz w:val="24"/>
          <w:szCs w:val="24"/>
        </w:rPr>
      </w:pPr>
      <w:r>
        <w:rPr>
          <w:rFonts w:hint="eastAsia" w:ascii="宋体" w:hAnsi="宋体" w:cs="宋体"/>
          <w:sz w:val="24"/>
          <w:szCs w:val="24"/>
        </w:rPr>
        <w:t>（一）中小企业声明函、监狱企业证明文件、残疾人福利性单位声明函</w:t>
      </w:r>
    </w:p>
    <w:p>
      <w:pPr>
        <w:tabs>
          <w:tab w:val="left" w:pos="6300"/>
        </w:tabs>
        <w:snapToGrid w:val="0"/>
        <w:spacing w:line="500" w:lineRule="exact"/>
        <w:ind w:firstLine="560" w:firstLineChars="200"/>
        <w:jc w:val="center"/>
        <w:rPr>
          <w:rFonts w:ascii="宋体" w:hAnsi="宋体" w:cs="宋体"/>
        </w:rPr>
      </w:pPr>
      <w:r>
        <w:rPr>
          <w:rFonts w:hint="eastAsia" w:ascii="宋体" w:hAnsi="宋体" w:cs="宋体"/>
        </w:rPr>
        <w:t>中小企业声明函</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本公司郑重声明，根据《政府采购促进中小企业发展管理办法》（</w:t>
      </w:r>
      <w:r>
        <w:rPr>
          <w:rFonts w:hint="eastAsia" w:ascii="宋体" w:hAnsi="宋体" w:cs="宋体"/>
          <w:sz w:val="24"/>
          <w:szCs w:val="24"/>
        </w:rPr>
        <w:t>财库〔2020〕46号</w:t>
      </w:r>
      <w:r>
        <w:rPr>
          <w:rFonts w:hint="eastAsia" w:ascii="宋体" w:hAnsi="宋体" w:cs="宋体"/>
          <w:sz w:val="24"/>
          <w:szCs w:val="28"/>
        </w:rPr>
        <w:t>）的规定，本公司参加</w:t>
      </w:r>
      <w:r>
        <w:rPr>
          <w:rFonts w:hint="eastAsia" w:ascii="宋体" w:hAnsi="宋体" w:cs="宋体"/>
          <w:i/>
          <w:sz w:val="24"/>
          <w:szCs w:val="28"/>
          <w:u w:val="single"/>
        </w:rPr>
        <w:t>（单位名称）</w:t>
      </w:r>
      <w:r>
        <w:rPr>
          <w:rFonts w:hint="eastAsia" w:ascii="宋体" w:hAnsi="宋体" w:cs="宋体"/>
          <w:sz w:val="24"/>
          <w:szCs w:val="28"/>
        </w:rPr>
        <w:t>的</w:t>
      </w:r>
      <w:r>
        <w:rPr>
          <w:rFonts w:hint="eastAsia" w:ascii="宋体" w:hAnsi="宋体" w:cs="宋体"/>
          <w:i/>
          <w:sz w:val="24"/>
          <w:szCs w:val="28"/>
          <w:u w:val="single"/>
        </w:rPr>
        <w:t>（项目名称）</w:t>
      </w:r>
      <w:r>
        <w:rPr>
          <w:rFonts w:hint="eastAsia" w:ascii="宋体" w:hAnsi="宋体" w:cs="宋体"/>
          <w:sz w:val="24"/>
          <w:szCs w:val="28"/>
        </w:rPr>
        <w:t>采购活动，工程的施工单位全部为符合政策要求的中小企业（或者：服务全部由符合政策要求的中小企业承接）。相关企业的具体情况如下：</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1.</w:t>
      </w:r>
      <w:r>
        <w:rPr>
          <w:rFonts w:hint="eastAsia" w:ascii="宋体" w:hAnsi="宋体" w:cs="宋体"/>
          <w:i/>
          <w:sz w:val="24"/>
          <w:szCs w:val="28"/>
          <w:u w:val="single"/>
        </w:rPr>
        <w:t>（标的名称）</w:t>
      </w:r>
      <w:r>
        <w:rPr>
          <w:rFonts w:hint="eastAsia" w:ascii="宋体" w:hAnsi="宋体" w:cs="宋体"/>
          <w:sz w:val="24"/>
          <w:szCs w:val="28"/>
        </w:rPr>
        <w:t>，属于</w:t>
      </w:r>
      <w:r>
        <w:rPr>
          <w:rFonts w:hint="eastAsia" w:ascii="宋体" w:hAnsi="宋体" w:cs="宋体"/>
          <w:i/>
          <w:sz w:val="24"/>
          <w:szCs w:val="28"/>
          <w:u w:val="single"/>
        </w:rPr>
        <w:t>（采购文件中明确的所属行业）</w:t>
      </w:r>
      <w:r>
        <w:rPr>
          <w:rFonts w:hint="eastAsia" w:ascii="宋体" w:hAnsi="宋体" w:cs="宋体"/>
          <w:sz w:val="24"/>
          <w:szCs w:val="28"/>
        </w:rPr>
        <w:t>；承建（承接）企业为</w:t>
      </w:r>
      <w:r>
        <w:rPr>
          <w:rFonts w:hint="eastAsia" w:ascii="宋体" w:hAnsi="宋体" w:cs="宋体"/>
          <w:i/>
          <w:sz w:val="24"/>
          <w:szCs w:val="28"/>
          <w:u w:val="single"/>
        </w:rPr>
        <w:t>（企业名称）</w:t>
      </w:r>
      <w:r>
        <w:rPr>
          <w:rFonts w:hint="eastAsia" w:ascii="宋体" w:hAnsi="宋体" w:cs="宋体"/>
          <w:sz w:val="24"/>
          <w:szCs w:val="28"/>
        </w:rPr>
        <w:t>，从业人员</w:t>
      </w:r>
      <w:r>
        <w:rPr>
          <w:rFonts w:hint="eastAsia" w:ascii="宋体" w:hAnsi="宋体" w:cs="宋体"/>
          <w:sz w:val="24"/>
          <w:szCs w:val="28"/>
          <w:u w:val="single"/>
        </w:rPr>
        <w:t xml:space="preserve">      </w:t>
      </w:r>
      <w:r>
        <w:rPr>
          <w:rFonts w:hint="eastAsia" w:ascii="宋体" w:hAnsi="宋体" w:cs="宋体"/>
          <w:sz w:val="24"/>
          <w:szCs w:val="28"/>
        </w:rPr>
        <w:t>人，营业收入为</w:t>
      </w:r>
      <w:r>
        <w:rPr>
          <w:rFonts w:hint="eastAsia" w:ascii="宋体" w:hAnsi="宋体" w:cs="宋体"/>
          <w:sz w:val="24"/>
          <w:szCs w:val="28"/>
          <w:u w:val="single"/>
        </w:rPr>
        <w:t xml:space="preserve">    </w:t>
      </w:r>
      <w:r>
        <w:rPr>
          <w:rFonts w:hint="eastAsia" w:ascii="宋体" w:hAnsi="宋体" w:cs="宋体"/>
          <w:sz w:val="24"/>
          <w:szCs w:val="28"/>
        </w:rPr>
        <w:t>万元，资产总额为</w:t>
      </w:r>
      <w:r>
        <w:rPr>
          <w:rFonts w:hint="eastAsia" w:ascii="宋体" w:hAnsi="宋体" w:cs="宋体"/>
          <w:sz w:val="24"/>
          <w:szCs w:val="28"/>
          <w:u w:val="single"/>
        </w:rPr>
        <w:t xml:space="preserve">    </w:t>
      </w:r>
      <w:r>
        <w:rPr>
          <w:rFonts w:hint="eastAsia" w:ascii="宋体" w:hAnsi="宋体" w:cs="宋体"/>
          <w:sz w:val="24"/>
          <w:szCs w:val="28"/>
        </w:rPr>
        <w:t>万元，属于</w:t>
      </w:r>
      <w:r>
        <w:rPr>
          <w:rFonts w:hint="eastAsia" w:ascii="宋体" w:hAnsi="宋体" w:cs="宋体"/>
          <w:i/>
          <w:sz w:val="24"/>
          <w:szCs w:val="28"/>
          <w:u w:val="single"/>
        </w:rPr>
        <w:t>（中型企业、小型企业、微型企业）</w:t>
      </w:r>
      <w:r>
        <w:rPr>
          <w:rFonts w:hint="eastAsia" w:ascii="宋体" w:hAnsi="宋体" w:cs="宋体"/>
          <w:sz w:val="24"/>
          <w:szCs w:val="28"/>
        </w:rPr>
        <w:t>；</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为本标的提供的服务人员</w:t>
      </w:r>
      <w:r>
        <w:rPr>
          <w:rFonts w:hint="eastAsia" w:ascii="宋体" w:hAnsi="宋体" w:cs="宋体"/>
          <w:sz w:val="24"/>
          <w:szCs w:val="28"/>
          <w:u w:val="single"/>
        </w:rPr>
        <w:t xml:space="preserve">   </w:t>
      </w:r>
      <w:r>
        <w:rPr>
          <w:rFonts w:hint="eastAsia" w:ascii="宋体" w:hAnsi="宋体" w:cs="宋体"/>
          <w:sz w:val="24"/>
          <w:szCs w:val="28"/>
        </w:rPr>
        <w:t>人，其中与本企业签订劳动合同</w:t>
      </w:r>
      <w:r>
        <w:rPr>
          <w:rFonts w:hint="eastAsia" w:ascii="宋体" w:hAnsi="宋体" w:cs="宋体"/>
          <w:sz w:val="24"/>
          <w:szCs w:val="28"/>
          <w:u w:val="single"/>
        </w:rPr>
        <w:t xml:space="preserve">   </w:t>
      </w:r>
      <w:r>
        <w:rPr>
          <w:rFonts w:hint="eastAsia" w:ascii="宋体" w:hAnsi="宋体" w:cs="宋体"/>
          <w:sz w:val="24"/>
          <w:szCs w:val="28"/>
        </w:rPr>
        <w:t>人，其他人员</w:t>
      </w:r>
      <w:r>
        <w:rPr>
          <w:rFonts w:hint="eastAsia" w:ascii="宋体" w:hAnsi="宋体" w:cs="宋体"/>
          <w:sz w:val="24"/>
          <w:szCs w:val="28"/>
          <w:u w:val="single"/>
        </w:rPr>
        <w:t xml:space="preserve">   </w:t>
      </w:r>
      <w:r>
        <w:rPr>
          <w:rFonts w:hint="eastAsia" w:ascii="宋体" w:hAnsi="宋体" w:cs="宋体"/>
          <w:sz w:val="24"/>
          <w:szCs w:val="28"/>
        </w:rPr>
        <w:t>人。有其他人员的不符合中小企业扶持政策（适用于服务采购项目）;</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2.</w:t>
      </w:r>
      <w:r>
        <w:rPr>
          <w:rFonts w:hint="eastAsia" w:ascii="宋体" w:hAnsi="宋体" w:cs="宋体"/>
          <w:i/>
          <w:sz w:val="24"/>
          <w:szCs w:val="28"/>
          <w:u w:val="single"/>
        </w:rPr>
        <w:t xml:space="preserve"> （标的名称）</w:t>
      </w:r>
      <w:r>
        <w:rPr>
          <w:rFonts w:hint="eastAsia" w:ascii="宋体" w:hAnsi="宋体" w:cs="宋体"/>
          <w:sz w:val="24"/>
          <w:szCs w:val="28"/>
        </w:rPr>
        <w:t>，属于</w:t>
      </w:r>
      <w:r>
        <w:rPr>
          <w:rFonts w:hint="eastAsia" w:ascii="宋体" w:hAnsi="宋体" w:cs="宋体"/>
          <w:i/>
          <w:sz w:val="24"/>
          <w:szCs w:val="28"/>
          <w:u w:val="single"/>
        </w:rPr>
        <w:t>（采购文件中明确的所属行业）</w:t>
      </w:r>
      <w:r>
        <w:rPr>
          <w:rFonts w:hint="eastAsia" w:ascii="宋体" w:hAnsi="宋体" w:cs="宋体"/>
          <w:sz w:val="24"/>
          <w:szCs w:val="28"/>
        </w:rPr>
        <w:t>；承建（承接）企业为</w:t>
      </w:r>
      <w:r>
        <w:rPr>
          <w:rFonts w:hint="eastAsia" w:ascii="宋体" w:hAnsi="宋体" w:cs="宋体"/>
          <w:i/>
          <w:sz w:val="24"/>
          <w:szCs w:val="28"/>
          <w:u w:val="single"/>
        </w:rPr>
        <w:t>（企业名称）</w:t>
      </w:r>
      <w:r>
        <w:rPr>
          <w:rFonts w:hint="eastAsia" w:ascii="宋体" w:hAnsi="宋体" w:cs="宋体"/>
          <w:sz w:val="24"/>
          <w:szCs w:val="28"/>
        </w:rPr>
        <w:t>，从业人员</w:t>
      </w:r>
      <w:r>
        <w:rPr>
          <w:rFonts w:hint="eastAsia" w:ascii="宋体" w:hAnsi="宋体" w:cs="宋体"/>
          <w:sz w:val="24"/>
          <w:szCs w:val="28"/>
          <w:u w:val="single"/>
        </w:rPr>
        <w:t xml:space="preserve">      </w:t>
      </w:r>
      <w:r>
        <w:rPr>
          <w:rFonts w:hint="eastAsia" w:ascii="宋体" w:hAnsi="宋体" w:cs="宋体"/>
          <w:sz w:val="24"/>
          <w:szCs w:val="28"/>
        </w:rPr>
        <w:t>人，营业收入为</w:t>
      </w:r>
      <w:r>
        <w:rPr>
          <w:rFonts w:hint="eastAsia" w:ascii="宋体" w:hAnsi="宋体" w:cs="宋体"/>
          <w:sz w:val="24"/>
          <w:szCs w:val="28"/>
          <w:u w:val="single"/>
        </w:rPr>
        <w:t xml:space="preserve">    </w:t>
      </w:r>
      <w:r>
        <w:rPr>
          <w:rFonts w:hint="eastAsia" w:ascii="宋体" w:hAnsi="宋体" w:cs="宋体"/>
          <w:sz w:val="24"/>
          <w:szCs w:val="28"/>
        </w:rPr>
        <w:t>万元，资产总额为</w:t>
      </w:r>
      <w:r>
        <w:rPr>
          <w:rFonts w:hint="eastAsia" w:ascii="宋体" w:hAnsi="宋体" w:cs="宋体"/>
          <w:sz w:val="24"/>
          <w:szCs w:val="28"/>
          <w:u w:val="single"/>
        </w:rPr>
        <w:t xml:space="preserve">    </w:t>
      </w:r>
      <w:r>
        <w:rPr>
          <w:rFonts w:hint="eastAsia" w:ascii="宋体" w:hAnsi="宋体" w:cs="宋体"/>
          <w:sz w:val="24"/>
          <w:szCs w:val="28"/>
        </w:rPr>
        <w:t>万元，属于</w:t>
      </w:r>
      <w:r>
        <w:rPr>
          <w:rFonts w:hint="eastAsia" w:ascii="宋体" w:hAnsi="宋体" w:cs="宋体"/>
          <w:i/>
          <w:sz w:val="24"/>
          <w:szCs w:val="28"/>
          <w:u w:val="single"/>
        </w:rPr>
        <w:t>（中型企业、小型企业、微型企业）</w:t>
      </w:r>
      <w:r>
        <w:rPr>
          <w:rFonts w:hint="eastAsia" w:ascii="宋体" w:hAnsi="宋体" w:cs="宋体"/>
          <w:sz w:val="24"/>
          <w:szCs w:val="28"/>
        </w:rPr>
        <w:t>；</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为本标的提供的服务人员</w:t>
      </w:r>
      <w:r>
        <w:rPr>
          <w:rFonts w:hint="eastAsia" w:ascii="宋体" w:hAnsi="宋体" w:cs="宋体"/>
          <w:sz w:val="24"/>
          <w:szCs w:val="28"/>
          <w:u w:val="single"/>
        </w:rPr>
        <w:t xml:space="preserve">   </w:t>
      </w:r>
      <w:r>
        <w:rPr>
          <w:rFonts w:hint="eastAsia" w:ascii="宋体" w:hAnsi="宋体" w:cs="宋体"/>
          <w:sz w:val="24"/>
          <w:szCs w:val="28"/>
        </w:rPr>
        <w:t>人，其中与本企业签订劳动合同</w:t>
      </w:r>
      <w:r>
        <w:rPr>
          <w:rFonts w:hint="eastAsia" w:ascii="宋体" w:hAnsi="宋体" w:cs="宋体"/>
          <w:sz w:val="24"/>
          <w:szCs w:val="28"/>
          <w:u w:val="single"/>
        </w:rPr>
        <w:t xml:space="preserve">   </w:t>
      </w:r>
      <w:r>
        <w:rPr>
          <w:rFonts w:hint="eastAsia" w:ascii="宋体" w:hAnsi="宋体" w:cs="宋体"/>
          <w:sz w:val="24"/>
          <w:szCs w:val="28"/>
        </w:rPr>
        <w:t>人，其他人员</w:t>
      </w:r>
      <w:r>
        <w:rPr>
          <w:rFonts w:hint="eastAsia" w:ascii="宋体" w:hAnsi="宋体" w:cs="宋体"/>
          <w:sz w:val="24"/>
          <w:szCs w:val="28"/>
          <w:u w:val="single"/>
        </w:rPr>
        <w:t xml:space="preserve">   </w:t>
      </w:r>
      <w:r>
        <w:rPr>
          <w:rFonts w:hint="eastAsia" w:ascii="宋体" w:hAnsi="宋体" w:cs="宋体"/>
          <w:sz w:val="24"/>
          <w:szCs w:val="28"/>
        </w:rPr>
        <w:t>人。有其他人员的不符合中小企业扶持政策（适用于服务采购项目）;</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本企业对上述声明内容的真实性负责。如有虚假，将依法承担相应责任。</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 xml:space="preserve">                                                    </w:t>
      </w:r>
    </w:p>
    <w:p>
      <w:pPr>
        <w:tabs>
          <w:tab w:val="left" w:pos="6300"/>
        </w:tabs>
        <w:snapToGrid w:val="0"/>
        <w:spacing w:line="500" w:lineRule="exact"/>
        <w:ind w:firstLine="6120" w:firstLineChars="2550"/>
        <w:rPr>
          <w:rFonts w:ascii="宋体" w:hAnsi="宋体" w:cs="宋体"/>
          <w:sz w:val="24"/>
          <w:szCs w:val="28"/>
        </w:rPr>
      </w:pPr>
      <w:r>
        <w:rPr>
          <w:rFonts w:hint="eastAsia" w:ascii="宋体" w:hAnsi="宋体" w:cs="宋体"/>
          <w:sz w:val="24"/>
          <w:szCs w:val="28"/>
        </w:rPr>
        <w:t xml:space="preserve">企业名称（盖章）： </w:t>
      </w:r>
    </w:p>
    <w:p>
      <w:pPr>
        <w:tabs>
          <w:tab w:val="left" w:pos="6300"/>
        </w:tabs>
        <w:snapToGrid w:val="0"/>
        <w:spacing w:line="500" w:lineRule="exact"/>
        <w:ind w:right="784" w:firstLine="6120" w:firstLineChars="2550"/>
        <w:rPr>
          <w:rFonts w:ascii="宋体" w:hAnsi="宋体" w:cs="宋体"/>
          <w:sz w:val="24"/>
        </w:rPr>
      </w:pPr>
      <w:r>
        <w:rPr>
          <w:rFonts w:hint="eastAsia" w:ascii="宋体" w:hAnsi="宋体" w:cs="宋体"/>
          <w:sz w:val="24"/>
          <w:szCs w:val="28"/>
        </w:rPr>
        <w:t>日期：</w:t>
      </w:r>
    </w:p>
    <w:p>
      <w:pPr>
        <w:pStyle w:val="56"/>
        <w:ind w:left="0" w:leftChars="0" w:firstLine="0" w:firstLineChars="0"/>
        <w:rPr>
          <w:rFonts w:ascii="宋体" w:hAnsi="宋体" w:eastAsia="宋体" w:cs="宋体"/>
        </w:rPr>
      </w:pPr>
    </w:p>
    <w:p>
      <w:pPr>
        <w:pStyle w:val="56"/>
        <w:ind w:left="0" w:leftChars="0" w:firstLine="0" w:firstLineChars="0"/>
        <w:rPr>
          <w:rFonts w:ascii="宋体" w:hAnsi="宋体" w:eastAsia="宋体" w:cs="宋体"/>
        </w:rPr>
      </w:pPr>
    </w:p>
    <w:p>
      <w:pPr>
        <w:spacing w:line="500" w:lineRule="exact"/>
        <w:rPr>
          <w:rFonts w:ascii="宋体" w:hAnsi="宋体" w:cs="宋体"/>
        </w:rPr>
      </w:pPr>
    </w:p>
    <w:p>
      <w:pPr>
        <w:tabs>
          <w:tab w:val="left" w:pos="6300"/>
        </w:tabs>
        <w:snapToGrid w:val="0"/>
        <w:rPr>
          <w:rFonts w:ascii="宋体" w:hAnsi="宋体" w:cs="宋体"/>
          <w:kern w:val="0"/>
          <w:sz w:val="21"/>
          <w:szCs w:val="21"/>
        </w:rPr>
      </w:pPr>
      <w:r>
        <w:rPr>
          <w:rFonts w:hint="eastAsia" w:ascii="宋体" w:hAnsi="宋体" w:cs="宋体"/>
          <w:kern w:val="0"/>
          <w:sz w:val="21"/>
          <w:szCs w:val="21"/>
        </w:rPr>
        <w:t>填写时应注意以下事项：</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4.</w:t>
      </w:r>
      <w:r>
        <w:rPr>
          <w:rFonts w:hint="eastAsia" w:ascii="宋体" w:hAnsi="宋体" w:cs="宋体"/>
          <w:b/>
          <w:kern w:val="0"/>
          <w:sz w:val="21"/>
          <w:szCs w:val="21"/>
          <w:u w:val="single"/>
        </w:rPr>
        <w:t>本声明函“企业名称（盖章）”处为参加磋商的供应商盖章。</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注：各行业划型标准：</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500" w:lineRule="exact"/>
        <w:rPr>
          <w:rFonts w:ascii="宋体" w:hAnsi="宋体" w:cs="宋体"/>
        </w:rPr>
      </w:pPr>
      <w:r>
        <w:rPr>
          <w:rFonts w:hint="eastAsia" w:ascii="宋体" w:hAnsi="宋体"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spacing w:line="500" w:lineRule="exact"/>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outlineLvl w:val="0"/>
        <w:rPr>
          <w:rFonts w:ascii="宋体" w:hAnsi="宋体" w:cs="宋体"/>
          <w:color w:val="000000" w:themeColor="text1"/>
          <w14:textFill>
            <w14:solidFill>
              <w14:schemeClr w14:val="tx1"/>
            </w14:solidFill>
          </w14:textFill>
        </w:rPr>
      </w:pPr>
    </w:p>
    <w:p>
      <w:pPr>
        <w:tabs>
          <w:tab w:val="left" w:pos="6300"/>
        </w:tabs>
        <w:snapToGrid w:val="0"/>
        <w:spacing w:line="500" w:lineRule="exact"/>
        <w:ind w:firstLine="56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sz w:val="29"/>
          <w:szCs w:val="29"/>
          <w14:textFill>
            <w14:solidFill>
              <w14:schemeClr w14:val="tx1"/>
            </w14:solidFill>
          </w14:textFill>
        </w:rPr>
        <w:t>监狱企业证明文件</w:t>
      </w:r>
    </w:p>
    <w:p>
      <w:pPr>
        <w:tabs>
          <w:tab w:val="left" w:pos="6300"/>
        </w:tabs>
        <w:snapToGrid w:val="0"/>
        <w:spacing w:line="500" w:lineRule="exact"/>
        <w:ind w:firstLine="48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以省级以上监狱管理局、戒毒管理局（含新疆生产建设兵团）出具的属于监狱企业的证明文件为准。</w:t>
      </w:r>
      <w:r>
        <w:rPr>
          <w:rFonts w:hint="eastAsia" w:ascii="宋体" w:hAnsi="宋体" w:cs="宋体"/>
          <w:color w:val="000000" w:themeColor="text1"/>
          <w:sz w:val="21"/>
          <w:szCs w:val="21"/>
          <w14:textFill>
            <w14:solidFill>
              <w14:schemeClr w14:val="tx1"/>
            </w14:solidFill>
          </w14:textFill>
        </w:rPr>
        <w:br w:type="page"/>
      </w:r>
      <w:r>
        <w:rPr>
          <w:rFonts w:hint="eastAsia" w:ascii="宋体" w:hAnsi="宋体" w:cs="宋体"/>
          <w:color w:val="000000" w:themeColor="text1"/>
          <w14:textFill>
            <w14:solidFill>
              <w14:schemeClr w14:val="tx1"/>
            </w14:solidFill>
          </w14:textFill>
        </w:rPr>
        <w:t>3.残疾人福利性单位声明函</w:t>
      </w:r>
    </w:p>
    <w:p>
      <w:pPr>
        <w:tabs>
          <w:tab w:val="left" w:pos="6300"/>
        </w:tabs>
        <w:snapToGrid w:val="0"/>
        <w:spacing w:line="500" w:lineRule="exact"/>
        <w:ind w:firstLine="560" w:firstLineChars="200"/>
        <w:jc w:val="center"/>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残疾人福利性单位声明函</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供应商名称（盖章）：</w:t>
      </w:r>
    </w:p>
    <w:p>
      <w:pPr>
        <w:tabs>
          <w:tab w:val="left" w:pos="6300"/>
        </w:tabs>
        <w:snapToGrid w:val="0"/>
        <w:spacing w:line="500" w:lineRule="exact"/>
        <w:ind w:firstLine="57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55"/>
        <w:rPr>
          <w:rFonts w:cs="宋体"/>
          <w:color w:val="000000" w:themeColor="text1"/>
          <w:szCs w:val="24"/>
          <w14:textFill>
            <w14:solidFill>
              <w14:schemeClr w14:val="tx1"/>
            </w14:solidFill>
          </w14:textFill>
        </w:rPr>
      </w:pPr>
    </w:p>
    <w:p>
      <w:pPr>
        <w:pStyle w:val="2"/>
        <w:rPr>
          <w:rFonts w:ascii="宋体" w:hAnsi="宋体" w:cs="宋体"/>
          <w:color w:val="000000" w:themeColor="text1"/>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440" w:lineRule="exact"/>
        <w:rPr>
          <w:rFonts w:ascii="宋体" w:hAnsi="宋体" w:cs="宋体"/>
          <w:sz w:val="24"/>
          <w:szCs w:val="24"/>
        </w:rPr>
      </w:pPr>
      <w:r>
        <w:rPr>
          <w:rFonts w:hint="eastAsia" w:ascii="宋体" w:hAnsi="宋体" w:cs="宋体"/>
          <w:sz w:val="24"/>
          <w:szCs w:val="24"/>
        </w:rPr>
        <w:t>（二）其他与项目有关的资料</w:t>
      </w:r>
    </w:p>
    <w:p>
      <w:pPr>
        <w:spacing w:line="360" w:lineRule="auto"/>
        <w:ind w:firstLine="480" w:firstLineChars="200"/>
        <w:rPr>
          <w:rFonts w:ascii="宋体" w:hAnsi="宋体" w:cs="宋体"/>
          <w:sz w:val="24"/>
          <w:szCs w:val="24"/>
        </w:rPr>
      </w:pPr>
      <w:r>
        <w:rPr>
          <w:rFonts w:hint="eastAsia" w:ascii="宋体" w:hAnsi="宋体" w:cs="宋体"/>
          <w:sz w:val="24"/>
          <w:szCs w:val="24"/>
        </w:rPr>
        <w:t>其他与项目有关的资料（自附）：供应商总体情况介绍、其他与本项目有关的资料</w:t>
      </w:r>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p>
    <w:p>
      <w:pPr>
        <w:spacing w:line="360" w:lineRule="auto"/>
        <w:jc w:val="center"/>
        <w:rPr>
          <w:rFonts w:ascii="宋体" w:hAnsi="宋体" w:cs="宋体"/>
        </w:rPr>
      </w:pPr>
      <w:r>
        <w:rPr>
          <w:rFonts w:hint="eastAsia" w:ascii="宋体" w:hAnsi="宋体" w:cs="宋体"/>
          <w:sz w:val="24"/>
          <w:szCs w:val="24"/>
        </w:rPr>
        <w:t>（结束）</w:t>
      </w:r>
    </w:p>
    <w:p>
      <w:pPr>
        <w:spacing w:line="360" w:lineRule="auto"/>
        <w:jc w:val="center"/>
        <w:rPr>
          <w:rFonts w:ascii="宋体" w:hAnsi="宋体" w:cs="宋体"/>
          <w:color w:val="000000" w:themeColor="text1"/>
          <w14:textFill>
            <w14:solidFill>
              <w14:schemeClr w14:val="tx1"/>
            </w14:solidFill>
          </w14:textFill>
        </w:rPr>
      </w:pPr>
    </w:p>
    <w:sectPr>
      <w:headerReference r:id="rId18" w:type="default"/>
      <w:footerReference r:id="rId19" w:type="default"/>
      <w:pgSz w:w="11907" w:h="16840"/>
      <w:pgMar w:top="1134" w:right="1191" w:bottom="1134" w:left="1304" w:header="851" w:footer="992" w:gutter="0"/>
      <w:pgNumType w:fmt="numberInDash"/>
      <w:cols w:space="720" w:num="1"/>
      <w:rtlGutter w:val="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1" w:fontKey="{A22A9DDD-DF2F-49D0-9F87-810F37F04FAC}"/>
  </w:font>
  <w:font w:name="Verdana">
    <w:panose1 w:val="020B0604030504040204"/>
    <w:charset w:val="00"/>
    <w:family w:val="swiss"/>
    <w:pitch w:val="default"/>
    <w:sig w:usb0="A00006FF" w:usb1="4000205B" w:usb2="00000010" w:usb3="00000000" w:csb0="2000019F" w:csb1="00000000"/>
  </w:font>
  <w:font w:name="文鼎粗黑">
    <w:altName w:val="宋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embedRegular r:id="rId2" w:fontKey="{51CE6993-99C0-4F4D-A1BC-731097D860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- 2 -</w:t>
    </w:r>
    <w:r>
      <w:rPr>
        <w:rFonts w:ascii="宋体"/>
        <w:sz w:val="21"/>
        <w:szCs w:val="21"/>
      </w:rPr>
      <w:fldChar w:fldCharType="end"/>
    </w:r>
  </w:p>
  <w:p>
    <w:pPr>
      <w:pStyle w:val="3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- 25 -</w:t>
    </w:r>
    <w:r>
      <w:rPr>
        <w:rFonts w:ascii="宋体" w:hAnsi="宋体"/>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- 34 -</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- 9 -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- 17 -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- 21 -</w:t>
    </w:r>
    <w:r>
      <w:rPr>
        <w:rFonts w:ascii="宋体" w:hAnsi="宋体"/>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- 22 -</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宋体" w:hAnsi="宋体" w:cs="宋体"/>
        <w:sz w:val="21"/>
        <w:szCs w:val="21"/>
      </w:rPr>
    </w:pPr>
    <w:r>
      <w:rPr>
        <w:rFonts w:hint="eastAsia" w:ascii="宋体" w:hAnsi="宋体" w:cs="宋体"/>
        <w:sz w:val="21"/>
        <w:szCs w:val="21"/>
      </w:rPr>
      <w:t>重庆鼎创招标代理有限公司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宋体" w:hAnsi="宋体" w:cs="宋体"/>
        <w:sz w:val="21"/>
        <w:szCs w:val="21"/>
      </w:rPr>
    </w:pPr>
    <w:r>
      <w:rPr>
        <w:rFonts w:hint="eastAsia" w:ascii="宋体" w:hAnsi="宋体" w:cs="宋体"/>
        <w:sz w:val="21"/>
        <w:szCs w:val="21"/>
      </w:rPr>
      <w:t xml:space="preserve">重庆鼎创招标代理有限公司    </w:t>
    </w:r>
    <w:r>
      <w:rPr>
        <w:rFonts w:hint="eastAsia" w:ascii="方正仿宋_GBK" w:eastAsia="方正仿宋_GBK"/>
        <w:sz w:val="21"/>
        <w:szCs w:val="21"/>
      </w:rPr>
      <w:t xml:space="preserve">                                           </w:t>
    </w:r>
    <w:r>
      <w:rPr>
        <w:rFonts w:hint="eastAsia" w:ascii="宋体" w:hAnsi="宋体" w:cs="宋体"/>
        <w:sz w:val="21"/>
        <w:szCs w:val="21"/>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宋体" w:hAnsi="宋体" w:cs="宋体"/>
        <w:sz w:val="21"/>
        <w:szCs w:val="21"/>
      </w:rPr>
    </w:pPr>
    <w:r>
      <w:rPr>
        <w:rFonts w:hint="eastAsia" w:ascii="宋体" w:hAnsi="宋体" w:cs="宋体"/>
        <w:sz w:val="21"/>
        <w:szCs w:val="21"/>
      </w:rPr>
      <w:t>重庆鼎创招标代理有限公司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仿宋" w:hAnsi="仿宋" w:eastAsia="仿宋"/>
        <w:sz w:val="21"/>
        <w:szCs w:val="21"/>
      </w:rPr>
    </w:pPr>
    <w:r>
      <w:rPr>
        <w:rFonts w:hint="eastAsia" w:ascii="仿宋" w:hAnsi="仿宋" w:eastAsia="仿宋"/>
        <w:sz w:val="21"/>
        <w:szCs w:val="21"/>
      </w:rPr>
      <w:t>重庆鼎创招标代理有限公司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8FD4A"/>
    <w:multiLevelType w:val="singleLevel"/>
    <w:tmpl w:val="D178FD4A"/>
    <w:lvl w:ilvl="0" w:tentative="0">
      <w:start w:val="1"/>
      <w:numFmt w:val="chineseCounting"/>
      <w:suff w:val="nothing"/>
      <w:lvlText w:val="（%1）"/>
      <w:lvlJc w:val="left"/>
      <w:rPr>
        <w:rFonts w:hint="eastAsia"/>
      </w:rPr>
    </w:lvl>
  </w:abstractNum>
  <w:abstractNum w:abstractNumId="1">
    <w:nsid w:val="D1A00428"/>
    <w:multiLevelType w:val="singleLevel"/>
    <w:tmpl w:val="D1A00428"/>
    <w:lvl w:ilvl="0" w:tentative="0">
      <w:start w:val="2"/>
      <w:numFmt w:val="chineseCounting"/>
      <w:suff w:val="space"/>
      <w:lvlText w:val="第%1篇"/>
      <w:lvlJc w:val="left"/>
      <w:rPr>
        <w:rFonts w:hint="eastAsia"/>
        <w:sz w:val="36"/>
        <w:szCs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ZDRmZTAyOTU3NzU3ZDFiNTQ1YTI3MDI4YzQ1MTQifQ=="/>
  </w:docVars>
  <w:rsids>
    <w:rsidRoot w:val="00172A27"/>
    <w:rsid w:val="000504E1"/>
    <w:rsid w:val="0008423B"/>
    <w:rsid w:val="000A3E1A"/>
    <w:rsid w:val="000A5F64"/>
    <w:rsid w:val="000B1914"/>
    <w:rsid w:val="000B68AA"/>
    <w:rsid w:val="000D3C74"/>
    <w:rsid w:val="000F126B"/>
    <w:rsid w:val="0013562B"/>
    <w:rsid w:val="00172A27"/>
    <w:rsid w:val="001A0223"/>
    <w:rsid w:val="001B56BE"/>
    <w:rsid w:val="001C78C7"/>
    <w:rsid w:val="00224845"/>
    <w:rsid w:val="00236038"/>
    <w:rsid w:val="00237493"/>
    <w:rsid w:val="002460FA"/>
    <w:rsid w:val="00252953"/>
    <w:rsid w:val="00263AAD"/>
    <w:rsid w:val="00295CDD"/>
    <w:rsid w:val="002A4EED"/>
    <w:rsid w:val="002C5DB9"/>
    <w:rsid w:val="002E6C3D"/>
    <w:rsid w:val="0032198D"/>
    <w:rsid w:val="00333FEB"/>
    <w:rsid w:val="00346BD3"/>
    <w:rsid w:val="00382A07"/>
    <w:rsid w:val="0038545C"/>
    <w:rsid w:val="003C3ADF"/>
    <w:rsid w:val="003F0E21"/>
    <w:rsid w:val="0040020E"/>
    <w:rsid w:val="00422B5B"/>
    <w:rsid w:val="00443605"/>
    <w:rsid w:val="00450D61"/>
    <w:rsid w:val="0045743C"/>
    <w:rsid w:val="00470508"/>
    <w:rsid w:val="00481305"/>
    <w:rsid w:val="004C1DA1"/>
    <w:rsid w:val="004C467C"/>
    <w:rsid w:val="004D1A39"/>
    <w:rsid w:val="004D556F"/>
    <w:rsid w:val="004E747D"/>
    <w:rsid w:val="005452D4"/>
    <w:rsid w:val="0055272A"/>
    <w:rsid w:val="0056303B"/>
    <w:rsid w:val="00563E4E"/>
    <w:rsid w:val="00564C86"/>
    <w:rsid w:val="00573AF1"/>
    <w:rsid w:val="005838E6"/>
    <w:rsid w:val="00590087"/>
    <w:rsid w:val="005A14C0"/>
    <w:rsid w:val="005F1ABB"/>
    <w:rsid w:val="005F315D"/>
    <w:rsid w:val="006051BD"/>
    <w:rsid w:val="006064F0"/>
    <w:rsid w:val="00606741"/>
    <w:rsid w:val="00650358"/>
    <w:rsid w:val="006613F8"/>
    <w:rsid w:val="00690DF6"/>
    <w:rsid w:val="0069545E"/>
    <w:rsid w:val="006B295A"/>
    <w:rsid w:val="006C149F"/>
    <w:rsid w:val="006E5BAF"/>
    <w:rsid w:val="006F3086"/>
    <w:rsid w:val="00792144"/>
    <w:rsid w:val="007B05A4"/>
    <w:rsid w:val="007B603F"/>
    <w:rsid w:val="007D21A6"/>
    <w:rsid w:val="007D333F"/>
    <w:rsid w:val="00812378"/>
    <w:rsid w:val="00845BA1"/>
    <w:rsid w:val="008670C1"/>
    <w:rsid w:val="00871DF8"/>
    <w:rsid w:val="0087444B"/>
    <w:rsid w:val="00876821"/>
    <w:rsid w:val="00877B8A"/>
    <w:rsid w:val="008D1E0F"/>
    <w:rsid w:val="008E7D9B"/>
    <w:rsid w:val="009756B6"/>
    <w:rsid w:val="00977126"/>
    <w:rsid w:val="00980E9D"/>
    <w:rsid w:val="009A7342"/>
    <w:rsid w:val="00A057D3"/>
    <w:rsid w:val="00A160E3"/>
    <w:rsid w:val="00A203D7"/>
    <w:rsid w:val="00A5142C"/>
    <w:rsid w:val="00AA77A4"/>
    <w:rsid w:val="00AD0130"/>
    <w:rsid w:val="00AE6CE8"/>
    <w:rsid w:val="00AF10C6"/>
    <w:rsid w:val="00B314CC"/>
    <w:rsid w:val="00B93997"/>
    <w:rsid w:val="00BB6450"/>
    <w:rsid w:val="00BB7457"/>
    <w:rsid w:val="00BE60C2"/>
    <w:rsid w:val="00BF0051"/>
    <w:rsid w:val="00BF4EB5"/>
    <w:rsid w:val="00C002B8"/>
    <w:rsid w:val="00C13205"/>
    <w:rsid w:val="00C952A2"/>
    <w:rsid w:val="00CB023A"/>
    <w:rsid w:val="00CC4113"/>
    <w:rsid w:val="00CE166B"/>
    <w:rsid w:val="00D10EED"/>
    <w:rsid w:val="00D2538D"/>
    <w:rsid w:val="00D4258A"/>
    <w:rsid w:val="00D741E9"/>
    <w:rsid w:val="00DB4B49"/>
    <w:rsid w:val="00DB6B3A"/>
    <w:rsid w:val="00DE42C1"/>
    <w:rsid w:val="00DE46DF"/>
    <w:rsid w:val="00DF2856"/>
    <w:rsid w:val="00DF55F1"/>
    <w:rsid w:val="00DF7B2D"/>
    <w:rsid w:val="00E00AAB"/>
    <w:rsid w:val="00E0279E"/>
    <w:rsid w:val="00E223C0"/>
    <w:rsid w:val="00E64674"/>
    <w:rsid w:val="00E839ED"/>
    <w:rsid w:val="00E91426"/>
    <w:rsid w:val="00E959FC"/>
    <w:rsid w:val="00EA31BE"/>
    <w:rsid w:val="00EB7D0B"/>
    <w:rsid w:val="00ED1913"/>
    <w:rsid w:val="00ED6F6B"/>
    <w:rsid w:val="00ED72FF"/>
    <w:rsid w:val="00EF0736"/>
    <w:rsid w:val="00F44428"/>
    <w:rsid w:val="00F512D2"/>
    <w:rsid w:val="00FC5A47"/>
    <w:rsid w:val="00FE3B26"/>
    <w:rsid w:val="00FE403F"/>
    <w:rsid w:val="00FF3CDE"/>
    <w:rsid w:val="019B55D1"/>
    <w:rsid w:val="019D1959"/>
    <w:rsid w:val="01ED4746"/>
    <w:rsid w:val="02027657"/>
    <w:rsid w:val="0213623D"/>
    <w:rsid w:val="02811BAD"/>
    <w:rsid w:val="02853582"/>
    <w:rsid w:val="029C56A3"/>
    <w:rsid w:val="0309061F"/>
    <w:rsid w:val="03346E3D"/>
    <w:rsid w:val="038553B5"/>
    <w:rsid w:val="03A3499D"/>
    <w:rsid w:val="03AE694C"/>
    <w:rsid w:val="03CC7C7C"/>
    <w:rsid w:val="03DB29EC"/>
    <w:rsid w:val="03F36199"/>
    <w:rsid w:val="047B6613"/>
    <w:rsid w:val="05046E9E"/>
    <w:rsid w:val="053563BD"/>
    <w:rsid w:val="05676809"/>
    <w:rsid w:val="057D2D99"/>
    <w:rsid w:val="05A125FF"/>
    <w:rsid w:val="05EF2449"/>
    <w:rsid w:val="06323A19"/>
    <w:rsid w:val="065974FD"/>
    <w:rsid w:val="069963F4"/>
    <w:rsid w:val="06E91F0F"/>
    <w:rsid w:val="074825C3"/>
    <w:rsid w:val="07644CF8"/>
    <w:rsid w:val="077E0B02"/>
    <w:rsid w:val="07C2410E"/>
    <w:rsid w:val="07DC741A"/>
    <w:rsid w:val="07DF027A"/>
    <w:rsid w:val="087E4495"/>
    <w:rsid w:val="08934FEE"/>
    <w:rsid w:val="09026204"/>
    <w:rsid w:val="091D145D"/>
    <w:rsid w:val="092211B5"/>
    <w:rsid w:val="093C4D3E"/>
    <w:rsid w:val="09517944"/>
    <w:rsid w:val="09864881"/>
    <w:rsid w:val="09AC314B"/>
    <w:rsid w:val="09B80559"/>
    <w:rsid w:val="09E366F4"/>
    <w:rsid w:val="0A340F11"/>
    <w:rsid w:val="0A7121DA"/>
    <w:rsid w:val="0A793A2E"/>
    <w:rsid w:val="0A8F0952"/>
    <w:rsid w:val="0A9F2459"/>
    <w:rsid w:val="0AC959DA"/>
    <w:rsid w:val="0AF816C4"/>
    <w:rsid w:val="0B040301"/>
    <w:rsid w:val="0B1968C3"/>
    <w:rsid w:val="0B4A3AFE"/>
    <w:rsid w:val="0B777D29"/>
    <w:rsid w:val="0BAB3064"/>
    <w:rsid w:val="0BB923D0"/>
    <w:rsid w:val="0BC126B3"/>
    <w:rsid w:val="0BEA5720"/>
    <w:rsid w:val="0C0624F3"/>
    <w:rsid w:val="0C4867FB"/>
    <w:rsid w:val="0CAE5598"/>
    <w:rsid w:val="0CB54492"/>
    <w:rsid w:val="0CCE3126"/>
    <w:rsid w:val="0CFE294D"/>
    <w:rsid w:val="0D1962EE"/>
    <w:rsid w:val="0D3E3574"/>
    <w:rsid w:val="0D551D79"/>
    <w:rsid w:val="0D712717"/>
    <w:rsid w:val="0D92543C"/>
    <w:rsid w:val="0D986DC4"/>
    <w:rsid w:val="0DA31416"/>
    <w:rsid w:val="0DA8437F"/>
    <w:rsid w:val="0DC904E4"/>
    <w:rsid w:val="0DD71C05"/>
    <w:rsid w:val="0DE00C0B"/>
    <w:rsid w:val="0DE42C75"/>
    <w:rsid w:val="0DF875DC"/>
    <w:rsid w:val="0E046A11"/>
    <w:rsid w:val="0E1D25CB"/>
    <w:rsid w:val="0E2C6D18"/>
    <w:rsid w:val="0E300D44"/>
    <w:rsid w:val="0EF05683"/>
    <w:rsid w:val="0F6A0D0D"/>
    <w:rsid w:val="0F9526BB"/>
    <w:rsid w:val="100E51E0"/>
    <w:rsid w:val="10353C8C"/>
    <w:rsid w:val="10587BA8"/>
    <w:rsid w:val="105C4535"/>
    <w:rsid w:val="105D7C7D"/>
    <w:rsid w:val="106A4215"/>
    <w:rsid w:val="10B477B0"/>
    <w:rsid w:val="10DC52BB"/>
    <w:rsid w:val="10EC4AC5"/>
    <w:rsid w:val="10F70FED"/>
    <w:rsid w:val="112C386F"/>
    <w:rsid w:val="11741C87"/>
    <w:rsid w:val="11F71C03"/>
    <w:rsid w:val="12482604"/>
    <w:rsid w:val="127E3EAB"/>
    <w:rsid w:val="12957AAF"/>
    <w:rsid w:val="12D00551"/>
    <w:rsid w:val="12D03193"/>
    <w:rsid w:val="12D64474"/>
    <w:rsid w:val="12E442B7"/>
    <w:rsid w:val="13101EF5"/>
    <w:rsid w:val="132D3965"/>
    <w:rsid w:val="137A43BD"/>
    <w:rsid w:val="1383225E"/>
    <w:rsid w:val="13915246"/>
    <w:rsid w:val="13A138F5"/>
    <w:rsid w:val="13C70DD3"/>
    <w:rsid w:val="13CE50AA"/>
    <w:rsid w:val="13D45240"/>
    <w:rsid w:val="141564A3"/>
    <w:rsid w:val="14213DDE"/>
    <w:rsid w:val="1426739E"/>
    <w:rsid w:val="144D6EBF"/>
    <w:rsid w:val="14A63623"/>
    <w:rsid w:val="1553683E"/>
    <w:rsid w:val="15826839"/>
    <w:rsid w:val="15AA505D"/>
    <w:rsid w:val="15AB0F56"/>
    <w:rsid w:val="15CA3338"/>
    <w:rsid w:val="15E409F3"/>
    <w:rsid w:val="160C4FAC"/>
    <w:rsid w:val="16182AF5"/>
    <w:rsid w:val="16333A59"/>
    <w:rsid w:val="165D78E5"/>
    <w:rsid w:val="166B0912"/>
    <w:rsid w:val="16E11DAC"/>
    <w:rsid w:val="16E233EE"/>
    <w:rsid w:val="170D76B7"/>
    <w:rsid w:val="1739317C"/>
    <w:rsid w:val="17A415E0"/>
    <w:rsid w:val="17EC0D07"/>
    <w:rsid w:val="17F2157E"/>
    <w:rsid w:val="18382CA8"/>
    <w:rsid w:val="184D5BF1"/>
    <w:rsid w:val="18575D38"/>
    <w:rsid w:val="186A617B"/>
    <w:rsid w:val="186F26E9"/>
    <w:rsid w:val="187B6D1D"/>
    <w:rsid w:val="18D12DF5"/>
    <w:rsid w:val="18ED5880"/>
    <w:rsid w:val="19127222"/>
    <w:rsid w:val="198D4A9F"/>
    <w:rsid w:val="19E91876"/>
    <w:rsid w:val="1A282DDA"/>
    <w:rsid w:val="1A2B301F"/>
    <w:rsid w:val="1A43273A"/>
    <w:rsid w:val="1A9354DB"/>
    <w:rsid w:val="1AFE5477"/>
    <w:rsid w:val="1B0C559F"/>
    <w:rsid w:val="1B121581"/>
    <w:rsid w:val="1B2D5678"/>
    <w:rsid w:val="1B601C65"/>
    <w:rsid w:val="1B631991"/>
    <w:rsid w:val="1B705FC8"/>
    <w:rsid w:val="1B982B9E"/>
    <w:rsid w:val="1B98469D"/>
    <w:rsid w:val="1BA84479"/>
    <w:rsid w:val="1BC814F3"/>
    <w:rsid w:val="1BCD4A66"/>
    <w:rsid w:val="1BDE2883"/>
    <w:rsid w:val="1C004178"/>
    <w:rsid w:val="1C1A05C4"/>
    <w:rsid w:val="1C3A3714"/>
    <w:rsid w:val="1C4A444D"/>
    <w:rsid w:val="1C5D11C3"/>
    <w:rsid w:val="1C7D4CB4"/>
    <w:rsid w:val="1D826775"/>
    <w:rsid w:val="1D981CC2"/>
    <w:rsid w:val="1DC01597"/>
    <w:rsid w:val="1DCC0142"/>
    <w:rsid w:val="1E253E9A"/>
    <w:rsid w:val="1E622558"/>
    <w:rsid w:val="1E882ABA"/>
    <w:rsid w:val="1E963FB8"/>
    <w:rsid w:val="1EE019A3"/>
    <w:rsid w:val="1FA04B80"/>
    <w:rsid w:val="1FAE5D19"/>
    <w:rsid w:val="1FB06E2D"/>
    <w:rsid w:val="1FBC7D9F"/>
    <w:rsid w:val="1FCD0A84"/>
    <w:rsid w:val="203D5420"/>
    <w:rsid w:val="20B52A86"/>
    <w:rsid w:val="20E51212"/>
    <w:rsid w:val="20F669B0"/>
    <w:rsid w:val="20F7254C"/>
    <w:rsid w:val="2105635C"/>
    <w:rsid w:val="21102A49"/>
    <w:rsid w:val="21124499"/>
    <w:rsid w:val="216C5203"/>
    <w:rsid w:val="216D6770"/>
    <w:rsid w:val="21903690"/>
    <w:rsid w:val="21AD399F"/>
    <w:rsid w:val="21CC09CA"/>
    <w:rsid w:val="225F2408"/>
    <w:rsid w:val="227F6C94"/>
    <w:rsid w:val="228213E7"/>
    <w:rsid w:val="22A7590B"/>
    <w:rsid w:val="22B4528F"/>
    <w:rsid w:val="22D838CF"/>
    <w:rsid w:val="22F825DB"/>
    <w:rsid w:val="22FD20FA"/>
    <w:rsid w:val="231F77C7"/>
    <w:rsid w:val="232F5DE8"/>
    <w:rsid w:val="23374475"/>
    <w:rsid w:val="233B0914"/>
    <w:rsid w:val="23592A54"/>
    <w:rsid w:val="23752C79"/>
    <w:rsid w:val="237C59BB"/>
    <w:rsid w:val="23BF2464"/>
    <w:rsid w:val="23F3488A"/>
    <w:rsid w:val="2419704D"/>
    <w:rsid w:val="243B3EB7"/>
    <w:rsid w:val="24551FD1"/>
    <w:rsid w:val="247474EF"/>
    <w:rsid w:val="24C60186"/>
    <w:rsid w:val="24C6775F"/>
    <w:rsid w:val="251304A2"/>
    <w:rsid w:val="25602216"/>
    <w:rsid w:val="256F2A8D"/>
    <w:rsid w:val="25A315A3"/>
    <w:rsid w:val="261F72E0"/>
    <w:rsid w:val="26334D6D"/>
    <w:rsid w:val="2640356F"/>
    <w:rsid w:val="264C6FBD"/>
    <w:rsid w:val="26767805"/>
    <w:rsid w:val="26F942CB"/>
    <w:rsid w:val="27205B2B"/>
    <w:rsid w:val="27507933"/>
    <w:rsid w:val="275E755E"/>
    <w:rsid w:val="2767225B"/>
    <w:rsid w:val="276830CB"/>
    <w:rsid w:val="277609EB"/>
    <w:rsid w:val="27AA2C77"/>
    <w:rsid w:val="27B25CEA"/>
    <w:rsid w:val="27D9637B"/>
    <w:rsid w:val="28522780"/>
    <w:rsid w:val="288B25DE"/>
    <w:rsid w:val="28D73DEB"/>
    <w:rsid w:val="294B4B4D"/>
    <w:rsid w:val="296026F0"/>
    <w:rsid w:val="29605B23"/>
    <w:rsid w:val="29606AD5"/>
    <w:rsid w:val="2A824925"/>
    <w:rsid w:val="2A84522F"/>
    <w:rsid w:val="2BB56560"/>
    <w:rsid w:val="2BCB3BBA"/>
    <w:rsid w:val="2BE7456D"/>
    <w:rsid w:val="2BE83786"/>
    <w:rsid w:val="2BE956E1"/>
    <w:rsid w:val="2BEE1BAF"/>
    <w:rsid w:val="2C105490"/>
    <w:rsid w:val="2C18302D"/>
    <w:rsid w:val="2C1D24D1"/>
    <w:rsid w:val="2C3A3F1C"/>
    <w:rsid w:val="2D087964"/>
    <w:rsid w:val="2D367E96"/>
    <w:rsid w:val="2D4B4662"/>
    <w:rsid w:val="2D5A7A44"/>
    <w:rsid w:val="2D6F3C91"/>
    <w:rsid w:val="2DED648E"/>
    <w:rsid w:val="2E0559B4"/>
    <w:rsid w:val="2E482812"/>
    <w:rsid w:val="2E4C697C"/>
    <w:rsid w:val="2E5B353C"/>
    <w:rsid w:val="2EAE5B84"/>
    <w:rsid w:val="2F017C73"/>
    <w:rsid w:val="2F193000"/>
    <w:rsid w:val="2F4475F2"/>
    <w:rsid w:val="2F8452BB"/>
    <w:rsid w:val="2F8856E8"/>
    <w:rsid w:val="2F931F3E"/>
    <w:rsid w:val="2FA20543"/>
    <w:rsid w:val="30180C70"/>
    <w:rsid w:val="306479E7"/>
    <w:rsid w:val="30793B1F"/>
    <w:rsid w:val="307A6406"/>
    <w:rsid w:val="30EB003C"/>
    <w:rsid w:val="31392548"/>
    <w:rsid w:val="31A1797F"/>
    <w:rsid w:val="31B30636"/>
    <w:rsid w:val="31C00EF8"/>
    <w:rsid w:val="31D623CF"/>
    <w:rsid w:val="31E050B0"/>
    <w:rsid w:val="323413C5"/>
    <w:rsid w:val="323E0A30"/>
    <w:rsid w:val="324B3E79"/>
    <w:rsid w:val="325167B6"/>
    <w:rsid w:val="326266B4"/>
    <w:rsid w:val="32753D0B"/>
    <w:rsid w:val="327F7554"/>
    <w:rsid w:val="32B60A23"/>
    <w:rsid w:val="32DB2081"/>
    <w:rsid w:val="32F42D9E"/>
    <w:rsid w:val="333D477F"/>
    <w:rsid w:val="33AA1058"/>
    <w:rsid w:val="33AF6CE8"/>
    <w:rsid w:val="33C1005A"/>
    <w:rsid w:val="33EB1C56"/>
    <w:rsid w:val="340A02ED"/>
    <w:rsid w:val="34A17D4A"/>
    <w:rsid w:val="34CF4905"/>
    <w:rsid w:val="35031DA7"/>
    <w:rsid w:val="350D23A0"/>
    <w:rsid w:val="35414E0B"/>
    <w:rsid w:val="35905D41"/>
    <w:rsid w:val="35B17626"/>
    <w:rsid w:val="35CD3D81"/>
    <w:rsid w:val="35E74616"/>
    <w:rsid w:val="35EB69CC"/>
    <w:rsid w:val="35EE30CD"/>
    <w:rsid w:val="35F77C74"/>
    <w:rsid w:val="36264A5B"/>
    <w:rsid w:val="36452A76"/>
    <w:rsid w:val="365A29B6"/>
    <w:rsid w:val="36845780"/>
    <w:rsid w:val="370A058B"/>
    <w:rsid w:val="3734069D"/>
    <w:rsid w:val="3782347A"/>
    <w:rsid w:val="37C103D6"/>
    <w:rsid w:val="37E529E9"/>
    <w:rsid w:val="37FE6E39"/>
    <w:rsid w:val="381572B8"/>
    <w:rsid w:val="38536701"/>
    <w:rsid w:val="385E3204"/>
    <w:rsid w:val="387A1DB3"/>
    <w:rsid w:val="388B11B0"/>
    <w:rsid w:val="38B873E2"/>
    <w:rsid w:val="38F67F51"/>
    <w:rsid w:val="39044BAD"/>
    <w:rsid w:val="391A778D"/>
    <w:rsid w:val="39880367"/>
    <w:rsid w:val="3A3A057F"/>
    <w:rsid w:val="3A8B1558"/>
    <w:rsid w:val="3A964F46"/>
    <w:rsid w:val="3B027E69"/>
    <w:rsid w:val="3B6808F8"/>
    <w:rsid w:val="3BC1657B"/>
    <w:rsid w:val="3BE316E1"/>
    <w:rsid w:val="3BEB4966"/>
    <w:rsid w:val="3C823E34"/>
    <w:rsid w:val="3CD87AFA"/>
    <w:rsid w:val="3CD91AB9"/>
    <w:rsid w:val="3D1122D9"/>
    <w:rsid w:val="3D1C7E93"/>
    <w:rsid w:val="3D4C4C97"/>
    <w:rsid w:val="3D501BC3"/>
    <w:rsid w:val="3D647F2A"/>
    <w:rsid w:val="3D6F5BDB"/>
    <w:rsid w:val="3D7911CF"/>
    <w:rsid w:val="3D824ED6"/>
    <w:rsid w:val="3DBD1AD6"/>
    <w:rsid w:val="3E171E42"/>
    <w:rsid w:val="3E384D3D"/>
    <w:rsid w:val="3E520EF9"/>
    <w:rsid w:val="3E76777E"/>
    <w:rsid w:val="3EAA423E"/>
    <w:rsid w:val="3EC309B7"/>
    <w:rsid w:val="3EE55509"/>
    <w:rsid w:val="3EF70D0A"/>
    <w:rsid w:val="3F083A54"/>
    <w:rsid w:val="3F467593"/>
    <w:rsid w:val="3F6958BC"/>
    <w:rsid w:val="3F8668E2"/>
    <w:rsid w:val="3FBD4F5B"/>
    <w:rsid w:val="407F77F1"/>
    <w:rsid w:val="40935BB3"/>
    <w:rsid w:val="40A2785A"/>
    <w:rsid w:val="40B2745F"/>
    <w:rsid w:val="40B320AF"/>
    <w:rsid w:val="40E01BE0"/>
    <w:rsid w:val="410F4E53"/>
    <w:rsid w:val="41154A97"/>
    <w:rsid w:val="4119041B"/>
    <w:rsid w:val="412D6014"/>
    <w:rsid w:val="4132693C"/>
    <w:rsid w:val="414E240B"/>
    <w:rsid w:val="41A3369B"/>
    <w:rsid w:val="41AC2B40"/>
    <w:rsid w:val="41CD13FD"/>
    <w:rsid w:val="41DC0929"/>
    <w:rsid w:val="41F405DF"/>
    <w:rsid w:val="420C6134"/>
    <w:rsid w:val="422F7D49"/>
    <w:rsid w:val="42411497"/>
    <w:rsid w:val="426113CD"/>
    <w:rsid w:val="42852229"/>
    <w:rsid w:val="428B79C2"/>
    <w:rsid w:val="42BB5A65"/>
    <w:rsid w:val="42C47367"/>
    <w:rsid w:val="4312153B"/>
    <w:rsid w:val="43251AA8"/>
    <w:rsid w:val="438B5990"/>
    <w:rsid w:val="43B27935"/>
    <w:rsid w:val="443426E9"/>
    <w:rsid w:val="445539FA"/>
    <w:rsid w:val="44741DB7"/>
    <w:rsid w:val="449D243B"/>
    <w:rsid w:val="44C05078"/>
    <w:rsid w:val="44C522AB"/>
    <w:rsid w:val="44E26CA1"/>
    <w:rsid w:val="451259F2"/>
    <w:rsid w:val="45240E10"/>
    <w:rsid w:val="4534265D"/>
    <w:rsid w:val="45437386"/>
    <w:rsid w:val="456F631B"/>
    <w:rsid w:val="45793CAC"/>
    <w:rsid w:val="45917DF8"/>
    <w:rsid w:val="45AB480C"/>
    <w:rsid w:val="45C738DC"/>
    <w:rsid w:val="45E3036C"/>
    <w:rsid w:val="460022EF"/>
    <w:rsid w:val="461611FF"/>
    <w:rsid w:val="46302237"/>
    <w:rsid w:val="4648420D"/>
    <w:rsid w:val="46A14C12"/>
    <w:rsid w:val="46DC2184"/>
    <w:rsid w:val="46E90656"/>
    <w:rsid w:val="4724163E"/>
    <w:rsid w:val="47264769"/>
    <w:rsid w:val="474D2E3F"/>
    <w:rsid w:val="47633BD9"/>
    <w:rsid w:val="47652830"/>
    <w:rsid w:val="47805912"/>
    <w:rsid w:val="47860F1E"/>
    <w:rsid w:val="479E4EDD"/>
    <w:rsid w:val="47A866C0"/>
    <w:rsid w:val="47DD0DA2"/>
    <w:rsid w:val="48647E91"/>
    <w:rsid w:val="48C808A0"/>
    <w:rsid w:val="48D7799B"/>
    <w:rsid w:val="48EA7135"/>
    <w:rsid w:val="491518EB"/>
    <w:rsid w:val="49893EBD"/>
    <w:rsid w:val="49AA63AF"/>
    <w:rsid w:val="49D14229"/>
    <w:rsid w:val="4A92473F"/>
    <w:rsid w:val="4BA44E82"/>
    <w:rsid w:val="4BCF3EB6"/>
    <w:rsid w:val="4BE53CA8"/>
    <w:rsid w:val="4BF413A3"/>
    <w:rsid w:val="4C0A317C"/>
    <w:rsid w:val="4C2919FF"/>
    <w:rsid w:val="4CC255AB"/>
    <w:rsid w:val="4CE4584B"/>
    <w:rsid w:val="4CFD1306"/>
    <w:rsid w:val="4D957FE3"/>
    <w:rsid w:val="4DE9049B"/>
    <w:rsid w:val="4DEF79C6"/>
    <w:rsid w:val="4E024EF4"/>
    <w:rsid w:val="4E4A1E4D"/>
    <w:rsid w:val="4E5F55FC"/>
    <w:rsid w:val="4E7C2C07"/>
    <w:rsid w:val="4E894504"/>
    <w:rsid w:val="4EB01370"/>
    <w:rsid w:val="4EEC61D3"/>
    <w:rsid w:val="4F0959C6"/>
    <w:rsid w:val="4F105E41"/>
    <w:rsid w:val="4F1B4C77"/>
    <w:rsid w:val="4F4108D9"/>
    <w:rsid w:val="4F550CF0"/>
    <w:rsid w:val="4F570D38"/>
    <w:rsid w:val="4F5C18E6"/>
    <w:rsid w:val="4F816161"/>
    <w:rsid w:val="4F9C359E"/>
    <w:rsid w:val="4FCB7117"/>
    <w:rsid w:val="50132EF6"/>
    <w:rsid w:val="50587752"/>
    <w:rsid w:val="505C7454"/>
    <w:rsid w:val="50662099"/>
    <w:rsid w:val="50A205E7"/>
    <w:rsid w:val="50C81C3A"/>
    <w:rsid w:val="50CB22FD"/>
    <w:rsid w:val="51354906"/>
    <w:rsid w:val="51621B49"/>
    <w:rsid w:val="51654349"/>
    <w:rsid w:val="518A613E"/>
    <w:rsid w:val="519535B1"/>
    <w:rsid w:val="51BB5A53"/>
    <w:rsid w:val="51FD2761"/>
    <w:rsid w:val="5253749C"/>
    <w:rsid w:val="527E6A7D"/>
    <w:rsid w:val="52C32DB3"/>
    <w:rsid w:val="52ED6907"/>
    <w:rsid w:val="532D28CD"/>
    <w:rsid w:val="533E04DE"/>
    <w:rsid w:val="53623718"/>
    <w:rsid w:val="53D02BF5"/>
    <w:rsid w:val="5407402D"/>
    <w:rsid w:val="54154DC9"/>
    <w:rsid w:val="543365B2"/>
    <w:rsid w:val="545221AF"/>
    <w:rsid w:val="5464711F"/>
    <w:rsid w:val="54733E51"/>
    <w:rsid w:val="54A613B9"/>
    <w:rsid w:val="54B45541"/>
    <w:rsid w:val="54EA658D"/>
    <w:rsid w:val="55125391"/>
    <w:rsid w:val="55184DE5"/>
    <w:rsid w:val="55196BF7"/>
    <w:rsid w:val="552E1A3E"/>
    <w:rsid w:val="553D4707"/>
    <w:rsid w:val="554612E7"/>
    <w:rsid w:val="55491895"/>
    <w:rsid w:val="558F0587"/>
    <w:rsid w:val="55921A1A"/>
    <w:rsid w:val="559355FE"/>
    <w:rsid w:val="55AB4B2E"/>
    <w:rsid w:val="55CE6126"/>
    <w:rsid w:val="563207FD"/>
    <w:rsid w:val="563E0449"/>
    <w:rsid w:val="56490E7E"/>
    <w:rsid w:val="569037CB"/>
    <w:rsid w:val="56935F0D"/>
    <w:rsid w:val="574834BD"/>
    <w:rsid w:val="577601D3"/>
    <w:rsid w:val="57884849"/>
    <w:rsid w:val="57C43775"/>
    <w:rsid w:val="586918CE"/>
    <w:rsid w:val="58CE70F0"/>
    <w:rsid w:val="597C4F99"/>
    <w:rsid w:val="59AA24D9"/>
    <w:rsid w:val="59CD006E"/>
    <w:rsid w:val="59D55372"/>
    <w:rsid w:val="5A015962"/>
    <w:rsid w:val="5A0A3797"/>
    <w:rsid w:val="5A1D590D"/>
    <w:rsid w:val="5A45472E"/>
    <w:rsid w:val="5A52695A"/>
    <w:rsid w:val="5A6B17E6"/>
    <w:rsid w:val="5A734F82"/>
    <w:rsid w:val="5A763D4F"/>
    <w:rsid w:val="5A8037CA"/>
    <w:rsid w:val="5A930966"/>
    <w:rsid w:val="5AD1449C"/>
    <w:rsid w:val="5AD84CB1"/>
    <w:rsid w:val="5AEF5CC8"/>
    <w:rsid w:val="5AF16AC3"/>
    <w:rsid w:val="5AFE6A93"/>
    <w:rsid w:val="5B0B3F55"/>
    <w:rsid w:val="5B0C1E13"/>
    <w:rsid w:val="5B246903"/>
    <w:rsid w:val="5B2E52F1"/>
    <w:rsid w:val="5B3A13AB"/>
    <w:rsid w:val="5B630F3C"/>
    <w:rsid w:val="5B757E7A"/>
    <w:rsid w:val="5B910088"/>
    <w:rsid w:val="5B9A555D"/>
    <w:rsid w:val="5BD54BE1"/>
    <w:rsid w:val="5BDF7095"/>
    <w:rsid w:val="5C13413A"/>
    <w:rsid w:val="5C290D9D"/>
    <w:rsid w:val="5C6312A0"/>
    <w:rsid w:val="5C717056"/>
    <w:rsid w:val="5C9C0F22"/>
    <w:rsid w:val="5CAB5196"/>
    <w:rsid w:val="5CFE30FF"/>
    <w:rsid w:val="5D0B54DD"/>
    <w:rsid w:val="5D102783"/>
    <w:rsid w:val="5D583D5A"/>
    <w:rsid w:val="5D5D40E3"/>
    <w:rsid w:val="5D711CEE"/>
    <w:rsid w:val="5D8C4409"/>
    <w:rsid w:val="5E0278AC"/>
    <w:rsid w:val="5E0C5D98"/>
    <w:rsid w:val="5E153089"/>
    <w:rsid w:val="5E194310"/>
    <w:rsid w:val="5E615BEB"/>
    <w:rsid w:val="5EB8640C"/>
    <w:rsid w:val="5EC90269"/>
    <w:rsid w:val="5EC92295"/>
    <w:rsid w:val="5F0B16F5"/>
    <w:rsid w:val="5F12099B"/>
    <w:rsid w:val="5F2035EB"/>
    <w:rsid w:val="5F4E560C"/>
    <w:rsid w:val="5F66592C"/>
    <w:rsid w:val="5F9A6357"/>
    <w:rsid w:val="5FA1065E"/>
    <w:rsid w:val="5FC2179B"/>
    <w:rsid w:val="5FDB4C83"/>
    <w:rsid w:val="5FDE3600"/>
    <w:rsid w:val="5FE1413B"/>
    <w:rsid w:val="5FE1781D"/>
    <w:rsid w:val="603665CD"/>
    <w:rsid w:val="603B51FC"/>
    <w:rsid w:val="611322D1"/>
    <w:rsid w:val="61291C00"/>
    <w:rsid w:val="612A7A57"/>
    <w:rsid w:val="613E5314"/>
    <w:rsid w:val="6147286C"/>
    <w:rsid w:val="618D0FF6"/>
    <w:rsid w:val="61F07F5C"/>
    <w:rsid w:val="61FF059B"/>
    <w:rsid w:val="628E64AF"/>
    <w:rsid w:val="62A063FC"/>
    <w:rsid w:val="62CE7D97"/>
    <w:rsid w:val="62D56C04"/>
    <w:rsid w:val="62EE0E1F"/>
    <w:rsid w:val="62EE4265"/>
    <w:rsid w:val="636E5BB0"/>
    <w:rsid w:val="637639ED"/>
    <w:rsid w:val="638C595E"/>
    <w:rsid w:val="639C016B"/>
    <w:rsid w:val="64157664"/>
    <w:rsid w:val="6425270D"/>
    <w:rsid w:val="64420C2A"/>
    <w:rsid w:val="64A6696C"/>
    <w:rsid w:val="64C004D8"/>
    <w:rsid w:val="64C5259F"/>
    <w:rsid w:val="64EA0FCF"/>
    <w:rsid w:val="655167CA"/>
    <w:rsid w:val="656C491B"/>
    <w:rsid w:val="65A00D84"/>
    <w:rsid w:val="66086B65"/>
    <w:rsid w:val="66346A66"/>
    <w:rsid w:val="669A56E0"/>
    <w:rsid w:val="67250883"/>
    <w:rsid w:val="674D64E7"/>
    <w:rsid w:val="6751418F"/>
    <w:rsid w:val="677700E3"/>
    <w:rsid w:val="67BF3E7A"/>
    <w:rsid w:val="67D266B3"/>
    <w:rsid w:val="67D70B7C"/>
    <w:rsid w:val="67DA0018"/>
    <w:rsid w:val="680A3E47"/>
    <w:rsid w:val="682A7F22"/>
    <w:rsid w:val="686730F2"/>
    <w:rsid w:val="686C2DA0"/>
    <w:rsid w:val="68756FA8"/>
    <w:rsid w:val="689E4D14"/>
    <w:rsid w:val="68F25091"/>
    <w:rsid w:val="690976D0"/>
    <w:rsid w:val="691919B8"/>
    <w:rsid w:val="694456E3"/>
    <w:rsid w:val="69555CD9"/>
    <w:rsid w:val="69681605"/>
    <w:rsid w:val="697D4736"/>
    <w:rsid w:val="69E9120E"/>
    <w:rsid w:val="69F96630"/>
    <w:rsid w:val="6A08390A"/>
    <w:rsid w:val="6A3613AC"/>
    <w:rsid w:val="6A38564B"/>
    <w:rsid w:val="6A9B06AB"/>
    <w:rsid w:val="6B850DDA"/>
    <w:rsid w:val="6B91280C"/>
    <w:rsid w:val="6BA72125"/>
    <w:rsid w:val="6C0859F8"/>
    <w:rsid w:val="6C410FEA"/>
    <w:rsid w:val="6CBF3486"/>
    <w:rsid w:val="6D1B5C7E"/>
    <w:rsid w:val="6D2E5797"/>
    <w:rsid w:val="6D58130D"/>
    <w:rsid w:val="6D5E7BE9"/>
    <w:rsid w:val="6D7D377F"/>
    <w:rsid w:val="6D8E16DF"/>
    <w:rsid w:val="6DA5609A"/>
    <w:rsid w:val="6DE224F6"/>
    <w:rsid w:val="6E1B2B27"/>
    <w:rsid w:val="6E2E712C"/>
    <w:rsid w:val="6EA91348"/>
    <w:rsid w:val="6EB63D5D"/>
    <w:rsid w:val="6F0B6010"/>
    <w:rsid w:val="6F114A9A"/>
    <w:rsid w:val="6FBF1C12"/>
    <w:rsid w:val="70163CF3"/>
    <w:rsid w:val="701C6F6C"/>
    <w:rsid w:val="70592BD0"/>
    <w:rsid w:val="70691153"/>
    <w:rsid w:val="707C46E6"/>
    <w:rsid w:val="708906D1"/>
    <w:rsid w:val="70A02695"/>
    <w:rsid w:val="70A96CEB"/>
    <w:rsid w:val="70C76100"/>
    <w:rsid w:val="70ED0E4E"/>
    <w:rsid w:val="71063A10"/>
    <w:rsid w:val="71593B40"/>
    <w:rsid w:val="715E70FD"/>
    <w:rsid w:val="71AF59F3"/>
    <w:rsid w:val="71B70534"/>
    <w:rsid w:val="71BB48E8"/>
    <w:rsid w:val="71C468BD"/>
    <w:rsid w:val="71D70292"/>
    <w:rsid w:val="71F32BFA"/>
    <w:rsid w:val="71FD1FC9"/>
    <w:rsid w:val="725C564E"/>
    <w:rsid w:val="72CC487C"/>
    <w:rsid w:val="72F774F5"/>
    <w:rsid w:val="74097BB1"/>
    <w:rsid w:val="74104207"/>
    <w:rsid w:val="745D0172"/>
    <w:rsid w:val="74F008B3"/>
    <w:rsid w:val="752D3A4F"/>
    <w:rsid w:val="753362C5"/>
    <w:rsid w:val="75822A16"/>
    <w:rsid w:val="759B5A5A"/>
    <w:rsid w:val="75D20971"/>
    <w:rsid w:val="75E42951"/>
    <w:rsid w:val="75F33F9B"/>
    <w:rsid w:val="75FA59FA"/>
    <w:rsid w:val="762768F9"/>
    <w:rsid w:val="76392F90"/>
    <w:rsid w:val="76577D91"/>
    <w:rsid w:val="76A87F1F"/>
    <w:rsid w:val="772918CF"/>
    <w:rsid w:val="77522230"/>
    <w:rsid w:val="775B3AB5"/>
    <w:rsid w:val="77905FE5"/>
    <w:rsid w:val="77954689"/>
    <w:rsid w:val="779B18FC"/>
    <w:rsid w:val="77BB691C"/>
    <w:rsid w:val="77D702A8"/>
    <w:rsid w:val="780370D4"/>
    <w:rsid w:val="7876004E"/>
    <w:rsid w:val="787C73F9"/>
    <w:rsid w:val="787D4DEF"/>
    <w:rsid w:val="788A4622"/>
    <w:rsid w:val="792175C5"/>
    <w:rsid w:val="79303C51"/>
    <w:rsid w:val="795E4766"/>
    <w:rsid w:val="795F1582"/>
    <w:rsid w:val="79804EF7"/>
    <w:rsid w:val="799D3616"/>
    <w:rsid w:val="79E058C9"/>
    <w:rsid w:val="7A242F20"/>
    <w:rsid w:val="7A5E6609"/>
    <w:rsid w:val="7A6C0AFC"/>
    <w:rsid w:val="7AD37ED3"/>
    <w:rsid w:val="7B016906"/>
    <w:rsid w:val="7B2B3FE0"/>
    <w:rsid w:val="7B4C30E7"/>
    <w:rsid w:val="7B752A79"/>
    <w:rsid w:val="7BCA517D"/>
    <w:rsid w:val="7BD001F1"/>
    <w:rsid w:val="7BD5086A"/>
    <w:rsid w:val="7C2F4BDD"/>
    <w:rsid w:val="7C5117AF"/>
    <w:rsid w:val="7C772A93"/>
    <w:rsid w:val="7CD4499B"/>
    <w:rsid w:val="7D127985"/>
    <w:rsid w:val="7D660923"/>
    <w:rsid w:val="7D7B6AD8"/>
    <w:rsid w:val="7DD064C2"/>
    <w:rsid w:val="7DD43CC2"/>
    <w:rsid w:val="7E001EAC"/>
    <w:rsid w:val="7E230656"/>
    <w:rsid w:val="7E41185C"/>
    <w:rsid w:val="7E6D4839"/>
    <w:rsid w:val="7ECC061A"/>
    <w:rsid w:val="7EFC7494"/>
    <w:rsid w:val="7F3E1D30"/>
    <w:rsid w:val="7F5A6F9E"/>
    <w:rsid w:val="7F6F4F13"/>
    <w:rsid w:val="7F762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72"/>
    <w:qFormat/>
    <w:uiPriority w:val="0"/>
    <w:pPr>
      <w:keepNext/>
      <w:snapToGrid w:val="0"/>
      <w:spacing w:line="360" w:lineRule="atLeast"/>
      <w:outlineLvl w:val="0"/>
    </w:pPr>
    <w:rPr>
      <w:rFonts w:ascii="宋体"/>
    </w:rPr>
  </w:style>
  <w:style w:type="paragraph" w:styleId="4">
    <w:name w:val="heading 2"/>
    <w:basedOn w:val="1"/>
    <w:next w:val="1"/>
    <w:link w:val="73"/>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74"/>
    <w:qFormat/>
    <w:uiPriority w:val="0"/>
    <w:pPr>
      <w:keepNext/>
      <w:keepLines/>
      <w:spacing w:before="260" w:after="260" w:line="413" w:lineRule="auto"/>
      <w:outlineLvl w:val="2"/>
    </w:pPr>
    <w:rPr>
      <w:b/>
      <w:sz w:val="32"/>
    </w:rPr>
  </w:style>
  <w:style w:type="paragraph" w:styleId="6">
    <w:name w:val="heading 4"/>
    <w:basedOn w:val="1"/>
    <w:next w:val="1"/>
    <w:link w:val="75"/>
    <w:qFormat/>
    <w:uiPriority w:val="0"/>
    <w:pPr>
      <w:keepNext/>
      <w:keepLines/>
      <w:spacing w:before="280" w:after="290" w:line="372" w:lineRule="auto"/>
      <w:outlineLvl w:val="3"/>
    </w:pPr>
    <w:rPr>
      <w:rFonts w:ascii="Arial" w:hAnsi="Arial" w:eastAsia="黑体"/>
      <w:b/>
    </w:rPr>
  </w:style>
  <w:style w:type="paragraph" w:styleId="7">
    <w:name w:val="heading 5"/>
    <w:basedOn w:val="1"/>
    <w:next w:val="1"/>
    <w:link w:val="76"/>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link w:val="77"/>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8"/>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9"/>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80"/>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780"/>
      </w:tabs>
      <w:spacing w:line="360" w:lineRule="auto"/>
      <w:ind w:left="425" w:hanging="425"/>
    </w:pPr>
    <w:rPr>
      <w:sz w:val="24"/>
    </w:rPr>
  </w:style>
  <w:style w:type="paragraph" w:styleId="15">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link w:val="169"/>
    <w:qFormat/>
    <w:uiPriority w:val="0"/>
    <w:pPr>
      <w:shd w:val="clear" w:color="auto" w:fill="000080"/>
    </w:pPr>
  </w:style>
  <w:style w:type="paragraph" w:styleId="19">
    <w:name w:val="annotation text"/>
    <w:basedOn w:val="1"/>
    <w:link w:val="148"/>
    <w:qFormat/>
    <w:uiPriority w:val="0"/>
    <w:pPr>
      <w:adjustRightInd w:val="0"/>
      <w:spacing w:line="360" w:lineRule="atLeast"/>
      <w:jc w:val="left"/>
      <w:textAlignment w:val="baseline"/>
    </w:pPr>
    <w:rPr>
      <w:rFonts w:asciiTheme="minorHAnsi" w:hAnsiTheme="minorHAnsi" w:eastAsiaTheme="minorEastAsia" w:cstheme="minorBidi"/>
      <w:sz w:val="24"/>
      <w:szCs w:val="22"/>
    </w:rPr>
  </w:style>
  <w:style w:type="paragraph" w:styleId="20">
    <w:name w:val="Body Text 3"/>
    <w:basedOn w:val="1"/>
    <w:link w:val="185"/>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next w:val="23"/>
    <w:link w:val="142"/>
    <w:unhideWhenUsed/>
    <w:qFormat/>
    <w:uiPriority w:val="0"/>
    <w:pPr>
      <w:spacing w:after="120"/>
    </w:pPr>
  </w:style>
  <w:style w:type="paragraph" w:styleId="23">
    <w:name w:val="Body Text Indent"/>
    <w:basedOn w:val="1"/>
    <w:link w:val="137"/>
    <w:unhideWhenUsed/>
    <w:qFormat/>
    <w:uiPriority w:val="0"/>
    <w:pPr>
      <w:spacing w:after="120"/>
      <w:ind w:left="420" w:leftChars="200"/>
    </w:p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126"/>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157"/>
    <w:qFormat/>
    <w:uiPriority w:val="0"/>
    <w:rPr>
      <w:rFonts w:asciiTheme="minorHAnsi" w:hAnsiTheme="minorHAnsi" w:eastAsiaTheme="minorEastAsia" w:cstheme="minorBidi"/>
      <w:szCs w:val="22"/>
    </w:rPr>
  </w:style>
  <w:style w:type="paragraph" w:styleId="33">
    <w:name w:val="Body Text Indent 2"/>
    <w:basedOn w:val="1"/>
    <w:link w:val="174"/>
    <w:qFormat/>
    <w:uiPriority w:val="0"/>
    <w:pPr>
      <w:snapToGrid w:val="0"/>
      <w:spacing w:line="560" w:lineRule="atLeast"/>
      <w:ind w:firstLine="540"/>
    </w:pPr>
    <w:rPr>
      <w:rFonts w:asciiTheme="minorHAnsi" w:hAnsiTheme="minorHAnsi" w:eastAsiaTheme="minorEastAsia" w:cstheme="minorBidi"/>
      <w:szCs w:val="22"/>
    </w:rPr>
  </w:style>
  <w:style w:type="paragraph" w:styleId="34">
    <w:name w:val="Balloon Text"/>
    <w:basedOn w:val="1"/>
    <w:link w:val="154"/>
    <w:qFormat/>
    <w:uiPriority w:val="0"/>
    <w:rPr>
      <w:sz w:val="18"/>
    </w:rPr>
  </w:style>
  <w:style w:type="paragraph" w:styleId="35">
    <w:name w:val="footer"/>
    <w:basedOn w:val="1"/>
    <w:link w:val="181"/>
    <w:qFormat/>
    <w:uiPriority w:val="0"/>
    <w:pPr>
      <w:tabs>
        <w:tab w:val="center" w:pos="4153"/>
        <w:tab w:val="right" w:pos="8306"/>
      </w:tabs>
      <w:snapToGrid w:val="0"/>
      <w:jc w:val="left"/>
    </w:pPr>
    <w:rPr>
      <w:sz w:val="18"/>
    </w:rPr>
  </w:style>
  <w:style w:type="paragraph" w:styleId="36">
    <w:name w:val="header"/>
    <w:basedOn w:val="1"/>
    <w:link w:val="170"/>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178"/>
    <w:qFormat/>
    <w:uiPriority w:val="0"/>
    <w:pPr>
      <w:spacing w:line="360" w:lineRule="auto"/>
    </w:pPr>
    <w:rPr>
      <w:rFonts w:asciiTheme="minorHAnsi" w:hAnsiTheme="minorHAnsi" w:eastAsiaTheme="minorEastAsia" w:cstheme="minorBidi"/>
      <w:sz w:val="18"/>
      <w:szCs w:val="22"/>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link w:val="165"/>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link w:val="144"/>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link w:val="120"/>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162"/>
    <w:qFormat/>
    <w:uiPriority w:val="0"/>
    <w:pPr>
      <w:adjustRightInd/>
      <w:spacing w:line="240" w:lineRule="auto"/>
      <w:textAlignment w:val="auto"/>
    </w:pPr>
  </w:style>
  <w:style w:type="paragraph" w:styleId="55">
    <w:name w:val="Body Text First Indent"/>
    <w:basedOn w:val="22"/>
    <w:link w:val="143"/>
    <w:qFormat/>
    <w:uiPriority w:val="0"/>
    <w:pPr>
      <w:spacing w:line="360" w:lineRule="auto"/>
      <w:ind w:firstLine="420"/>
    </w:pPr>
    <w:rPr>
      <w:rFonts w:ascii="宋体" w:hAnsi="宋体"/>
      <w:sz w:val="24"/>
    </w:rPr>
  </w:style>
  <w:style w:type="paragraph" w:styleId="56">
    <w:name w:val="Body Text First Indent 2"/>
    <w:basedOn w:val="23"/>
    <w:link w:val="138"/>
    <w:qFormat/>
    <w:uiPriority w:val="0"/>
    <w:pPr>
      <w:ind w:firstLine="420" w:firstLineChars="200"/>
    </w:pPr>
    <w:rPr>
      <w:rFonts w:asciiTheme="minorHAnsi" w:hAnsiTheme="minorHAnsi" w:eastAsiaTheme="minorEastAsia" w:cstheme="minorBidi"/>
      <w:sz w:val="44"/>
      <w:szCs w:val="22"/>
    </w:rPr>
  </w:style>
  <w:style w:type="table" w:styleId="58">
    <w:name w:val="Table Grid"/>
    <w:basedOn w:val="5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basedOn w:val="59"/>
    <w:qFormat/>
    <w:uiPriority w:val="22"/>
    <w:rPr>
      <w:b/>
    </w:rPr>
  </w:style>
  <w:style w:type="character" w:styleId="61">
    <w:name w:val="page number"/>
    <w:basedOn w:val="59"/>
    <w:qFormat/>
    <w:uiPriority w:val="0"/>
  </w:style>
  <w:style w:type="character" w:styleId="62">
    <w:name w:val="FollowedHyperlink"/>
    <w:basedOn w:val="59"/>
    <w:qFormat/>
    <w:uiPriority w:val="0"/>
    <w:rPr>
      <w:color w:val="1890FF"/>
      <w:u w:val="none"/>
    </w:rPr>
  </w:style>
  <w:style w:type="character" w:styleId="63">
    <w:name w:val="Emphasis"/>
    <w:qFormat/>
    <w:uiPriority w:val="0"/>
    <w:rPr>
      <w:i/>
    </w:rPr>
  </w:style>
  <w:style w:type="character" w:styleId="64">
    <w:name w:val="HTML Definition"/>
    <w:basedOn w:val="59"/>
    <w:unhideWhenUsed/>
    <w:qFormat/>
    <w:uiPriority w:val="99"/>
    <w:rPr>
      <w:i/>
      <w:bdr w:val="single" w:color="D9D9D9" w:sz="6" w:space="0"/>
      <w:shd w:val="clear" w:color="auto" w:fill="FFFFFF"/>
    </w:rPr>
  </w:style>
  <w:style w:type="character" w:styleId="65">
    <w:name w:val="Hyperlink"/>
    <w:basedOn w:val="59"/>
    <w:qFormat/>
    <w:uiPriority w:val="99"/>
    <w:rPr>
      <w:color w:val="1890FF"/>
      <w:u w:val="none"/>
    </w:rPr>
  </w:style>
  <w:style w:type="character" w:styleId="66">
    <w:name w:val="HTML Code"/>
    <w:basedOn w:val="59"/>
    <w:unhideWhenUsed/>
    <w:qFormat/>
    <w:uiPriority w:val="99"/>
    <w:rPr>
      <w:rFonts w:hint="default" w:ascii="Consolas" w:hAnsi="Consolas" w:eastAsia="Consolas" w:cs="Consolas"/>
      <w:sz w:val="21"/>
      <w:szCs w:val="21"/>
    </w:rPr>
  </w:style>
  <w:style w:type="character" w:styleId="67">
    <w:name w:val="annotation reference"/>
    <w:qFormat/>
    <w:uiPriority w:val="0"/>
    <w:rPr>
      <w:sz w:val="21"/>
      <w:szCs w:val="21"/>
    </w:rPr>
  </w:style>
  <w:style w:type="character" w:styleId="68">
    <w:name w:val="footnote reference"/>
    <w:qFormat/>
    <w:uiPriority w:val="0"/>
    <w:rPr>
      <w:position w:val="6"/>
      <w:sz w:val="14"/>
      <w:vertAlign w:val="superscript"/>
    </w:rPr>
  </w:style>
  <w:style w:type="character" w:styleId="69">
    <w:name w:val="HTML Keyboard"/>
    <w:basedOn w:val="59"/>
    <w:unhideWhenUsed/>
    <w:qFormat/>
    <w:uiPriority w:val="99"/>
    <w:rPr>
      <w:rFonts w:ascii="Consolas" w:hAnsi="Consolas" w:eastAsia="Consolas" w:cs="Consolas"/>
      <w:sz w:val="21"/>
      <w:szCs w:val="21"/>
    </w:rPr>
  </w:style>
  <w:style w:type="character" w:styleId="70">
    <w:name w:val="HTML Sample"/>
    <w:basedOn w:val="59"/>
    <w:unhideWhenUsed/>
    <w:qFormat/>
    <w:uiPriority w:val="99"/>
    <w:rPr>
      <w:rFonts w:hint="default" w:ascii="Consolas" w:hAnsi="Consolas" w:eastAsia="Consolas" w:cs="Consolas"/>
      <w:sz w:val="21"/>
      <w:szCs w:val="21"/>
    </w:rPr>
  </w:style>
  <w:style w:type="paragraph" w:customStyle="1" w:styleId="71">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72">
    <w:name w:val="标题 1 字符"/>
    <w:basedOn w:val="59"/>
    <w:link w:val="3"/>
    <w:qFormat/>
    <w:uiPriority w:val="0"/>
    <w:rPr>
      <w:rFonts w:ascii="宋体" w:hAnsi="Times New Roman" w:eastAsia="宋体" w:cs="Times New Roman"/>
      <w:sz w:val="28"/>
      <w:szCs w:val="20"/>
    </w:rPr>
  </w:style>
  <w:style w:type="character" w:customStyle="1" w:styleId="73">
    <w:name w:val="标题 2 字符"/>
    <w:basedOn w:val="59"/>
    <w:link w:val="4"/>
    <w:qFormat/>
    <w:uiPriority w:val="0"/>
    <w:rPr>
      <w:rFonts w:ascii="Arial" w:hAnsi="Arial" w:eastAsia="黑体" w:cs="Times New Roman"/>
      <w:b/>
      <w:sz w:val="32"/>
      <w:szCs w:val="20"/>
    </w:rPr>
  </w:style>
  <w:style w:type="character" w:customStyle="1" w:styleId="74">
    <w:name w:val="标题 3 字符"/>
    <w:basedOn w:val="59"/>
    <w:link w:val="5"/>
    <w:qFormat/>
    <w:uiPriority w:val="0"/>
    <w:rPr>
      <w:rFonts w:ascii="Times New Roman" w:hAnsi="Times New Roman" w:eastAsia="宋体" w:cs="Times New Roman"/>
      <w:b/>
      <w:sz w:val="32"/>
      <w:szCs w:val="20"/>
    </w:rPr>
  </w:style>
  <w:style w:type="character" w:customStyle="1" w:styleId="75">
    <w:name w:val="标题 4 字符"/>
    <w:basedOn w:val="59"/>
    <w:link w:val="6"/>
    <w:qFormat/>
    <w:uiPriority w:val="0"/>
    <w:rPr>
      <w:rFonts w:ascii="Arial" w:hAnsi="Arial" w:eastAsia="黑体" w:cs="Times New Roman"/>
      <w:b/>
      <w:sz w:val="28"/>
      <w:szCs w:val="20"/>
    </w:rPr>
  </w:style>
  <w:style w:type="character" w:customStyle="1" w:styleId="76">
    <w:name w:val="标题 5 字符"/>
    <w:basedOn w:val="59"/>
    <w:link w:val="7"/>
    <w:qFormat/>
    <w:uiPriority w:val="0"/>
    <w:rPr>
      <w:rFonts w:ascii="Times New Roman" w:hAnsi="Times New Roman" w:eastAsia="宋体" w:cs="Times New Roman"/>
      <w:b/>
      <w:sz w:val="28"/>
      <w:szCs w:val="20"/>
    </w:rPr>
  </w:style>
  <w:style w:type="character" w:customStyle="1" w:styleId="77">
    <w:name w:val="标题 6 字符"/>
    <w:basedOn w:val="59"/>
    <w:link w:val="8"/>
    <w:qFormat/>
    <w:uiPriority w:val="0"/>
    <w:rPr>
      <w:rFonts w:ascii="Arial" w:hAnsi="Arial" w:eastAsia="黑体" w:cs="Times New Roman"/>
      <w:b/>
      <w:sz w:val="24"/>
      <w:szCs w:val="20"/>
    </w:rPr>
  </w:style>
  <w:style w:type="character" w:customStyle="1" w:styleId="78">
    <w:name w:val="标题 7 字符"/>
    <w:basedOn w:val="59"/>
    <w:link w:val="9"/>
    <w:qFormat/>
    <w:uiPriority w:val="0"/>
    <w:rPr>
      <w:rFonts w:ascii="Arial" w:hAnsi="Arial" w:eastAsia="黑体" w:cs="Times New Roman"/>
      <w:b/>
      <w:sz w:val="24"/>
      <w:szCs w:val="20"/>
    </w:rPr>
  </w:style>
  <w:style w:type="character" w:customStyle="1" w:styleId="79">
    <w:name w:val="标题 8 字符"/>
    <w:basedOn w:val="59"/>
    <w:link w:val="10"/>
    <w:qFormat/>
    <w:uiPriority w:val="0"/>
    <w:rPr>
      <w:rFonts w:ascii="Arial" w:hAnsi="Arial" w:eastAsia="黑体" w:cs="Times New Roman"/>
      <w:b/>
      <w:sz w:val="24"/>
      <w:szCs w:val="20"/>
    </w:rPr>
  </w:style>
  <w:style w:type="character" w:customStyle="1" w:styleId="80">
    <w:name w:val="标题 9 字符"/>
    <w:basedOn w:val="59"/>
    <w:link w:val="11"/>
    <w:qFormat/>
    <w:uiPriority w:val="0"/>
    <w:rPr>
      <w:rFonts w:ascii="Arial" w:hAnsi="Arial" w:eastAsia="黑体" w:cs="Times New Roman"/>
      <w:b/>
      <w:sz w:val="24"/>
      <w:szCs w:val="20"/>
    </w:rPr>
  </w:style>
  <w:style w:type="character" w:customStyle="1" w:styleId="81">
    <w:name w:val="正文文本缩进 Char"/>
    <w:qFormat/>
    <w:uiPriority w:val="0"/>
    <w:rPr>
      <w:kern w:val="2"/>
      <w:sz w:val="44"/>
    </w:rPr>
  </w:style>
  <w:style w:type="character" w:customStyle="1" w:styleId="82">
    <w:name w:val="Table Heading Char Char"/>
    <w:qFormat/>
    <w:uiPriority w:val="0"/>
    <w:rPr>
      <w:rFonts w:ascii="Arial" w:hAnsi="Arial" w:eastAsia="黑体"/>
      <w:kern w:val="2"/>
      <w:sz w:val="18"/>
      <w:lang w:val="en-US" w:eastAsia="zh-CN"/>
    </w:rPr>
  </w:style>
  <w:style w:type="character" w:customStyle="1" w:styleId="83">
    <w:name w:val="样式 宋体"/>
    <w:qFormat/>
    <w:uiPriority w:val="0"/>
    <w:rPr>
      <w:rFonts w:ascii="宋体" w:hAnsi="宋体" w:eastAsia="宋体"/>
      <w:sz w:val="28"/>
    </w:rPr>
  </w:style>
  <w:style w:type="character" w:customStyle="1" w:styleId="84">
    <w:name w:val="Char Char4"/>
    <w:qFormat/>
    <w:uiPriority w:val="0"/>
    <w:rPr>
      <w:rFonts w:eastAsia="宋体"/>
      <w:b/>
      <w:kern w:val="2"/>
      <w:sz w:val="21"/>
      <w:lang w:val="en-US" w:eastAsia="zh-CN"/>
    </w:rPr>
  </w:style>
  <w:style w:type="character" w:customStyle="1" w:styleId="85">
    <w:name w:val="title_emph1"/>
    <w:qFormat/>
    <w:uiPriority w:val="0"/>
    <w:rPr>
      <w:rFonts w:hint="default" w:ascii="Arial" w:hAnsi="Arial"/>
      <w:b/>
      <w:sz w:val="20"/>
    </w:rPr>
  </w:style>
  <w:style w:type="character" w:customStyle="1" w:styleId="86">
    <w:name w:val="文字 Char"/>
    <w:link w:val="87"/>
    <w:qFormat/>
    <w:uiPriority w:val="0"/>
    <w:rPr>
      <w:rFonts w:ascii="宋体"/>
      <w:sz w:val="28"/>
    </w:rPr>
  </w:style>
  <w:style w:type="paragraph" w:customStyle="1" w:styleId="87">
    <w:name w:val="文字"/>
    <w:basedOn w:val="1"/>
    <w:link w:val="86"/>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88">
    <w:name w:val="正文文本缩进 2 Char"/>
    <w:qFormat/>
    <w:uiPriority w:val="0"/>
    <w:rPr>
      <w:sz w:val="28"/>
    </w:rPr>
  </w:style>
  <w:style w:type="character" w:customStyle="1" w:styleId="89">
    <w:name w:val="Char Char11"/>
    <w:qFormat/>
    <w:uiPriority w:val="0"/>
    <w:rPr>
      <w:rFonts w:ascii="宋体"/>
      <w:kern w:val="2"/>
      <w:sz w:val="28"/>
    </w:rPr>
  </w:style>
  <w:style w:type="character" w:customStyle="1" w:styleId="90">
    <w:name w:val="批注文字 Char"/>
    <w:qFormat/>
    <w:uiPriority w:val="0"/>
    <w:rPr>
      <w:sz w:val="24"/>
    </w:rPr>
  </w:style>
  <w:style w:type="character" w:customStyle="1" w:styleId="91">
    <w:name w:val="Char Char6"/>
    <w:qFormat/>
    <w:uiPriority w:val="0"/>
    <w:rPr>
      <w:rFonts w:ascii="仿宋_GB2312" w:eastAsia="仿宋_GB2312"/>
      <w:kern w:val="2"/>
      <w:sz w:val="32"/>
    </w:rPr>
  </w:style>
  <w:style w:type="character" w:customStyle="1" w:styleId="92">
    <w:name w:val="正文 + 三号 Char"/>
    <w:qFormat/>
    <w:uiPriority w:val="0"/>
    <w:rPr>
      <w:rFonts w:eastAsia="宋体"/>
      <w:kern w:val="2"/>
      <w:sz w:val="21"/>
      <w:lang w:val="en-US" w:eastAsia="zh-CN"/>
    </w:rPr>
  </w:style>
  <w:style w:type="character" w:customStyle="1" w:styleId="93">
    <w:name w:val="脚注文本 Char"/>
    <w:qFormat/>
    <w:uiPriority w:val="0"/>
    <w:rPr>
      <w:sz w:val="18"/>
    </w:rPr>
  </w:style>
  <w:style w:type="character" w:customStyle="1" w:styleId="94">
    <w:name w:val="Table Text Char1 Char"/>
    <w:qFormat/>
    <w:uiPriority w:val="0"/>
    <w:rPr>
      <w:rFonts w:ascii="Arial" w:hAnsi="Arial"/>
      <w:kern w:val="2"/>
      <w:sz w:val="18"/>
      <w:lang w:val="en-US" w:eastAsia="zh-CN" w:bidi="ar-SA"/>
    </w:rPr>
  </w:style>
  <w:style w:type="character" w:customStyle="1" w:styleId="95">
    <w:name w:val="v151"/>
    <w:qFormat/>
    <w:uiPriority w:val="0"/>
    <w:rPr>
      <w:sz w:val="18"/>
    </w:rPr>
  </w:style>
  <w:style w:type="character" w:customStyle="1" w:styleId="96">
    <w:name w:val="小 Char"/>
    <w:qFormat/>
    <w:uiPriority w:val="0"/>
    <w:rPr>
      <w:rFonts w:ascii="宋体" w:hAnsi="Courier New" w:eastAsia="宋体"/>
      <w:kern w:val="2"/>
      <w:sz w:val="21"/>
      <w:lang w:val="en-US" w:eastAsia="zh-CN" w:bidi="ar-SA"/>
    </w:rPr>
  </w:style>
  <w:style w:type="character" w:customStyle="1" w:styleId="97">
    <w:name w:val="未命名11"/>
    <w:qFormat/>
    <w:uiPriority w:val="0"/>
    <w:rPr>
      <w:color w:val="77FFFF"/>
      <w:sz w:val="24"/>
    </w:rPr>
  </w:style>
  <w:style w:type="character" w:customStyle="1" w:styleId="98">
    <w:name w:val="Char Char"/>
    <w:qFormat/>
    <w:uiPriority w:val="0"/>
    <w:rPr>
      <w:rFonts w:ascii="宋体" w:hAnsi="宋体" w:eastAsia="宋体"/>
      <w:kern w:val="2"/>
      <w:sz w:val="24"/>
      <w:lang w:val="en-US" w:eastAsia="zh-CN" w:bidi="ar-SA"/>
    </w:rPr>
  </w:style>
  <w:style w:type="character" w:customStyle="1" w:styleId="99">
    <w:name w:val="Char Char5"/>
    <w:qFormat/>
    <w:uiPriority w:val="0"/>
    <w:rPr>
      <w:rFonts w:ascii="Arial" w:hAnsi="Arial" w:eastAsia="宋体"/>
      <w:b/>
      <w:smallCaps/>
      <w:kern w:val="28"/>
      <w:sz w:val="36"/>
      <w:lang w:val="en-US" w:eastAsia="en-US"/>
    </w:rPr>
  </w:style>
  <w:style w:type="character" w:customStyle="1" w:styleId="100">
    <w:name w:val="标书正文:  0.74 厘米 Char1"/>
    <w:qFormat/>
    <w:uiPriority w:val="0"/>
    <w:rPr>
      <w:rFonts w:eastAsia="宋体"/>
      <w:kern w:val="2"/>
      <w:sz w:val="24"/>
      <w:lang w:val="en-US" w:eastAsia="zh-CN"/>
    </w:rPr>
  </w:style>
  <w:style w:type="character" w:customStyle="1" w:styleId="101">
    <w:name w:val="Char Char2"/>
    <w:qFormat/>
    <w:uiPriority w:val="0"/>
    <w:rPr>
      <w:rFonts w:eastAsia="宋体"/>
      <w:kern w:val="2"/>
      <w:sz w:val="18"/>
      <w:lang w:val="en-US" w:eastAsia="zh-CN"/>
    </w:rPr>
  </w:style>
  <w:style w:type="character" w:customStyle="1" w:styleId="102">
    <w:name w:val="top-det1"/>
    <w:qFormat/>
    <w:uiPriority w:val="0"/>
    <w:rPr>
      <w:b/>
      <w:color w:val="000000"/>
    </w:rPr>
  </w:style>
  <w:style w:type="character" w:customStyle="1" w:styleId="103">
    <w:name w:val="日期 Char"/>
    <w:qFormat/>
    <w:uiPriority w:val="0"/>
    <w:rPr>
      <w:sz w:val="28"/>
    </w:rPr>
  </w:style>
  <w:style w:type="character" w:customStyle="1" w:styleId="104">
    <w:name w:val="批注主题 Char"/>
    <w:basedOn w:val="90"/>
    <w:qFormat/>
    <w:uiPriority w:val="0"/>
    <w:rPr>
      <w:sz w:val="24"/>
    </w:rPr>
  </w:style>
  <w:style w:type="character" w:customStyle="1" w:styleId="105">
    <w:name w:val="Char Char3"/>
    <w:qFormat/>
    <w:uiPriority w:val="0"/>
    <w:rPr>
      <w:rFonts w:eastAsia="宋体"/>
      <w:kern w:val="2"/>
      <w:sz w:val="18"/>
      <w:lang w:val="en-US" w:eastAsia="zh-CN"/>
    </w:rPr>
  </w:style>
  <w:style w:type="character" w:customStyle="1" w:styleId="106">
    <w:name w:val="Table Text Char"/>
    <w:link w:val="107"/>
    <w:qFormat/>
    <w:uiPriority w:val="0"/>
    <w:rPr>
      <w:rFonts w:ascii="Arial" w:hAnsi="Arial"/>
      <w:sz w:val="18"/>
    </w:rPr>
  </w:style>
  <w:style w:type="paragraph" w:customStyle="1" w:styleId="107">
    <w:name w:val="Table Text"/>
    <w:link w:val="106"/>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08">
    <w:name w:val="crowed11"/>
    <w:qFormat/>
    <w:uiPriority w:val="0"/>
    <w:rPr>
      <w:rFonts w:hint="default"/>
      <w:sz w:val="24"/>
    </w:rPr>
  </w:style>
  <w:style w:type="character" w:customStyle="1" w:styleId="109">
    <w:name w:val="font1"/>
    <w:qFormat/>
    <w:uiPriority w:val="0"/>
    <w:rPr>
      <w:color w:val="000000"/>
      <w:sz w:val="18"/>
    </w:rPr>
  </w:style>
  <w:style w:type="character" w:customStyle="1" w:styleId="110">
    <w:name w:val="Table Text Char Char Char Char"/>
    <w:link w:val="111"/>
    <w:qFormat/>
    <w:uiPriority w:val="0"/>
    <w:rPr>
      <w:rFonts w:ascii="Arial" w:hAnsi="Arial"/>
      <w:sz w:val="18"/>
    </w:rPr>
  </w:style>
  <w:style w:type="paragraph" w:customStyle="1" w:styleId="111">
    <w:name w:val="Table Text Char Char Char"/>
    <w:link w:val="110"/>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2">
    <w:name w:val="H2 Char"/>
    <w:qFormat/>
    <w:uiPriority w:val="0"/>
    <w:rPr>
      <w:rFonts w:ascii="Arial" w:hAnsi="Arial" w:eastAsia="宋体"/>
      <w:kern w:val="2"/>
      <w:sz w:val="28"/>
      <w:lang w:val="en-US" w:eastAsia="zh-CN"/>
    </w:rPr>
  </w:style>
  <w:style w:type="character" w:customStyle="1" w:styleId="113">
    <w:name w:val="content-white1"/>
    <w:qFormat/>
    <w:uiPriority w:val="0"/>
    <w:rPr>
      <w:color w:val="auto"/>
      <w:sz w:val="18"/>
      <w:u w:val="none"/>
    </w:rPr>
  </w:style>
  <w:style w:type="character" w:customStyle="1" w:styleId="114">
    <w:name w:val="正文首行缩进 2 Char"/>
    <w:basedOn w:val="81"/>
    <w:qFormat/>
    <w:uiPriority w:val="0"/>
    <w:rPr>
      <w:kern w:val="2"/>
      <w:sz w:val="44"/>
    </w:rPr>
  </w:style>
  <w:style w:type="character" w:customStyle="1" w:styleId="115">
    <w:name w:val="Char Char7"/>
    <w:qFormat/>
    <w:uiPriority w:val="0"/>
    <w:rPr>
      <w:rFonts w:ascii="宋体" w:hAnsi="宋体" w:eastAsia="宋体"/>
      <w:kern w:val="2"/>
      <w:sz w:val="28"/>
    </w:rPr>
  </w:style>
  <w:style w:type="paragraph" w:customStyle="1" w:styleId="116">
    <w:name w:val="样式 首行缩进:  0.74 厘米"/>
    <w:basedOn w:val="1"/>
    <w:qFormat/>
    <w:uiPriority w:val="0"/>
    <w:pPr>
      <w:spacing w:line="360" w:lineRule="auto"/>
      <w:ind w:firstLine="420"/>
    </w:pPr>
    <w:rPr>
      <w:sz w:val="24"/>
    </w:rPr>
  </w:style>
  <w:style w:type="paragraph" w:customStyle="1" w:styleId="11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18">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19">
    <w:name w:val="正文 + 三号"/>
    <w:basedOn w:val="1"/>
    <w:qFormat/>
    <w:uiPriority w:val="0"/>
    <w:rPr>
      <w:sz w:val="21"/>
    </w:rPr>
  </w:style>
  <w:style w:type="character" w:customStyle="1" w:styleId="120">
    <w:name w:val="标题 字符"/>
    <w:basedOn w:val="59"/>
    <w:link w:val="53"/>
    <w:qFormat/>
    <w:uiPriority w:val="0"/>
    <w:rPr>
      <w:rFonts w:ascii="Arial" w:hAnsi="Arial" w:eastAsia="宋体" w:cs="Times New Roman"/>
      <w:b/>
      <w:smallCaps/>
      <w:kern w:val="28"/>
      <w:sz w:val="36"/>
      <w:szCs w:val="20"/>
      <w:lang w:eastAsia="en-US"/>
    </w:rPr>
  </w:style>
  <w:style w:type="paragraph" w:customStyle="1" w:styleId="12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22">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123">
    <w:name w:val="样式 正文缩进正文（首行缩进两字）表正文正文非缩进特点标题4段1 + 首行缩进:  2 字符"/>
    <w:basedOn w:val="16"/>
    <w:qFormat/>
    <w:uiPriority w:val="0"/>
    <w:pPr>
      <w:ind w:firstLine="480" w:firstLineChars="200"/>
    </w:pPr>
  </w:style>
  <w:style w:type="paragraph" w:customStyle="1" w:styleId="124">
    <w:name w:val="1.正文"/>
    <w:basedOn w:val="1"/>
    <w:qFormat/>
    <w:uiPriority w:val="0"/>
    <w:pPr>
      <w:spacing w:line="360" w:lineRule="auto"/>
      <w:ind w:left="540" w:leftChars="225" w:firstLine="540" w:firstLineChars="225"/>
    </w:pPr>
    <w:rPr>
      <w:sz w:val="24"/>
    </w:rPr>
  </w:style>
  <w:style w:type="paragraph" w:customStyle="1" w:styleId="125">
    <w:name w:val="正文4"/>
    <w:basedOn w:val="1"/>
    <w:qFormat/>
    <w:uiPriority w:val="0"/>
    <w:pPr>
      <w:tabs>
        <w:tab w:val="left" w:pos="1275"/>
      </w:tabs>
      <w:spacing w:before="60" w:after="60" w:line="360" w:lineRule="auto"/>
      <w:ind w:left="820" w:leftChars="400" w:hanging="705"/>
    </w:pPr>
    <w:rPr>
      <w:sz w:val="24"/>
    </w:rPr>
  </w:style>
  <w:style w:type="character" w:customStyle="1" w:styleId="126">
    <w:name w:val="纯文本 字符"/>
    <w:basedOn w:val="59"/>
    <w:link w:val="30"/>
    <w:qFormat/>
    <w:uiPriority w:val="0"/>
    <w:rPr>
      <w:rFonts w:ascii="宋体" w:hAnsi="Courier New" w:eastAsia="宋体" w:cs="Times New Roman"/>
      <w:szCs w:val="20"/>
    </w:rPr>
  </w:style>
  <w:style w:type="paragraph" w:customStyle="1" w:styleId="127">
    <w:name w:val="Char"/>
    <w:basedOn w:val="1"/>
    <w:qFormat/>
    <w:uiPriority w:val="0"/>
    <w:pPr>
      <w:spacing w:line="240" w:lineRule="atLeast"/>
      <w:ind w:left="420" w:firstLine="420"/>
    </w:pPr>
    <w:rPr>
      <w:kern w:val="0"/>
      <w:sz w:val="21"/>
    </w:rPr>
  </w:style>
  <w:style w:type="paragraph" w:customStyle="1" w:styleId="12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9">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3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2">
    <w:name w:val="Char2"/>
    <w:basedOn w:val="1"/>
    <w:qFormat/>
    <w:uiPriority w:val="0"/>
    <w:pPr>
      <w:spacing w:line="240" w:lineRule="atLeast"/>
      <w:ind w:left="420" w:firstLine="420"/>
    </w:pPr>
    <w:rPr>
      <w:kern w:val="0"/>
      <w:sz w:val="21"/>
    </w:rPr>
  </w:style>
  <w:style w:type="paragraph" w:customStyle="1" w:styleId="13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文章正文"/>
    <w:basedOn w:val="1"/>
    <w:qFormat/>
    <w:uiPriority w:val="0"/>
    <w:pPr>
      <w:ind w:firstLine="560" w:firstLineChars="200"/>
    </w:pPr>
    <w:rPr>
      <w:rFonts w:ascii="仿宋_GB2312" w:hAnsi="宋体" w:eastAsia="仿宋_GB2312"/>
      <w:color w:val="000000"/>
    </w:rPr>
  </w:style>
  <w:style w:type="paragraph" w:customStyle="1" w:styleId="136">
    <w:name w:val="表头文本"/>
    <w:qFormat/>
    <w:uiPriority w:val="0"/>
    <w:pPr>
      <w:jc w:val="center"/>
    </w:pPr>
    <w:rPr>
      <w:rFonts w:ascii="Arial" w:hAnsi="Arial" w:eastAsia="宋体" w:cs="Times New Roman"/>
      <w:b/>
      <w:sz w:val="21"/>
      <w:lang w:val="en-US" w:eastAsia="zh-CN" w:bidi="ar-SA"/>
    </w:rPr>
  </w:style>
  <w:style w:type="character" w:customStyle="1" w:styleId="137">
    <w:name w:val="正文文本缩进 字符"/>
    <w:basedOn w:val="59"/>
    <w:link w:val="23"/>
    <w:semiHidden/>
    <w:qFormat/>
    <w:uiPriority w:val="99"/>
    <w:rPr>
      <w:rFonts w:ascii="Times New Roman" w:hAnsi="Times New Roman" w:eastAsia="宋体" w:cs="Times New Roman"/>
      <w:sz w:val="28"/>
      <w:szCs w:val="20"/>
    </w:rPr>
  </w:style>
  <w:style w:type="character" w:customStyle="1" w:styleId="138">
    <w:name w:val="正文首行缩进 2 字符"/>
    <w:basedOn w:val="137"/>
    <w:link w:val="56"/>
    <w:semiHidden/>
    <w:qFormat/>
    <w:uiPriority w:val="99"/>
    <w:rPr>
      <w:rFonts w:ascii="Times New Roman" w:hAnsi="Times New Roman" w:eastAsia="宋体" w:cs="Times New Roman"/>
      <w:sz w:val="28"/>
      <w:szCs w:val="20"/>
    </w:rPr>
  </w:style>
  <w:style w:type="paragraph" w:customStyle="1" w:styleId="139">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40">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4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character" w:customStyle="1" w:styleId="142">
    <w:name w:val="正文文本 字符"/>
    <w:basedOn w:val="59"/>
    <w:link w:val="22"/>
    <w:semiHidden/>
    <w:qFormat/>
    <w:uiPriority w:val="99"/>
    <w:rPr>
      <w:rFonts w:ascii="Times New Roman" w:hAnsi="Times New Roman" w:eastAsia="宋体" w:cs="Times New Roman"/>
      <w:sz w:val="28"/>
      <w:szCs w:val="20"/>
    </w:rPr>
  </w:style>
  <w:style w:type="character" w:customStyle="1" w:styleId="143">
    <w:name w:val="正文首行缩进 字符"/>
    <w:basedOn w:val="142"/>
    <w:link w:val="55"/>
    <w:qFormat/>
    <w:uiPriority w:val="0"/>
    <w:rPr>
      <w:rFonts w:ascii="宋体" w:hAnsi="宋体" w:eastAsia="宋体" w:cs="Times New Roman"/>
      <w:sz w:val="24"/>
      <w:szCs w:val="20"/>
    </w:rPr>
  </w:style>
  <w:style w:type="character" w:customStyle="1" w:styleId="144">
    <w:name w:val="正文文本 2 字符"/>
    <w:basedOn w:val="59"/>
    <w:link w:val="47"/>
    <w:qFormat/>
    <w:uiPriority w:val="0"/>
    <w:rPr>
      <w:rFonts w:ascii="Times New Roman" w:hAnsi="Times New Roman" w:eastAsia="宋体" w:cs="Times New Roman"/>
      <w:sz w:val="24"/>
      <w:szCs w:val="20"/>
    </w:rPr>
  </w:style>
  <w:style w:type="paragraph" w:customStyle="1" w:styleId="145">
    <w:name w:val="Char Char14 Char Char"/>
    <w:basedOn w:val="1"/>
    <w:qFormat/>
    <w:uiPriority w:val="0"/>
    <w:rPr>
      <w:sz w:val="21"/>
      <w:szCs w:val="24"/>
    </w:rPr>
  </w:style>
  <w:style w:type="paragraph" w:customStyle="1" w:styleId="14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47">
    <w:name w:val="Char Char Char"/>
    <w:basedOn w:val="1"/>
    <w:qFormat/>
    <w:uiPriority w:val="0"/>
    <w:rPr>
      <w:rFonts w:ascii="Tahoma" w:hAnsi="Tahoma"/>
      <w:sz w:val="24"/>
    </w:rPr>
  </w:style>
  <w:style w:type="character" w:customStyle="1" w:styleId="148">
    <w:name w:val="批注文字 字符"/>
    <w:basedOn w:val="59"/>
    <w:link w:val="19"/>
    <w:semiHidden/>
    <w:qFormat/>
    <w:uiPriority w:val="99"/>
    <w:rPr>
      <w:rFonts w:ascii="Times New Roman" w:hAnsi="Times New Roman" w:eastAsia="宋体" w:cs="Times New Roman"/>
      <w:sz w:val="28"/>
      <w:szCs w:val="20"/>
    </w:rPr>
  </w:style>
  <w:style w:type="paragraph" w:customStyle="1" w:styleId="149">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50">
    <w:name w:val="样式4"/>
    <w:basedOn w:val="6"/>
    <w:qFormat/>
    <w:uiPriority w:val="0"/>
    <w:pPr>
      <w:adjustRightInd w:val="0"/>
      <w:snapToGrid w:val="0"/>
    </w:pPr>
  </w:style>
  <w:style w:type="paragraph" w:customStyle="1" w:styleId="151">
    <w:name w:val="编号正文"/>
    <w:basedOn w:val="128"/>
    <w:qFormat/>
    <w:uiPriority w:val="0"/>
    <w:pPr>
      <w:snapToGrid/>
      <w:spacing w:line="360" w:lineRule="auto"/>
      <w:ind w:left="1407" w:hanging="1047"/>
      <w:jc w:val="left"/>
    </w:pPr>
    <w:rPr>
      <w:rFonts w:eastAsia="仿宋_GB2312"/>
    </w:rPr>
  </w:style>
  <w:style w:type="paragraph" w:customStyle="1" w:styleId="152">
    <w:name w:val="Char1 Char Char Char"/>
    <w:basedOn w:val="1"/>
    <w:qFormat/>
    <w:uiPriority w:val="0"/>
    <w:rPr>
      <w:rFonts w:ascii="Tahoma" w:hAnsi="Tahoma"/>
      <w:sz w:val="24"/>
    </w:rPr>
  </w:style>
  <w:style w:type="paragraph" w:customStyle="1" w:styleId="153">
    <w:name w:val="正文1"/>
    <w:basedOn w:val="1"/>
    <w:qFormat/>
    <w:uiPriority w:val="0"/>
    <w:pPr>
      <w:spacing w:line="300" w:lineRule="auto"/>
      <w:ind w:firstLine="200" w:firstLineChars="200"/>
    </w:pPr>
    <w:rPr>
      <w:sz w:val="24"/>
    </w:rPr>
  </w:style>
  <w:style w:type="character" w:customStyle="1" w:styleId="154">
    <w:name w:val="批注框文本 字符"/>
    <w:basedOn w:val="59"/>
    <w:link w:val="34"/>
    <w:qFormat/>
    <w:uiPriority w:val="0"/>
    <w:rPr>
      <w:rFonts w:ascii="Times New Roman" w:hAnsi="Times New Roman" w:eastAsia="宋体" w:cs="Times New Roman"/>
      <w:sz w:val="18"/>
      <w:szCs w:val="20"/>
    </w:rPr>
  </w:style>
  <w:style w:type="paragraph" w:customStyle="1" w:styleId="155">
    <w:name w:val="af"/>
    <w:basedOn w:val="1"/>
    <w:qFormat/>
    <w:uiPriority w:val="0"/>
    <w:pPr>
      <w:widowControl/>
      <w:spacing w:line="300" w:lineRule="atLeast"/>
      <w:jc w:val="left"/>
    </w:pPr>
    <w:rPr>
      <w:rFonts w:ascii="宋体" w:hAnsi="宋体"/>
      <w:kern w:val="0"/>
      <w:sz w:val="18"/>
    </w:rPr>
  </w:style>
  <w:style w:type="paragraph" w:customStyle="1" w:styleId="156">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character" w:customStyle="1" w:styleId="157">
    <w:name w:val="日期 字符"/>
    <w:basedOn w:val="59"/>
    <w:link w:val="32"/>
    <w:semiHidden/>
    <w:qFormat/>
    <w:uiPriority w:val="99"/>
    <w:rPr>
      <w:rFonts w:ascii="Times New Roman" w:hAnsi="Times New Roman" w:eastAsia="宋体" w:cs="Times New Roman"/>
      <w:sz w:val="28"/>
      <w:szCs w:val="20"/>
    </w:rPr>
  </w:style>
  <w:style w:type="paragraph" w:customStyle="1" w:styleId="158">
    <w:name w:val="样式1xz"/>
    <w:basedOn w:val="1"/>
    <w:qFormat/>
    <w:uiPriority w:val="0"/>
    <w:pPr>
      <w:tabs>
        <w:tab w:val="left" w:pos="1050"/>
        <w:tab w:val="right" w:leader="dot" w:pos="8296"/>
      </w:tabs>
    </w:pPr>
    <w:rPr>
      <w:caps/>
      <w:spacing w:val="20"/>
      <w:sz w:val="24"/>
    </w:rPr>
  </w:style>
  <w:style w:type="paragraph" w:customStyle="1" w:styleId="159">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60">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61">
    <w:name w:val="正文文本 21"/>
    <w:basedOn w:val="1"/>
    <w:qFormat/>
    <w:uiPriority w:val="0"/>
    <w:pPr>
      <w:adjustRightInd w:val="0"/>
      <w:spacing w:before="120" w:line="360" w:lineRule="auto"/>
      <w:ind w:firstLine="480"/>
      <w:textAlignment w:val="baseline"/>
    </w:pPr>
    <w:rPr>
      <w:sz w:val="24"/>
    </w:rPr>
  </w:style>
  <w:style w:type="character" w:customStyle="1" w:styleId="162">
    <w:name w:val="批注主题 字符"/>
    <w:basedOn w:val="148"/>
    <w:link w:val="54"/>
    <w:semiHidden/>
    <w:qFormat/>
    <w:uiPriority w:val="99"/>
    <w:rPr>
      <w:rFonts w:ascii="Times New Roman" w:hAnsi="Times New Roman" w:eastAsia="宋体" w:cs="Times New Roman"/>
      <w:b/>
      <w:bCs/>
      <w:sz w:val="28"/>
      <w:szCs w:val="20"/>
    </w:rPr>
  </w:style>
  <w:style w:type="paragraph" w:customStyle="1" w:styleId="163">
    <w:name w:val="一级条标题"/>
    <w:basedOn w:val="164"/>
    <w:next w:val="133"/>
    <w:qFormat/>
    <w:uiPriority w:val="0"/>
    <w:pPr>
      <w:ind w:left="525"/>
      <w:outlineLvl w:val="2"/>
    </w:pPr>
    <w:rPr>
      <w:sz w:val="21"/>
    </w:rPr>
  </w:style>
  <w:style w:type="paragraph" w:customStyle="1" w:styleId="164">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character" w:customStyle="1" w:styleId="165">
    <w:name w:val="正文文本缩进 3 字符"/>
    <w:basedOn w:val="59"/>
    <w:link w:val="43"/>
    <w:qFormat/>
    <w:uiPriority w:val="0"/>
    <w:rPr>
      <w:rFonts w:ascii="黑体" w:hAnsi="Times New Roman" w:eastAsia="黑体" w:cs="Times New Roman"/>
      <w:sz w:val="28"/>
      <w:szCs w:val="20"/>
    </w:rPr>
  </w:style>
  <w:style w:type="paragraph" w:customStyle="1" w:styleId="166">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67">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68">
    <w:name w:val="可研正文"/>
    <w:basedOn w:val="22"/>
    <w:qFormat/>
    <w:uiPriority w:val="0"/>
    <w:pPr>
      <w:adjustRightInd w:val="0"/>
      <w:snapToGrid w:val="0"/>
      <w:spacing w:after="0" w:line="440" w:lineRule="exact"/>
      <w:ind w:firstLine="567"/>
    </w:pPr>
    <w:rPr>
      <w:rFonts w:ascii="仿宋_GB2312" w:eastAsia="仿宋_GB2312"/>
    </w:rPr>
  </w:style>
  <w:style w:type="character" w:customStyle="1" w:styleId="169">
    <w:name w:val="文档结构图 字符"/>
    <w:basedOn w:val="59"/>
    <w:link w:val="18"/>
    <w:qFormat/>
    <w:uiPriority w:val="0"/>
    <w:rPr>
      <w:rFonts w:ascii="Times New Roman" w:hAnsi="Times New Roman" w:eastAsia="宋体" w:cs="Times New Roman"/>
      <w:sz w:val="28"/>
      <w:szCs w:val="20"/>
      <w:shd w:val="clear" w:color="auto" w:fill="000080"/>
    </w:rPr>
  </w:style>
  <w:style w:type="character" w:customStyle="1" w:styleId="170">
    <w:name w:val="页眉 字符"/>
    <w:basedOn w:val="59"/>
    <w:link w:val="36"/>
    <w:qFormat/>
    <w:uiPriority w:val="0"/>
    <w:rPr>
      <w:rFonts w:ascii="Times New Roman" w:hAnsi="Times New Roman" w:eastAsia="宋体" w:cs="Times New Roman"/>
      <w:sz w:val="18"/>
      <w:szCs w:val="20"/>
    </w:rPr>
  </w:style>
  <w:style w:type="paragraph" w:customStyle="1" w:styleId="171">
    <w:name w:val="标题无"/>
    <w:basedOn w:val="1"/>
    <w:qFormat/>
    <w:uiPriority w:val="0"/>
    <w:pPr>
      <w:spacing w:line="360" w:lineRule="auto"/>
    </w:pPr>
    <w:rPr>
      <w:sz w:val="24"/>
    </w:rPr>
  </w:style>
  <w:style w:type="paragraph" w:customStyle="1" w:styleId="172">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73">
    <w:name w:val="Char Char1 Char"/>
    <w:basedOn w:val="1"/>
    <w:qFormat/>
    <w:uiPriority w:val="0"/>
    <w:rPr>
      <w:rFonts w:ascii="Tahoma" w:hAnsi="Tahoma"/>
      <w:sz w:val="24"/>
      <w:szCs w:val="24"/>
    </w:rPr>
  </w:style>
  <w:style w:type="character" w:customStyle="1" w:styleId="174">
    <w:name w:val="正文文本缩进 2 字符"/>
    <w:basedOn w:val="59"/>
    <w:link w:val="33"/>
    <w:semiHidden/>
    <w:qFormat/>
    <w:uiPriority w:val="99"/>
    <w:rPr>
      <w:rFonts w:ascii="Times New Roman" w:hAnsi="Times New Roman" w:eastAsia="宋体" w:cs="Times New Roman"/>
      <w:sz w:val="28"/>
      <w:szCs w:val="20"/>
    </w:rPr>
  </w:style>
  <w:style w:type="paragraph" w:customStyle="1" w:styleId="17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6">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77">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character" w:customStyle="1" w:styleId="178">
    <w:name w:val="脚注文本 字符"/>
    <w:basedOn w:val="59"/>
    <w:link w:val="40"/>
    <w:semiHidden/>
    <w:qFormat/>
    <w:uiPriority w:val="99"/>
    <w:rPr>
      <w:rFonts w:ascii="Times New Roman" w:hAnsi="Times New Roman" w:eastAsia="宋体" w:cs="Times New Roman"/>
      <w:sz w:val="18"/>
      <w:szCs w:val="18"/>
    </w:rPr>
  </w:style>
  <w:style w:type="paragraph" w:customStyle="1" w:styleId="179">
    <w:name w:val="00"/>
    <w:basedOn w:val="1"/>
    <w:qFormat/>
    <w:uiPriority w:val="0"/>
    <w:pPr>
      <w:autoSpaceDE w:val="0"/>
      <w:autoSpaceDN w:val="0"/>
      <w:adjustRightInd w:val="0"/>
      <w:jc w:val="left"/>
    </w:pPr>
    <w:rPr>
      <w:rFonts w:ascii="黑体" w:eastAsia="黑体"/>
      <w:b/>
      <w:kern w:val="0"/>
      <w:sz w:val="20"/>
    </w:rPr>
  </w:style>
  <w:style w:type="paragraph" w:customStyle="1" w:styleId="180">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character" w:customStyle="1" w:styleId="181">
    <w:name w:val="页脚 字符"/>
    <w:basedOn w:val="59"/>
    <w:link w:val="35"/>
    <w:qFormat/>
    <w:uiPriority w:val="0"/>
    <w:rPr>
      <w:rFonts w:ascii="Times New Roman" w:hAnsi="Times New Roman" w:eastAsia="宋体" w:cs="Times New Roman"/>
      <w:sz w:val="18"/>
      <w:szCs w:val="20"/>
    </w:rPr>
  </w:style>
  <w:style w:type="paragraph" w:customStyle="1" w:styleId="182">
    <w:name w:val="正文（首行不缩进）"/>
    <w:basedOn w:val="1"/>
    <w:qFormat/>
    <w:uiPriority w:val="0"/>
    <w:pPr>
      <w:autoSpaceDE w:val="0"/>
      <w:autoSpaceDN w:val="0"/>
      <w:adjustRightInd w:val="0"/>
      <w:spacing w:line="360" w:lineRule="auto"/>
      <w:jc w:val="left"/>
    </w:pPr>
    <w:rPr>
      <w:kern w:val="0"/>
      <w:sz w:val="21"/>
    </w:rPr>
  </w:style>
  <w:style w:type="paragraph" w:customStyle="1" w:styleId="183">
    <w:name w:val="Title - Revision"/>
    <w:basedOn w:val="53"/>
    <w:qFormat/>
    <w:uiPriority w:val="0"/>
    <w:pPr>
      <w:spacing w:before="720"/>
    </w:pPr>
  </w:style>
  <w:style w:type="paragraph" w:customStyle="1" w:styleId="184">
    <w:name w:val="首行缩进 1"/>
    <w:basedOn w:val="1"/>
    <w:qFormat/>
    <w:uiPriority w:val="0"/>
    <w:pPr>
      <w:spacing w:after="120" w:line="360" w:lineRule="auto"/>
      <w:ind w:firstLine="200" w:firstLineChars="200"/>
    </w:pPr>
    <w:rPr>
      <w:sz w:val="24"/>
    </w:rPr>
  </w:style>
  <w:style w:type="character" w:customStyle="1" w:styleId="185">
    <w:name w:val="正文文本 3 字符"/>
    <w:basedOn w:val="59"/>
    <w:link w:val="20"/>
    <w:qFormat/>
    <w:uiPriority w:val="0"/>
    <w:rPr>
      <w:rFonts w:ascii="Times New Roman" w:hAnsi="Times New Roman" w:eastAsia="宋体" w:cs="Times New Roman"/>
      <w:sz w:val="16"/>
      <w:szCs w:val="20"/>
    </w:rPr>
  </w:style>
  <w:style w:type="paragraph" w:customStyle="1" w:styleId="186">
    <w:name w:val="Char Char Char Char Char Char Char Char Char Char Char Char Char Char Char Char"/>
    <w:basedOn w:val="1"/>
    <w:qFormat/>
    <w:uiPriority w:val="0"/>
    <w:pPr>
      <w:tabs>
        <w:tab w:val="left" w:pos="360"/>
      </w:tabs>
    </w:pPr>
    <w:rPr>
      <w:sz w:val="24"/>
    </w:rPr>
  </w:style>
  <w:style w:type="paragraph" w:customStyle="1" w:styleId="187">
    <w:name w:val="二级列表"/>
    <w:basedOn w:val="188"/>
    <w:next w:val="188"/>
    <w:qFormat/>
    <w:uiPriority w:val="0"/>
    <w:pPr>
      <w:tabs>
        <w:tab w:val="left" w:pos="2120"/>
      </w:tabs>
      <w:ind w:firstLine="0" w:firstLineChars="0"/>
    </w:pPr>
    <w:rPr>
      <w:b/>
    </w:rPr>
  </w:style>
  <w:style w:type="paragraph" w:customStyle="1" w:styleId="188">
    <w:name w:val="段落正文"/>
    <w:basedOn w:val="1"/>
    <w:qFormat/>
    <w:uiPriority w:val="0"/>
    <w:pPr>
      <w:spacing w:beforeLines="50" w:line="360" w:lineRule="auto"/>
      <w:ind w:firstLine="200" w:firstLineChars="200"/>
    </w:pPr>
    <w:rPr>
      <w:spacing w:val="2"/>
      <w:sz w:val="24"/>
    </w:rPr>
  </w:style>
  <w:style w:type="paragraph" w:customStyle="1" w:styleId="18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0">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91">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92">
    <w:name w:val="标书正文:  0.74 厘米"/>
    <w:basedOn w:val="1"/>
    <w:qFormat/>
    <w:uiPriority w:val="0"/>
    <w:pPr>
      <w:snapToGrid w:val="0"/>
      <w:spacing w:line="360" w:lineRule="auto"/>
      <w:ind w:firstLine="420"/>
    </w:pPr>
    <w:rPr>
      <w:sz w:val="24"/>
    </w:rPr>
  </w:style>
  <w:style w:type="paragraph" w:customStyle="1" w:styleId="193">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94">
    <w:name w:val="正文文本缩进 21"/>
    <w:basedOn w:val="1"/>
    <w:qFormat/>
    <w:uiPriority w:val="0"/>
    <w:pPr>
      <w:adjustRightInd w:val="0"/>
      <w:spacing w:before="120"/>
      <w:ind w:firstLine="420"/>
      <w:textAlignment w:val="baseline"/>
    </w:pPr>
    <w:rPr>
      <w:sz w:val="24"/>
    </w:rPr>
  </w:style>
  <w:style w:type="paragraph" w:customStyle="1" w:styleId="19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96">
    <w:name w:val="_Style 1"/>
    <w:basedOn w:val="1"/>
    <w:qFormat/>
    <w:uiPriority w:val="0"/>
    <w:pPr>
      <w:ind w:firstLine="420" w:firstLineChars="200"/>
    </w:pPr>
    <w:rPr>
      <w:rFonts w:ascii="Calibri" w:hAnsi="Calibri"/>
      <w:sz w:val="21"/>
      <w:szCs w:val="24"/>
    </w:rPr>
  </w:style>
  <w:style w:type="paragraph" w:customStyle="1" w:styleId="197">
    <w:name w:val="表格内文字"/>
    <w:basedOn w:val="30"/>
    <w:qFormat/>
    <w:uiPriority w:val="0"/>
    <w:pPr>
      <w:adjustRightInd w:val="0"/>
    </w:pPr>
    <w:rPr>
      <w:color w:val="000000"/>
      <w:lang w:val="en-GB"/>
    </w:rPr>
  </w:style>
  <w:style w:type="paragraph" w:customStyle="1" w:styleId="198">
    <w:name w:val="Title - Date"/>
    <w:basedOn w:val="53"/>
    <w:next w:val="1"/>
    <w:qFormat/>
    <w:uiPriority w:val="0"/>
    <w:pPr>
      <w:spacing w:before="240" w:after="720"/>
    </w:pPr>
    <w:rPr>
      <w:sz w:val="28"/>
    </w:rPr>
  </w:style>
  <w:style w:type="paragraph" w:customStyle="1" w:styleId="199">
    <w:name w:val="默认段落字体 Para Char Char Char Char Char Char Char"/>
    <w:basedOn w:val="1"/>
    <w:qFormat/>
    <w:uiPriority w:val="0"/>
    <w:rPr>
      <w:rFonts w:ascii="Tahoma" w:hAnsi="Tahoma"/>
      <w:sz w:val="24"/>
    </w:rPr>
  </w:style>
  <w:style w:type="paragraph" w:customStyle="1" w:styleId="200">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201">
    <w:name w:val="Table Contents"/>
    <w:basedOn w:val="22"/>
    <w:qFormat/>
    <w:uiPriority w:val="0"/>
    <w:pPr>
      <w:suppressAutoHyphens/>
      <w:spacing w:after="0"/>
      <w:jc w:val="left"/>
    </w:pPr>
    <w:rPr>
      <w:rFonts w:eastAsia="Times New Roman"/>
      <w:kern w:val="0"/>
      <w:sz w:val="24"/>
    </w:rPr>
  </w:style>
  <w:style w:type="paragraph" w:customStyle="1" w:styleId="202">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03">
    <w:name w:val="Char Char Char Char Char Char"/>
    <w:basedOn w:val="1"/>
    <w:qFormat/>
    <w:uiPriority w:val="0"/>
    <w:pPr>
      <w:widowControl/>
      <w:spacing w:after="160" w:line="240" w:lineRule="exact"/>
      <w:jc w:val="left"/>
    </w:pPr>
  </w:style>
  <w:style w:type="paragraph" w:customStyle="1" w:styleId="204">
    <w:name w:val="标准正文"/>
    <w:basedOn w:val="23"/>
    <w:qFormat/>
    <w:uiPriority w:val="0"/>
    <w:pPr>
      <w:spacing w:before="60" w:after="60" w:line="360" w:lineRule="auto"/>
      <w:ind w:left="0" w:leftChars="0" w:firstLine="482"/>
    </w:pPr>
    <w:rPr>
      <w:rFonts w:ascii="Arial" w:hAnsi="Arial"/>
      <w:sz w:val="24"/>
    </w:rPr>
  </w:style>
  <w:style w:type="paragraph" w:customStyle="1" w:styleId="20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06">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7">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0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209">
    <w:name w:val="1"/>
    <w:basedOn w:val="1"/>
    <w:next w:val="30"/>
    <w:qFormat/>
    <w:uiPriority w:val="0"/>
    <w:rPr>
      <w:rFonts w:ascii="宋体" w:hAnsi="Courier New"/>
      <w:sz w:val="21"/>
    </w:rPr>
  </w:style>
  <w:style w:type="paragraph" w:customStyle="1" w:styleId="210">
    <w:name w:val="图片文字"/>
    <w:basedOn w:val="1"/>
    <w:qFormat/>
    <w:uiPriority w:val="0"/>
    <w:pPr>
      <w:spacing w:line="240" w:lineRule="atLeast"/>
      <w:jc w:val="center"/>
    </w:pPr>
    <w:rPr>
      <w:sz w:val="21"/>
    </w:rPr>
  </w:style>
  <w:style w:type="paragraph" w:customStyle="1" w:styleId="21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1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13">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14">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Note"/>
    <w:basedOn w:val="1"/>
    <w:qFormat/>
    <w:uiPriority w:val="0"/>
    <w:pPr>
      <w:pBdr>
        <w:top w:val="single" w:color="auto" w:sz="12" w:space="3"/>
        <w:bottom w:val="single" w:color="auto" w:sz="12" w:space="3"/>
      </w:pBdr>
      <w:spacing w:line="360" w:lineRule="auto"/>
    </w:pPr>
    <w:rPr>
      <w:sz w:val="24"/>
    </w:rPr>
  </w:style>
  <w:style w:type="paragraph" w:customStyle="1" w:styleId="216">
    <w:name w:val="Char Char 字元 字元 字元 Char Char Char Char"/>
    <w:basedOn w:val="1"/>
    <w:qFormat/>
    <w:uiPriority w:val="0"/>
    <w:pPr>
      <w:adjustRightInd w:val="0"/>
      <w:spacing w:line="360" w:lineRule="auto"/>
    </w:pPr>
    <w:rPr>
      <w:kern w:val="0"/>
      <w:sz w:val="24"/>
    </w:rPr>
  </w:style>
  <w:style w:type="paragraph" w:customStyle="1" w:styleId="21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18">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1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表文字"/>
    <w:qFormat/>
    <w:uiPriority w:val="0"/>
    <w:rPr>
      <w:rFonts w:ascii="宋体" w:hAnsi="Times New Roman" w:eastAsia="宋体" w:cs="Times New Roman"/>
      <w:kern w:val="2"/>
      <w:lang w:val="en-US" w:eastAsia="zh-CN" w:bidi="ar-SA"/>
    </w:rPr>
  </w:style>
  <w:style w:type="paragraph" w:customStyle="1" w:styleId="221">
    <w:name w:val="样式 行距: 1.5 倍行距1"/>
    <w:basedOn w:val="1"/>
    <w:qFormat/>
    <w:uiPriority w:val="0"/>
    <w:pPr>
      <w:snapToGrid w:val="0"/>
    </w:pPr>
    <w:rPr>
      <w:sz w:val="21"/>
    </w:rPr>
  </w:style>
  <w:style w:type="paragraph" w:customStyle="1" w:styleId="222">
    <w:name w:val="样式2"/>
    <w:basedOn w:val="6"/>
    <w:qFormat/>
    <w:uiPriority w:val="0"/>
    <w:pPr>
      <w:tabs>
        <w:tab w:val="left" w:pos="720"/>
      </w:tabs>
      <w:spacing w:before="560" w:line="400" w:lineRule="exact"/>
      <w:ind w:left="420" w:hanging="420"/>
      <w:jc w:val="center"/>
      <w:outlineLvl w:val="0"/>
    </w:pPr>
    <w:rPr>
      <w:b w:val="0"/>
      <w:sz w:val="44"/>
    </w:rPr>
  </w:style>
  <w:style w:type="paragraph" w:customStyle="1" w:styleId="22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24">
    <w:name w:val="默认段落字体 Para Char Char Char Char Char Char Char Char Char1 Char Char Char Char"/>
    <w:basedOn w:val="1"/>
    <w:qFormat/>
    <w:uiPriority w:val="0"/>
    <w:rPr>
      <w:rFonts w:ascii="Tahoma" w:hAnsi="Tahoma"/>
      <w:sz w:val="24"/>
    </w:rPr>
  </w:style>
  <w:style w:type="paragraph" w:customStyle="1" w:styleId="22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26">
    <w:name w:val="表头样式"/>
    <w:basedOn w:val="1"/>
    <w:qFormat/>
    <w:uiPriority w:val="0"/>
    <w:pPr>
      <w:autoSpaceDE w:val="0"/>
      <w:autoSpaceDN w:val="0"/>
      <w:adjustRightInd w:val="0"/>
      <w:spacing w:line="360" w:lineRule="auto"/>
      <w:jc w:val="left"/>
    </w:pPr>
    <w:rPr>
      <w:b/>
      <w:kern w:val="0"/>
      <w:sz w:val="21"/>
    </w:rPr>
  </w:style>
  <w:style w:type="paragraph" w:customStyle="1" w:styleId="227">
    <w:name w:val="IN Feature"/>
    <w:next w:val="22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28">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229">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30">
    <w:name w:val="列表项目"/>
    <w:basedOn w:val="1"/>
    <w:qFormat/>
    <w:uiPriority w:val="0"/>
    <w:pPr>
      <w:tabs>
        <w:tab w:val="left" w:pos="420"/>
      </w:tabs>
      <w:spacing w:line="288" w:lineRule="auto"/>
      <w:ind w:left="840" w:leftChars="200" w:hanging="420" w:hangingChars="200"/>
    </w:pPr>
    <w:rPr>
      <w:sz w:val="21"/>
    </w:rPr>
  </w:style>
  <w:style w:type="paragraph" w:customStyle="1" w:styleId="23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2">
    <w:name w:val="简单回函地址"/>
    <w:basedOn w:val="1"/>
    <w:qFormat/>
    <w:uiPriority w:val="0"/>
    <w:pPr>
      <w:adjustRightInd w:val="0"/>
      <w:snapToGrid w:val="0"/>
      <w:spacing w:line="360" w:lineRule="auto"/>
    </w:pPr>
    <w:rPr>
      <w:sz w:val="24"/>
    </w:rPr>
  </w:style>
  <w:style w:type="paragraph" w:customStyle="1" w:styleId="233">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4">
    <w:name w:val="摘要"/>
    <w:basedOn w:val="1"/>
    <w:next w:val="4"/>
    <w:qFormat/>
    <w:uiPriority w:val="0"/>
    <w:pPr>
      <w:spacing w:line="360" w:lineRule="auto"/>
    </w:pPr>
    <w:rPr>
      <w:rFonts w:eastAsia="黑体"/>
      <w:sz w:val="20"/>
    </w:rPr>
  </w:style>
  <w:style w:type="paragraph" w:customStyle="1" w:styleId="235">
    <w:name w:val="表格文本"/>
    <w:qFormat/>
    <w:uiPriority w:val="0"/>
    <w:pPr>
      <w:tabs>
        <w:tab w:val="decimal" w:pos="0"/>
      </w:tabs>
    </w:pPr>
    <w:rPr>
      <w:rFonts w:ascii="Arial" w:hAnsi="Arial" w:eastAsia="宋体" w:cs="Times New Roman"/>
      <w:sz w:val="21"/>
      <w:lang w:val="en-US" w:eastAsia="zh-CN" w:bidi="ar-SA"/>
    </w:rPr>
  </w:style>
  <w:style w:type="paragraph" w:customStyle="1" w:styleId="236">
    <w:name w:val="Char2 Char Char Char Char Char Char"/>
    <w:basedOn w:val="1"/>
    <w:qFormat/>
    <w:uiPriority w:val="0"/>
    <w:rPr>
      <w:rFonts w:ascii="仿宋_GB2312"/>
      <w:b/>
      <w:sz w:val="30"/>
    </w:rPr>
  </w:style>
  <w:style w:type="paragraph" w:customStyle="1" w:styleId="237">
    <w:name w:val="文本框样式1"/>
    <w:basedOn w:val="1"/>
    <w:qFormat/>
    <w:uiPriority w:val="0"/>
    <w:pPr>
      <w:adjustRightInd w:val="0"/>
      <w:snapToGrid w:val="0"/>
      <w:spacing w:before="60" w:line="180" w:lineRule="exact"/>
      <w:jc w:val="center"/>
    </w:pPr>
    <w:rPr>
      <w:sz w:val="21"/>
    </w:rPr>
  </w:style>
  <w:style w:type="paragraph" w:customStyle="1" w:styleId="238">
    <w:name w:val="没有缩进（为图形使用）"/>
    <w:basedOn w:val="1"/>
    <w:qFormat/>
    <w:uiPriority w:val="0"/>
    <w:pPr>
      <w:spacing w:before="120" w:after="120" w:line="360" w:lineRule="auto"/>
    </w:pPr>
    <w:rPr>
      <w:sz w:val="24"/>
    </w:rPr>
  </w:style>
  <w:style w:type="paragraph" w:customStyle="1" w:styleId="239">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24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41">
    <w:name w:val="_"/>
    <w:basedOn w:val="1"/>
    <w:qFormat/>
    <w:uiPriority w:val="0"/>
    <w:pPr>
      <w:adjustRightInd w:val="0"/>
      <w:spacing w:line="360" w:lineRule="auto"/>
      <w:ind w:left="480" w:firstLine="200" w:firstLineChars="200"/>
      <w:textAlignment w:val="baseline"/>
    </w:pPr>
    <w:rPr>
      <w:kern w:val="0"/>
      <w:sz w:val="24"/>
    </w:rPr>
  </w:style>
  <w:style w:type="paragraph" w:customStyle="1" w:styleId="242">
    <w:name w:val="内容标题"/>
    <w:basedOn w:val="18"/>
    <w:qFormat/>
    <w:uiPriority w:val="0"/>
    <w:rPr>
      <w:rFonts w:ascii="Tahoma" w:hAnsi="Tahoma"/>
      <w:sz w:val="24"/>
    </w:rPr>
  </w:style>
  <w:style w:type="paragraph" w:customStyle="1" w:styleId="243">
    <w:name w:val="二级条标题"/>
    <w:basedOn w:val="163"/>
    <w:next w:val="133"/>
    <w:qFormat/>
    <w:uiPriority w:val="0"/>
    <w:pPr>
      <w:ind w:left="840"/>
      <w:outlineLvl w:val="3"/>
    </w:pPr>
  </w:style>
  <w:style w:type="paragraph" w:customStyle="1" w:styleId="24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45">
    <w:name w:val="文本1"/>
    <w:basedOn w:val="1"/>
    <w:qFormat/>
    <w:uiPriority w:val="0"/>
    <w:pPr>
      <w:adjustRightInd w:val="0"/>
      <w:spacing w:line="312" w:lineRule="atLeast"/>
      <w:jc w:val="center"/>
      <w:textAlignment w:val="baseline"/>
    </w:pPr>
    <w:rPr>
      <w:kern w:val="0"/>
      <w:sz w:val="18"/>
    </w:rPr>
  </w:style>
  <w:style w:type="paragraph" w:customStyle="1" w:styleId="246">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247">
    <w:name w:val="Char Char Char Char Char"/>
    <w:basedOn w:val="1"/>
    <w:qFormat/>
    <w:uiPriority w:val="0"/>
    <w:pPr>
      <w:tabs>
        <w:tab w:val="left" w:pos="425"/>
      </w:tabs>
      <w:ind w:left="1620" w:hanging="360"/>
    </w:pPr>
    <w:rPr>
      <w:rFonts w:ascii="Tahoma" w:hAnsi="Tahoma"/>
      <w:sz w:val="24"/>
    </w:rPr>
  </w:style>
  <w:style w:type="paragraph" w:customStyle="1" w:styleId="248">
    <w:name w:val="样式 样式 首行缩进:  2 字符 + 首行缩进:  2 字符"/>
    <w:basedOn w:val="1"/>
    <w:qFormat/>
    <w:uiPriority w:val="0"/>
    <w:pPr>
      <w:spacing w:line="360" w:lineRule="auto"/>
      <w:ind w:firstLine="480" w:firstLineChars="200"/>
    </w:pPr>
    <w:rPr>
      <w:sz w:val="24"/>
    </w:rPr>
  </w:style>
  <w:style w:type="paragraph" w:customStyle="1" w:styleId="249">
    <w:name w:val="关键词"/>
    <w:basedOn w:val="1"/>
    <w:next w:val="1"/>
    <w:qFormat/>
    <w:uiPriority w:val="0"/>
    <w:pPr>
      <w:spacing w:line="360" w:lineRule="auto"/>
    </w:pPr>
    <w:rPr>
      <w:rFonts w:eastAsia="黑体"/>
      <w:sz w:val="20"/>
    </w:rPr>
  </w:style>
  <w:style w:type="paragraph" w:customStyle="1" w:styleId="250">
    <w:name w:val="正文字缩2字"/>
    <w:basedOn w:val="1"/>
    <w:qFormat/>
    <w:uiPriority w:val="0"/>
    <w:pPr>
      <w:spacing w:before="60" w:after="60" w:line="360" w:lineRule="auto"/>
      <w:ind w:left="200" w:leftChars="200" w:firstLine="200" w:firstLineChars="200"/>
    </w:pPr>
    <w:rPr>
      <w:sz w:val="24"/>
    </w:rPr>
  </w:style>
  <w:style w:type="paragraph" w:customStyle="1" w:styleId="251">
    <w:name w:val="正文表格"/>
    <w:basedOn w:val="1"/>
    <w:qFormat/>
    <w:uiPriority w:val="0"/>
    <w:pPr>
      <w:adjustRightInd w:val="0"/>
      <w:spacing w:before="40" w:after="40"/>
    </w:pPr>
    <w:rPr>
      <w:sz w:val="24"/>
    </w:rPr>
  </w:style>
  <w:style w:type="paragraph" w:customStyle="1" w:styleId="252">
    <w:name w:val="Char Char Char Char Char Char Char"/>
    <w:basedOn w:val="18"/>
    <w:qFormat/>
    <w:uiPriority w:val="0"/>
    <w:rPr>
      <w:rFonts w:ascii="宋体" w:hAnsi="Tahoma"/>
    </w:rPr>
  </w:style>
  <w:style w:type="paragraph" w:customStyle="1" w:styleId="253">
    <w:name w:val="CSS1级正文 Char"/>
    <w:basedOn w:val="22"/>
    <w:qFormat/>
    <w:uiPriority w:val="0"/>
    <w:pPr>
      <w:adjustRightInd w:val="0"/>
      <w:snapToGrid w:val="0"/>
      <w:spacing w:after="0" w:line="360" w:lineRule="auto"/>
      <w:ind w:firstLine="480"/>
    </w:pPr>
    <w:rPr>
      <w:sz w:val="24"/>
    </w:rPr>
  </w:style>
  <w:style w:type="paragraph" w:customStyle="1" w:styleId="254">
    <w:name w:val="样式 宋体 五号 行距: 单倍行距"/>
    <w:basedOn w:val="1"/>
    <w:qFormat/>
    <w:uiPriority w:val="0"/>
    <w:pPr>
      <w:adjustRightInd w:val="0"/>
      <w:jc w:val="left"/>
    </w:pPr>
    <w:rPr>
      <w:rFonts w:ascii="宋体" w:hAnsi="宋体"/>
      <w:kern w:val="0"/>
      <w:sz w:val="21"/>
    </w:rPr>
  </w:style>
  <w:style w:type="paragraph" w:customStyle="1" w:styleId="255">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56">
    <w:name w:val="图例"/>
    <w:basedOn w:val="1"/>
    <w:qFormat/>
    <w:uiPriority w:val="0"/>
    <w:pPr>
      <w:spacing w:before="120" w:after="120" w:line="360" w:lineRule="auto"/>
      <w:jc w:val="center"/>
    </w:pPr>
    <w:rPr>
      <w:rFonts w:eastAsia="仿宋_GB2312"/>
      <w:b/>
      <w:sz w:val="24"/>
    </w:rPr>
  </w:style>
  <w:style w:type="paragraph" w:customStyle="1" w:styleId="257">
    <w:name w:val="附录3"/>
    <w:basedOn w:val="1"/>
    <w:next w:val="1"/>
    <w:qFormat/>
    <w:uiPriority w:val="0"/>
    <w:pPr>
      <w:tabs>
        <w:tab w:val="left" w:pos="851"/>
      </w:tabs>
      <w:ind w:left="425" w:hanging="425"/>
      <w:outlineLvl w:val="2"/>
    </w:pPr>
    <w:rPr>
      <w:rFonts w:eastAsia="黑体"/>
      <w:b/>
      <w:sz w:val="32"/>
    </w:rPr>
  </w:style>
  <w:style w:type="paragraph" w:customStyle="1" w:styleId="258">
    <w:name w:val="Style Heading 3h3Heading 3 - oldLevel 3 HeadH3level_3PIM 3se..."/>
    <w:basedOn w:val="5"/>
    <w:qFormat/>
    <w:uiPriority w:val="0"/>
    <w:pPr>
      <w:tabs>
        <w:tab w:val="left" w:pos="709"/>
        <w:tab w:val="left" w:pos="1620"/>
      </w:tabs>
      <w:ind w:left="1620" w:hanging="360"/>
    </w:pPr>
  </w:style>
  <w:style w:type="paragraph" w:customStyle="1" w:styleId="259">
    <w:name w:val="首行缩进"/>
    <w:basedOn w:val="1"/>
    <w:qFormat/>
    <w:uiPriority w:val="0"/>
    <w:pPr>
      <w:tabs>
        <w:tab w:val="left" w:pos="540"/>
      </w:tabs>
      <w:spacing w:line="360" w:lineRule="auto"/>
      <w:ind w:left="540"/>
    </w:pPr>
    <w:rPr>
      <w:rFonts w:eastAsia="仿宋_GB2312"/>
    </w:rPr>
  </w:style>
  <w:style w:type="paragraph" w:customStyle="1" w:styleId="260">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61">
    <w:name w:val="Char1 Char Char Char1"/>
    <w:basedOn w:val="1"/>
    <w:qFormat/>
    <w:uiPriority w:val="0"/>
    <w:rPr>
      <w:rFonts w:ascii="Tahoma" w:hAnsi="Tahoma"/>
      <w:sz w:val="30"/>
    </w:rPr>
  </w:style>
  <w:style w:type="paragraph" w:customStyle="1" w:styleId="262">
    <w:name w:val="Char Char Char Char Char Char Char1"/>
    <w:basedOn w:val="1"/>
    <w:qFormat/>
    <w:uiPriority w:val="0"/>
    <w:rPr>
      <w:rFonts w:ascii="Tahoma" w:hAnsi="Tahoma"/>
      <w:sz w:val="24"/>
    </w:rPr>
  </w:style>
  <w:style w:type="paragraph" w:customStyle="1" w:styleId="263">
    <w:name w:val="标题3——2"/>
    <w:basedOn w:val="5"/>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64">
    <w:name w:val="修订1"/>
    <w:qFormat/>
    <w:uiPriority w:val="0"/>
    <w:rPr>
      <w:rFonts w:ascii="Times New Roman" w:hAnsi="Times New Roman" w:eastAsia="宋体" w:cs="Times New Roman"/>
      <w:kern w:val="2"/>
      <w:sz w:val="21"/>
      <w:lang w:val="en-US" w:eastAsia="zh-CN" w:bidi="ar-SA"/>
    </w:rPr>
  </w:style>
  <w:style w:type="paragraph" w:customStyle="1" w:styleId="265">
    <w:name w:val="Char1"/>
    <w:basedOn w:val="1"/>
    <w:qFormat/>
    <w:uiPriority w:val="0"/>
    <w:rPr>
      <w:sz w:val="21"/>
    </w:rPr>
  </w:style>
  <w:style w:type="paragraph" w:customStyle="1" w:styleId="266">
    <w:name w:val="样式1"/>
    <w:basedOn w:val="6"/>
    <w:qFormat/>
    <w:uiPriority w:val="0"/>
    <w:pPr>
      <w:tabs>
        <w:tab w:val="left" w:pos="720"/>
      </w:tabs>
      <w:spacing w:before="500" w:after="260" w:line="560" w:lineRule="atLeast"/>
      <w:ind w:left="420" w:hanging="420"/>
    </w:pPr>
  </w:style>
  <w:style w:type="paragraph" w:customStyle="1" w:styleId="267">
    <w:name w:val="修订2"/>
    <w:hidden/>
    <w:unhideWhenUsed/>
    <w:qFormat/>
    <w:uiPriority w:val="99"/>
    <w:rPr>
      <w:rFonts w:ascii="Times New Roman" w:hAnsi="Times New Roman" w:eastAsia="宋体" w:cs="Times New Roman"/>
      <w:kern w:val="2"/>
      <w:sz w:val="28"/>
      <w:lang w:val="en-US" w:eastAsia="zh-CN" w:bidi="ar-SA"/>
    </w:rPr>
  </w:style>
  <w:style w:type="character" w:customStyle="1" w:styleId="268">
    <w:name w:val="ant-tree-switcher"/>
    <w:basedOn w:val="59"/>
    <w:qFormat/>
    <w:uiPriority w:val="0"/>
  </w:style>
  <w:style w:type="character" w:customStyle="1" w:styleId="269">
    <w:name w:val="ant-tree-iconele"/>
    <w:basedOn w:val="59"/>
    <w:qFormat/>
    <w:uiPriority w:val="0"/>
  </w:style>
  <w:style w:type="character" w:customStyle="1" w:styleId="270">
    <w:name w:val="hover16"/>
    <w:basedOn w:val="59"/>
    <w:qFormat/>
    <w:uiPriority w:val="0"/>
    <w:rPr>
      <w:color w:val="23527C"/>
    </w:rPr>
  </w:style>
  <w:style w:type="character" w:customStyle="1" w:styleId="271">
    <w:name w:val="ant-tree-checkbox"/>
    <w:basedOn w:val="59"/>
    <w:qFormat/>
    <w:uiPriority w:val="0"/>
  </w:style>
  <w:style w:type="character" w:customStyle="1" w:styleId="272">
    <w:name w:val="ant-select-tree-switcher"/>
    <w:basedOn w:val="59"/>
    <w:qFormat/>
    <w:uiPriority w:val="0"/>
  </w:style>
  <w:style w:type="character" w:customStyle="1" w:styleId="273">
    <w:name w:val="isover"/>
    <w:basedOn w:val="59"/>
    <w:qFormat/>
    <w:uiPriority w:val="0"/>
  </w:style>
  <w:style w:type="character" w:customStyle="1" w:styleId="274">
    <w:name w:val="ant-transfer-list-search-action"/>
    <w:basedOn w:val="59"/>
    <w:qFormat/>
    <w:uiPriority w:val="0"/>
  </w:style>
  <w:style w:type="character" w:customStyle="1" w:styleId="275">
    <w:name w:val="ant-select-tree-checkbox2"/>
    <w:basedOn w:val="59"/>
    <w:qFormat/>
    <w:uiPriority w:val="0"/>
  </w:style>
  <w:style w:type="character" w:customStyle="1" w:styleId="276">
    <w:name w:val="ant-select-tree-iconele"/>
    <w:basedOn w:val="59"/>
    <w:qFormat/>
    <w:uiPriority w:val="0"/>
  </w:style>
  <w:style w:type="character" w:customStyle="1" w:styleId="277">
    <w:name w:val="running"/>
    <w:basedOn w:val="59"/>
    <w:qFormat/>
    <w:uiPriority w:val="0"/>
  </w:style>
  <w:style w:type="character" w:customStyle="1" w:styleId="278">
    <w:name w:val="button"/>
    <w:basedOn w:val="59"/>
    <w:qFormat/>
    <w:uiPriority w:val="0"/>
  </w:style>
  <w:style w:type="character" w:customStyle="1" w:styleId="279">
    <w:name w:val="tmpztreemove_arrow"/>
    <w:basedOn w:val="59"/>
    <w:qFormat/>
    <w:uiPriority w:val="0"/>
  </w:style>
  <w:style w:type="paragraph" w:customStyle="1" w:styleId="280">
    <w:name w:val="list-group-item-text"/>
    <w:basedOn w:val="1"/>
    <w:qFormat/>
    <w:uiPriority w:val="0"/>
    <w:pPr>
      <w:pBdr>
        <w:top w:val="dotted" w:color="E0E0E0" w:sz="6" w:space="11"/>
      </w:pBdr>
      <w:jc w:val="left"/>
    </w:pPr>
    <w:rPr>
      <w:kern w:val="0"/>
    </w:rPr>
  </w:style>
  <w:style w:type="paragraph" w:customStyle="1" w:styleId="281">
    <w:name w:val="Table Paragraph"/>
    <w:basedOn w:val="1"/>
    <w:unhideWhenUsed/>
    <w:qFormat/>
    <w:uiPriority w:val="1"/>
    <w:rPr>
      <w:sz w:val="24"/>
    </w:rPr>
  </w:style>
  <w:style w:type="paragraph" w:customStyle="1" w:styleId="282">
    <w:name w:val="FDY表格内"/>
    <w:basedOn w:val="1"/>
    <w:next w:val="283"/>
    <w:unhideWhenUsed/>
    <w:qFormat/>
    <w:uiPriority w:val="0"/>
    <w:pPr>
      <w:snapToGrid w:val="0"/>
      <w:spacing w:line="240" w:lineRule="atLeast"/>
      <w:jc w:val="center"/>
    </w:pPr>
    <w:rPr>
      <w:sz w:val="24"/>
    </w:rPr>
  </w:style>
  <w:style w:type="paragraph" w:customStyle="1" w:styleId="283">
    <w:name w:val="D正文"/>
    <w:basedOn w:val="1"/>
    <w:unhideWhenUsed/>
    <w:qFormat/>
    <w:uiPriority w:val="0"/>
    <w:pPr>
      <w:spacing w:line="384" w:lineRule="auto"/>
      <w:ind w:firstLine="200" w:firstLineChars="200"/>
    </w:pPr>
    <w:rPr>
      <w:sz w:val="24"/>
    </w:rPr>
  </w:style>
  <w:style w:type="character" w:customStyle="1" w:styleId="284">
    <w:name w:val="无"/>
    <w:qFormat/>
    <w:uiPriority w:val="0"/>
  </w:style>
  <w:style w:type="character" w:customStyle="1" w:styleId="285">
    <w:name w:val="font21"/>
    <w:basedOn w:val="59"/>
    <w:qFormat/>
    <w:uiPriority w:val="0"/>
    <w:rPr>
      <w:rFonts w:hint="eastAsia" w:ascii="宋体" w:hAnsi="宋体" w:eastAsia="宋体" w:cs="宋体"/>
      <w:color w:val="000000"/>
      <w:sz w:val="20"/>
      <w:szCs w:val="20"/>
      <w:u w:val="none"/>
    </w:rPr>
  </w:style>
  <w:style w:type="character" w:customStyle="1" w:styleId="286">
    <w:name w:val="font01"/>
    <w:basedOn w:val="59"/>
    <w:qFormat/>
    <w:uiPriority w:val="0"/>
    <w:rPr>
      <w:rFonts w:hint="eastAsia" w:ascii="宋体" w:hAnsi="宋体" w:eastAsia="宋体" w:cs="宋体"/>
      <w:color w:val="000000"/>
      <w:sz w:val="21"/>
      <w:szCs w:val="21"/>
      <w:u w:val="none"/>
    </w:rPr>
  </w:style>
  <w:style w:type="character" w:customStyle="1" w:styleId="287">
    <w:name w:val="font41"/>
    <w:basedOn w:val="59"/>
    <w:qFormat/>
    <w:uiPriority w:val="0"/>
    <w:rPr>
      <w:rFonts w:hint="eastAsia" w:ascii="宋体" w:hAnsi="宋体" w:eastAsia="宋体" w:cs="宋体"/>
      <w:color w:val="000000"/>
      <w:sz w:val="20"/>
      <w:szCs w:val="20"/>
      <w:u w:val="none"/>
    </w:rPr>
  </w:style>
  <w:style w:type="character" w:customStyle="1" w:styleId="288">
    <w:name w:val="font11"/>
    <w:basedOn w:val="59"/>
    <w:qFormat/>
    <w:uiPriority w:val="0"/>
    <w:rPr>
      <w:rFonts w:hint="eastAsia" w:ascii="宋体" w:hAnsi="宋体" w:eastAsia="宋体" w:cs="宋体"/>
      <w:color w:val="000000"/>
      <w:sz w:val="18"/>
      <w:szCs w:val="18"/>
      <w:u w:val="none"/>
    </w:rPr>
  </w:style>
  <w:style w:type="character" w:customStyle="1" w:styleId="289">
    <w:name w:val="font71"/>
    <w:basedOn w:val="59"/>
    <w:qFormat/>
    <w:uiPriority w:val="0"/>
    <w:rPr>
      <w:rFonts w:hint="eastAsia" w:ascii="宋体" w:hAnsi="宋体" w:eastAsia="宋体" w:cs="宋体"/>
      <w:color w:val="000000"/>
      <w:sz w:val="18"/>
      <w:szCs w:val="18"/>
      <w:u w:val="none"/>
    </w:rPr>
  </w:style>
  <w:style w:type="character" w:customStyle="1" w:styleId="290">
    <w:name w:val="font81"/>
    <w:basedOn w:val="59"/>
    <w:qFormat/>
    <w:uiPriority w:val="0"/>
    <w:rPr>
      <w:rFonts w:hint="eastAsia" w:ascii="宋体" w:hAnsi="宋体" w:eastAsia="宋体" w:cs="宋体"/>
      <w:color w:val="000000"/>
      <w:sz w:val="18"/>
      <w:szCs w:val="18"/>
      <w:u w:val="none"/>
      <w:vertAlign w:val="superscript"/>
    </w:rPr>
  </w:style>
  <w:style w:type="character" w:customStyle="1" w:styleId="291">
    <w:name w:val="font31"/>
    <w:basedOn w:val="59"/>
    <w:qFormat/>
    <w:uiPriority w:val="0"/>
    <w:rPr>
      <w:rFonts w:hint="eastAsia" w:ascii="宋体" w:hAnsi="宋体" w:eastAsia="宋体" w:cs="宋体"/>
      <w:color w:val="000000"/>
      <w:sz w:val="18"/>
      <w:szCs w:val="18"/>
      <w:u w:val="none"/>
    </w:rPr>
  </w:style>
  <w:style w:type="paragraph" w:styleId="292">
    <w:name w:val="List Paragraph"/>
    <w:basedOn w:val="1"/>
    <w:qFormat/>
    <w:uiPriority w:val="0"/>
    <w:pPr>
      <w:ind w:firstLine="420" w:firstLineChars="200"/>
    </w:pPr>
    <w:rPr>
      <w:rFonts w:ascii="Calibri" w:hAnsi="Calibri"/>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header" Target="header5.xml"/><Relationship Id="rId17" Type="http://schemas.openxmlformats.org/officeDocument/2006/relationships/header" Target="header4.xml"/><Relationship Id="rId16" Type="http://schemas.openxmlformats.org/officeDocument/2006/relationships/footer" Target="footer11.xml"/><Relationship Id="rId15" Type="http://schemas.openxmlformats.org/officeDocument/2006/relationships/header" Target="header3.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38</Pages>
  <Words>20917</Words>
  <Characters>22203</Characters>
  <Lines>194</Lines>
  <Paragraphs>54</Paragraphs>
  <TotalTime>276</TotalTime>
  <ScaleCrop>false</ScaleCrop>
  <LinksUpToDate>false</LinksUpToDate>
  <CharactersWithSpaces>23728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2021-08-02T10:04:00Z</dcterms:created>
  <dc:creator>acer</dc:creator>
  <cp:lastModifiedBy>Administrator</cp:lastModifiedBy>
  <cp:lastPrinted>2019-02-18T06:35:00Z</cp:lastPrinted>
  <dcterms:modified xsi:type="dcterms:W3CDTF">2022-06-09T08:54:40Z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E14F2F72B2194620911E84975E3F6027</vt:lpwstr>
  </property>
</Properties>
</file>