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default" w:ascii="Times New Roman" w:hAnsi="Times New Roman" w:eastAsia="方正黑体_GBK" w:cs="Times New Roman"/>
          <w:color w:val="000000"/>
          <w:kern w:val="0"/>
          <w:sz w:val="32"/>
          <w:szCs w:val="32"/>
          <w:lang w:val="en-US" w:eastAsia="zh-CN"/>
        </w:rPr>
      </w:pPr>
      <w:r>
        <w:rPr>
          <w:rFonts w:hint="default" w:ascii="Times New Roman" w:hAnsi="Times New Roman" w:eastAsia="方正黑体_GBK" w:cs="Times New Roman"/>
          <w:color w:val="000000"/>
          <w:kern w:val="0"/>
          <w:sz w:val="32"/>
          <w:szCs w:val="32"/>
        </w:rPr>
        <w:t>附件</w:t>
      </w:r>
      <w:r>
        <w:rPr>
          <w:rFonts w:hint="default" w:ascii="Times New Roman" w:hAnsi="Times New Roman" w:eastAsia="方正黑体_GBK" w:cs="Times New Roman"/>
          <w:color w:val="000000"/>
          <w:kern w:val="0"/>
          <w:sz w:val="32"/>
          <w:szCs w:val="32"/>
          <w:lang w:val="en-US" w:eastAsia="zh-CN"/>
        </w:rPr>
        <w:t>2</w:t>
      </w:r>
    </w:p>
    <w:p>
      <w:pPr>
        <w:pStyle w:val="2"/>
      </w:pPr>
    </w:p>
    <w:p>
      <w:pPr>
        <w:widowControl/>
        <w:jc w:val="center"/>
        <w:outlineLvl w:val="0"/>
        <w:rPr>
          <w:rFonts w:hint="default" w:ascii="Times New Roman" w:hAnsi="Times New Roman" w:eastAsia="方正小标宋_GBK" w:cs="Times New Roman"/>
          <w:spacing w:val="-6"/>
          <w:kern w:val="36"/>
          <w:sz w:val="44"/>
          <w:szCs w:val="44"/>
        </w:rPr>
      </w:pPr>
      <w:r>
        <w:rPr>
          <w:rFonts w:hint="default" w:ascii="Times New Roman" w:hAnsi="Times New Roman" w:eastAsia="方正小标宋_GBK" w:cs="Times New Roman"/>
          <w:spacing w:val="-6"/>
          <w:kern w:val="36"/>
          <w:sz w:val="44"/>
          <w:szCs w:val="44"/>
        </w:rPr>
        <w:t>2022年</w:t>
      </w:r>
      <w:r>
        <w:rPr>
          <w:rFonts w:hint="eastAsia" w:ascii="方正小标宋_GBK" w:hAnsi="方正小标宋_GBK" w:eastAsia="方正小标宋_GBK" w:cs="方正小标宋_GBK"/>
          <w:spacing w:val="-6"/>
          <w:kern w:val="36"/>
          <w:sz w:val="44"/>
          <w:szCs w:val="44"/>
        </w:rPr>
        <w:t>“</w:t>
      </w:r>
      <w:r>
        <w:rPr>
          <w:rFonts w:hint="default" w:ascii="Times New Roman" w:hAnsi="Times New Roman" w:eastAsia="方正小标宋_GBK" w:cs="Times New Roman"/>
          <w:spacing w:val="-6"/>
          <w:kern w:val="36"/>
          <w:sz w:val="44"/>
          <w:szCs w:val="44"/>
        </w:rPr>
        <w:t>我是生态环境讲解员</w:t>
      </w:r>
      <w:r>
        <w:rPr>
          <w:rFonts w:hint="eastAsia" w:ascii="方正小标宋_GBK" w:hAnsi="方正小标宋_GBK" w:eastAsia="方正小标宋_GBK" w:cs="方正小标宋_GBK"/>
          <w:spacing w:val="-6"/>
          <w:kern w:val="36"/>
          <w:sz w:val="44"/>
          <w:szCs w:val="44"/>
        </w:rPr>
        <w:t>”</w:t>
      </w:r>
      <w:r>
        <w:rPr>
          <w:rFonts w:hint="default" w:ascii="Times New Roman" w:hAnsi="Times New Roman" w:eastAsia="方正小标宋_GBK" w:cs="Times New Roman"/>
          <w:spacing w:val="-6"/>
          <w:kern w:val="36"/>
          <w:sz w:val="44"/>
          <w:szCs w:val="44"/>
        </w:rPr>
        <w:t>活动实施方案</w:t>
      </w:r>
    </w:p>
    <w:p>
      <w:pPr>
        <w:widowControl/>
        <w:spacing w:line="315" w:lineRule="atLeast"/>
        <w:ind w:firstLine="562"/>
        <w:jc w:val="center"/>
        <w:rPr>
          <w:rFonts w:ascii="仿宋" w:hAnsi="仿宋" w:eastAsia="仿宋" w:cs="宋体"/>
          <w:b/>
          <w:bCs/>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outlineLvl w:val="9"/>
        <w:rPr>
          <w:rFonts w:hint="eastAsia" w:ascii="方正黑体_GBK" w:hAnsi="方正黑体_GBK" w:eastAsia="方正黑体_GBK" w:cs="方正黑体_GBK"/>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一、活动主题</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推动绿色低碳发展，共建美丽清洁世界。</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围绕减污降碳总要求，展现科技创新在深入打好污染防治攻坚战、促进经济社会发展全面绿色转型、持续推进生态环境治理体系和治理能力现代化等方面的支撑引领作用，普及科学知识、弘扬科学精神、激发创新活力，推动形成绿色低碳的社会风尚，为迎接党的二十大胜利召开营造良好舆论氛围。</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outlineLvl w:val="9"/>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方正黑体_GBK" w:hAnsi="方正黑体_GBK" w:eastAsia="方正黑体_GBK" w:cs="方正黑体_GBK"/>
          <w:bCs/>
          <w:color w:val="000000" w:themeColor="text1"/>
          <w:kern w:val="0"/>
          <w:sz w:val="32"/>
          <w:szCs w:val="32"/>
          <w14:textFill>
            <w14:solidFill>
              <w14:schemeClr w14:val="tx1"/>
            </w14:solidFill>
          </w14:textFill>
        </w:rPr>
        <w:t>二、活动组织</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活动由生态环境部主办，中国环境科学学会、浙江省生态环境厅、浙江省科协承办。</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各省、自治区、直辖市生态环境厅（局）和新疆生产建设兵团生态环境局负责本地区讲解员和讲解选题/剧本的选拔、征集及推荐工作。生态环境部属单位、国家生态环境科普基地和获</w:t>
      </w:r>
      <w:r>
        <w:rPr>
          <w:rFonts w:hint="default" w:ascii="Times New Roman" w:hAnsi="Times New Roman" w:eastAsia="方正仿宋_GBK" w:cs="Times New Roman"/>
          <w:sz w:val="32"/>
          <w:szCs w:val="32"/>
          <w:lang w:val="en-US" w:eastAsia="zh-CN"/>
        </w:rPr>
        <w:t>直接推荐名额的社会机构</w:t>
      </w:r>
      <w:r>
        <w:rPr>
          <w:rFonts w:hint="default" w:ascii="Times New Roman" w:hAnsi="Times New Roman" w:eastAsia="方正仿宋_GBK" w:cs="Times New Roman"/>
          <w:sz w:val="32"/>
          <w:szCs w:val="32"/>
        </w:rPr>
        <w:t>负责本单位、本领域的讲解员和讲解选题/剧本的选拔与推荐工作。</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outlineLvl w:val="9"/>
        <w:rPr>
          <w:rFonts w:hint="default" w:ascii="方正黑体_GBK" w:hAnsi="方正黑体_GBK" w:eastAsia="方正黑体_GBK" w:cs="方正黑体_GBK"/>
          <w:bCs/>
          <w:color w:val="000000" w:themeColor="text1"/>
          <w:kern w:val="0"/>
          <w:sz w:val="32"/>
          <w:szCs w:val="32"/>
          <w14:textFill>
            <w14:solidFill>
              <w14:schemeClr w14:val="tx1"/>
            </w14:solidFill>
          </w14:textFill>
        </w:rPr>
      </w:pPr>
      <w:r>
        <w:rPr>
          <w:rFonts w:hint="default" w:ascii="方正黑体_GBK" w:hAnsi="方正黑体_GBK" w:eastAsia="方正黑体_GBK" w:cs="方正黑体_GBK"/>
          <w:bCs/>
          <w:color w:val="000000" w:themeColor="text1"/>
          <w:kern w:val="0"/>
          <w:sz w:val="32"/>
          <w:szCs w:val="32"/>
          <w14:textFill>
            <w14:solidFill>
              <w14:schemeClr w14:val="tx1"/>
            </w14:solidFill>
          </w14:textFill>
        </w:rPr>
        <w:t>三、报名与推荐要求</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（一）优秀讲解员：热爱生态环境保护事业，普通话标准。职业不限，年满16周岁。 </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优秀讲解选题/剧本：要求紧扣活动主题，内容积极向上，具有较强的科学性、创新性和趣味性；文字简洁，条理清晰，表述准确，便于后续科普创作，剧本长度适合3人左右4-6分钟的演出。推荐优秀讲解选题时需填报选题名称、选题背景（300字以内）、故事内容梗概（1000字以内）、推荐参考资料、主创人员等内容；优秀剧本需填报剧本名称、创作立意、主要角色、剧本内容（不超过3000字）、主创人员等信息。</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rPr>
        <w:t>（三）参与讲解员活动的个人应制作4分钟以内的自主命题讲解视频，鼓励通过单位账号上传抖音并参与话题#2022我是生态环境讲解员。6月20日前，各参赛选手录制上传讲解视频，并完成在线报名（</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"https://www.wjx.top/vj/PIBIWQx.aspx"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https://www.wjx.top/vj/PIBIWQx.aspx</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kern w:val="0"/>
          <w:sz w:val="32"/>
          <w:szCs w:val="32"/>
        </w:rPr>
        <w:t>7月20日前，各地方、各单位在线查看本地报名情况，并自行组织开展优秀生态环境讲解员预赛，形成推荐名单（本地区数据查询方式另行发放）。</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（四）请各推荐单位于7月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日前自行组织开展完成选拔和推荐工作，在线填写推荐表、打印盖章并上传扫描件（</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"http://www.wjx.cn/vj/O55w2Xn.aspx"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www.wjx.cn/vj/O55w2Xn.aspx</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outlineLvl w:val="9"/>
        <w:rPr>
          <w:rFonts w:hint="default" w:ascii="方正黑体_GBK" w:hAnsi="方正黑体_GBK" w:eastAsia="方正黑体_GBK" w:cs="方正黑体_GBK"/>
          <w:bCs/>
          <w:color w:val="000000" w:themeColor="text1"/>
          <w:kern w:val="0"/>
          <w:sz w:val="32"/>
          <w:szCs w:val="32"/>
          <w14:textFill>
            <w14:solidFill>
              <w14:schemeClr w14:val="tx1"/>
            </w14:solidFill>
          </w14:textFill>
        </w:rPr>
      </w:pPr>
      <w:r>
        <w:rPr>
          <w:rFonts w:hint="default" w:ascii="方正黑体_GBK" w:hAnsi="方正黑体_GBK" w:eastAsia="方正黑体_GBK" w:cs="方正黑体_GBK"/>
          <w:bCs/>
          <w:color w:val="000000" w:themeColor="text1"/>
          <w:kern w:val="0"/>
          <w:sz w:val="32"/>
          <w:szCs w:val="32"/>
          <w14:textFill>
            <w14:solidFill>
              <w14:schemeClr w14:val="tx1"/>
            </w14:solidFill>
          </w14:textFill>
        </w:rPr>
        <w:t>四、全国赛事安排</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（一）优秀讲解员半决赛</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优秀讲解员半决赛采取线上方式，分为两轮进行。</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轮分3个组进行，比赛内容为自主命题讲解视频。每个小组3-5名专家评委，对自主命题讲解视频进行打分，平均分为选手得分。若遇选手总分数相同则按评委的第二个最高分高低决定名次，若评委的第二个最高分相同则按第三个最高分高低决定名次，以此类推；若遇评委具体打分均相同，则组织二次打分。每组前5名进入第二轮。</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第二轮共15名选手，比赛内容为自主命题讲解视频和随机命题展示。随机命题共15道左右</w:t>
      </w:r>
      <w:r>
        <w:rPr>
          <w:rFonts w:hint="default" w:ascii="Times New Roman" w:hAnsi="Times New Roman" w:eastAsia="方正仿宋_GBK" w:cs="Times New Roman"/>
          <w:sz w:val="32"/>
          <w:szCs w:val="32"/>
          <w:highlight w:val="none"/>
        </w:rPr>
        <w:t>（另行发布），</w:t>
      </w:r>
      <w:r>
        <w:rPr>
          <w:rFonts w:hint="default" w:ascii="Times New Roman" w:hAnsi="Times New Roman" w:eastAsia="方正仿宋_GBK" w:cs="Times New Roman"/>
          <w:sz w:val="32"/>
          <w:szCs w:val="32"/>
        </w:rPr>
        <w:t>考核选手的随机应变能力，展示方式包括但不限于科普讲解、脱口秀、相声、快板、朗诵、歌曲等，限时2分钟。设5-7位专家评委，对自主命题讲解视频和随机命题展示进行综合打分，去掉最高分和最低分后的平均数为选手得分。选手得分前10名进入总决赛。</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根据实际参赛人员规模，主办方可能进行适当调整。</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（二）优秀讲解员总决赛</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优秀讲解员总决赛采取线下方式进行，由自主命题讲解、随机命题展示和情景表演三个环节组成。设5-7位专家评委和若干名大众评委，共同进行综合评判。</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自主命题讲解限时4分钟。讲解时，选手须借助多媒体等多种手段辅助进行讲解，丰富舞台效果。</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随机命题展示限时2分钟，考核选手的随机应变能力，展示</w:t>
      </w:r>
      <w:r>
        <w:rPr>
          <w:rFonts w:hint="default" w:ascii="Times New Roman" w:hAnsi="Times New Roman" w:eastAsia="方正仿宋_GBK" w:cs="Times New Roman"/>
          <w:spacing w:val="-6"/>
          <w:sz w:val="32"/>
          <w:szCs w:val="32"/>
        </w:rPr>
        <w:t>方式包括但不限于科普讲解、脱口秀、相声、快板、朗诵、歌曲等。</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情景表演每组由2-4人组成，时间4-6分钟，考核选手的团队协作和临场发挥能力，小组成员可根据活动提供的剧本进行二度创作。</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根据实际情况，主办方可能对方案进行适当调整。</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（三）优秀讲解选题/剧本评议</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优秀讲解选题/剧本评议分初评和复评两轮进行，每轮设5-7位专家评委，分别对讲解选题/剧本进行打分。所有评委打分去掉最高分和最低分后的平均数为作品得分。</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outlineLvl w:val="9"/>
        <w:rPr>
          <w:rFonts w:hint="default" w:ascii="方正黑体_GBK" w:hAnsi="方正黑体_GBK" w:eastAsia="方正黑体_GBK" w:cs="方正黑体_GBK"/>
          <w:bCs/>
          <w:color w:val="000000" w:themeColor="text1"/>
          <w:kern w:val="0"/>
          <w:sz w:val="32"/>
          <w:szCs w:val="32"/>
          <w14:textFill>
            <w14:solidFill>
              <w14:schemeClr w14:val="tx1"/>
            </w14:solidFill>
          </w14:textFill>
        </w:rPr>
      </w:pPr>
      <w:r>
        <w:rPr>
          <w:rFonts w:hint="default" w:ascii="方正黑体_GBK" w:hAnsi="方正黑体_GBK" w:eastAsia="方正黑体_GBK" w:cs="方正黑体_GBK"/>
          <w:bCs/>
          <w:color w:val="000000" w:themeColor="text1"/>
          <w:kern w:val="0"/>
          <w:sz w:val="32"/>
          <w:szCs w:val="32"/>
          <w14:textFill>
            <w14:solidFill>
              <w14:schemeClr w14:val="tx1"/>
            </w14:solidFill>
          </w14:textFill>
        </w:rPr>
        <w:t>五、评分标准</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（一）优秀讲解员</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自主命题讲解：内容陈述科学准确、重点突出；层次清晰、逻辑性强；通俗易懂、深入浅出。语言表达发音标准、吐字清晰；语言生动、风趣幽默。整体形象衣着整齐，精神饱满，举止大方，自然得体。</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随机命题展示：与命题密切相关，蕴含一定生态环境科技知识或理念，合乎逻辑；重点突出，寓意深刻；密切联系生活，特色鲜明；表达思路清晰，具有创意。</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情景表演：主题鲜明，剧情合理，传达一定生态环境科技知</w:t>
      </w:r>
      <w:r>
        <w:rPr>
          <w:rFonts w:hint="default" w:ascii="Times New Roman" w:hAnsi="Times New Roman" w:eastAsia="方正仿宋_GBK" w:cs="Times New Roman"/>
          <w:spacing w:val="-6"/>
          <w:sz w:val="32"/>
          <w:szCs w:val="32"/>
        </w:rPr>
        <w:t>识或理念；语言自然流畅，富有真情实感；配合默契，可观赏性强。</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方正楷体_GBK" w:hAnsi="方正楷体_GBK" w:eastAsia="方正楷体_GBK" w:cs="方正楷体_GBK"/>
          <w:b w:val="0"/>
          <w:bCs w:val="0"/>
          <w:sz w:val="32"/>
          <w:szCs w:val="32"/>
        </w:rPr>
      </w:pPr>
      <w:r>
        <w:rPr>
          <w:rFonts w:hint="default" w:ascii="方正楷体_GBK" w:hAnsi="方正楷体_GBK" w:eastAsia="方正楷体_GBK" w:cs="方正楷体_GBK"/>
          <w:b w:val="0"/>
          <w:bCs w:val="0"/>
          <w:sz w:val="32"/>
          <w:szCs w:val="32"/>
        </w:rPr>
        <w:t>（二）优秀讲解选题/剧本</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从选题创新性、视角独特性、科学趣味性、艺术感染性等角度，对选题和剧本分别进行综合评判。</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outlineLvl w:val="9"/>
        <w:rPr>
          <w:rFonts w:hint="default" w:ascii="方正黑体_GBK" w:hAnsi="方正黑体_GBK" w:eastAsia="方正黑体_GBK" w:cs="方正黑体_GBK"/>
          <w:bCs/>
          <w:color w:val="000000" w:themeColor="text1"/>
          <w:kern w:val="0"/>
          <w:sz w:val="32"/>
          <w:szCs w:val="32"/>
          <w14:textFill>
            <w14:solidFill>
              <w14:schemeClr w14:val="tx1"/>
            </w14:solidFill>
          </w14:textFill>
        </w:rPr>
      </w:pPr>
      <w:r>
        <w:rPr>
          <w:rFonts w:hint="default" w:ascii="方正黑体_GBK" w:hAnsi="方正黑体_GBK" w:eastAsia="方正黑体_GBK" w:cs="方正黑体_GBK"/>
          <w:bCs/>
          <w:color w:val="000000" w:themeColor="text1"/>
          <w:kern w:val="0"/>
          <w:sz w:val="32"/>
          <w:szCs w:val="32"/>
          <w14:textFill>
            <w14:solidFill>
              <w14:schemeClr w14:val="tx1"/>
            </w14:solidFill>
          </w14:textFill>
        </w:rPr>
        <w:t>六、奖项设置</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（一）优秀讲解员。设特等奖1名、一等奖3名、二等奖6名、三等奖35名，人气奖3名。分别发放证书或奖杯。</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（二）优秀讲解选题/剧本。设十佳选题和剧本各10项，优秀选题和剧本若干项，分别发放证书或奖杯。</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rPr>
        <w:t>（三）优秀组织奖：设十佳组织单位和优秀组织单位若干名，分别发放证书或奖牌。</w:t>
      </w:r>
      <w:r>
        <w:rPr>
          <w:rFonts w:hint="default" w:ascii="Times New Roman" w:hAnsi="Times New Roman" w:eastAsia="方正仿宋_GBK" w:cs="Times New Roman"/>
          <w:sz w:val="32"/>
          <w:szCs w:val="32"/>
          <w:highlight w:val="none"/>
        </w:rPr>
        <w:t>参评</w:t>
      </w:r>
      <w:r>
        <w:rPr>
          <w:rFonts w:hint="default" w:ascii="Times New Roman" w:hAnsi="Times New Roman" w:eastAsia="方正仿宋_GBK" w:cs="Times New Roman"/>
          <w:sz w:val="32"/>
          <w:szCs w:val="32"/>
          <w:highlight w:val="none"/>
          <w:lang w:val="en-US" w:eastAsia="zh-CN"/>
        </w:rPr>
        <w:t>优秀组织奖的单位和社会机构</w:t>
      </w:r>
      <w:r>
        <w:rPr>
          <w:rFonts w:hint="default" w:ascii="Times New Roman" w:hAnsi="Times New Roman" w:eastAsia="方正仿宋_GBK" w:cs="Times New Roman"/>
          <w:sz w:val="32"/>
          <w:szCs w:val="32"/>
          <w:highlight w:val="none"/>
        </w:rPr>
        <w:t>，需在线一并提交（链接：</w:t>
      </w:r>
      <w:r>
        <w:rPr>
          <w:rFonts w:hint="default" w:ascii="Times New Roman" w:hAnsi="Times New Roman" w:eastAsia="方正仿宋_GBK" w:cs="Times New Roman"/>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"http://www.wjx.cn/vj/ORLHQSr.aspx"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sz w:val="32"/>
          <w:szCs w:val="32"/>
          <w:highlight w:val="none"/>
        </w:rPr>
        <w:t>www.wjx.cn/O55w2Xn.aspx</w:t>
      </w:r>
      <w:r>
        <w:rPr>
          <w:rFonts w:hint="default" w:ascii="Times New Roman" w:hAnsi="Times New Roman" w:eastAsia="方正仿宋_GBK" w:cs="Times New Roman"/>
          <w:sz w:val="32"/>
          <w:szCs w:val="32"/>
          <w:highlight w:val="none"/>
        </w:rPr>
        <w:fldChar w:fldCharType="end"/>
      </w:r>
      <w:r>
        <w:rPr>
          <w:rFonts w:hint="default" w:ascii="Times New Roman" w:hAnsi="Times New Roman" w:eastAsia="方正仿宋_GBK" w:cs="Times New Roman"/>
          <w:sz w:val="32"/>
          <w:szCs w:val="32"/>
          <w:highlight w:val="none"/>
        </w:rPr>
        <w:t>）反映活动组织情况的简介和媒体宣传等佐证资料。</w:t>
      </w:r>
    </w:p>
    <w:p>
      <w:pPr>
        <w:keepNext w:val="0"/>
        <w:keepLines w:val="0"/>
        <w:pageBreakBefore w:val="0"/>
        <w:kinsoku/>
        <w:wordWrap/>
        <w:overflowPunct/>
        <w:topLinePunct w:val="0"/>
        <w:autoSpaceDE/>
        <w:autoSpaceDN/>
        <w:bidi w:val="0"/>
        <w:adjustRightInd/>
        <w:snapToGrid/>
        <w:spacing w:line="600" w:lineRule="exact"/>
        <w:ind w:left="0" w:firstLine="616" w:firstLineChars="200"/>
        <w:textAlignment w:val="auto"/>
        <w:outlineLvl w:val="9"/>
        <w:rPr>
          <w:rFonts w:hint="default" w:ascii="Times New Roman" w:hAnsi="Times New Roman" w:eastAsia="方正仿宋_GBK" w:cs="Times New Roman"/>
          <w:spacing w:val="-6"/>
          <w:sz w:val="32"/>
          <w:szCs w:val="32"/>
          <w:highlight w:val="none"/>
          <w:lang w:val="en-US" w:eastAsia="zh-CN"/>
        </w:rPr>
      </w:pPr>
      <w:r>
        <w:rPr>
          <w:rFonts w:hint="default" w:ascii="Times New Roman" w:hAnsi="Times New Roman" w:eastAsia="方正仿宋_GBK" w:cs="Times New Roman"/>
          <w:spacing w:val="-6"/>
          <w:sz w:val="32"/>
          <w:szCs w:val="32"/>
          <w:highlight w:val="none"/>
        </w:rPr>
        <w:t>（四）优秀指导老师：设优秀指导老师若干名</w:t>
      </w:r>
      <w:r>
        <w:rPr>
          <w:rFonts w:hint="default" w:ascii="Times New Roman" w:hAnsi="Times New Roman" w:eastAsia="方正仿宋_GBK" w:cs="Times New Roman"/>
          <w:spacing w:val="-6"/>
          <w:sz w:val="32"/>
          <w:szCs w:val="32"/>
          <w:highlight w:val="none"/>
          <w:lang w:eastAsia="zh-CN"/>
        </w:rPr>
        <w:t>，</w:t>
      </w:r>
      <w:r>
        <w:rPr>
          <w:rFonts w:hint="default" w:ascii="Times New Roman" w:hAnsi="Times New Roman" w:eastAsia="方正仿宋_GBK" w:cs="Times New Roman"/>
          <w:spacing w:val="-6"/>
          <w:sz w:val="32"/>
          <w:szCs w:val="32"/>
          <w:highlight w:val="none"/>
          <w:lang w:val="en-US" w:eastAsia="zh-CN"/>
        </w:rPr>
        <w:t>分别发放证书。</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outlineLvl w:val="9"/>
        <w:rPr>
          <w:rFonts w:hint="default" w:ascii="方正黑体_GBK" w:hAnsi="方正黑体_GBK" w:eastAsia="方正黑体_GBK" w:cs="方正黑体_GBK"/>
          <w:bCs/>
          <w:color w:val="000000" w:themeColor="text1"/>
          <w:kern w:val="0"/>
          <w:sz w:val="32"/>
          <w:szCs w:val="32"/>
          <w14:textFill>
            <w14:solidFill>
              <w14:schemeClr w14:val="tx1"/>
            </w14:solidFill>
          </w14:textFill>
        </w:rPr>
      </w:pPr>
      <w:r>
        <w:rPr>
          <w:rFonts w:hint="default" w:ascii="方正黑体_GBK" w:hAnsi="方正黑体_GBK" w:eastAsia="方正黑体_GBK" w:cs="方正黑体_GBK"/>
          <w:bCs/>
          <w:color w:val="000000" w:themeColor="text1"/>
          <w:kern w:val="0"/>
          <w:sz w:val="32"/>
          <w:szCs w:val="32"/>
          <w14:textFill>
            <w14:solidFill>
              <w14:schemeClr w14:val="tx1"/>
            </w14:solidFill>
          </w14:textFill>
        </w:rPr>
        <w:t>七、其他要求</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（一）展示要求。讲解员选手自主命题展示时可说明情景设置情况，明确传播对象。总决赛时要求配戴耳麦，拿遥控器或激光笔，全程自行操作视频或PPT等播放设备。PPT（可配有背景音乐）须为WPS、OFFICE 2010等通用版本，画面比例16:9，PPT第一页无动作无声音（用于后台画面准备），选手自行操作到第二页开始声音和动作效果，PPT中若插入视频请使用WMV格式。</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（二）经费。各参加讲解员总决赛选手的差旅、住宿费自理，不需交纳参赛费用。半决赛和总决赛阶段专家聘请、场地租赁、设备配置、服务及人员保障等费用由主承办单位共同承担。</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（三）会务联系。为方便各推荐单位、选手与组织方沟通交流，请自行添加进入活动QQ群，群号为780235492。赛前培训、随机命题和决赛具体时间、地点、方式等相关安排将在群中公布。</w:t>
      </w:r>
    </w:p>
    <w:sectPr>
      <w:footerReference r:id="rId3" w:type="default"/>
      <w:footerReference r:id="rId4" w:type="even"/>
      <w:pgSz w:w="11906" w:h="16838"/>
      <w:pgMar w:top="2098" w:right="1474" w:bottom="1984" w:left="1587" w:header="851" w:footer="147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eastAsia" w:eastAsiaTheme="minorEastAsia"/>
        <w:lang w:val="en-US" w:eastAsia="zh-CN"/>
      </w:rPr>
    </w:pPr>
    <w:sdt>
      <w:sdtPr>
        <w:rPr>
          <w:rFonts w:hint="eastAsia" w:asciiTheme="majorEastAsia" w:hAnsiTheme="majorEastAsia" w:eastAsiaTheme="majorEastAsia" w:cstheme="majorEastAsia"/>
          <w:sz w:val="28"/>
          <w:szCs w:val="28"/>
        </w:rPr>
        <w:id w:val="-1567791454"/>
        <w:docPartObj>
          <w:docPartGallery w:val="autotext"/>
        </w:docPartObj>
      </w:sdtPr>
      <w:sdtEndPr>
        <w:rPr>
          <w:rFonts w:ascii="Times New Roman" w:hAnsi="Times New Roman" w:cs="Times New Roman"/>
          <w:sz w:val="21"/>
          <w:szCs w:val="21"/>
        </w:rPr>
      </w:sdtEndPr>
      <w:sdtContent>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sdtContent>
    </w:sdt>
    <w:r>
      <w:rPr>
        <w:rFonts w:hint="eastAsia" w:ascii="Times New Roman" w:hAnsi="Times New Roman" w:cs="Times New Roman"/>
        <w:sz w:val="21"/>
        <w:szCs w:val="21"/>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ajorEastAsia" w:hAnsiTheme="majorEastAsia" w:eastAsiaTheme="majorEastAsia" w:cstheme="majorEastAsia"/>
        <w:sz w:val="28"/>
        <w:szCs w:val="28"/>
      </w:rPr>
      <w:id w:val="-1567791454"/>
      <w:docPartObj>
        <w:docPartGallery w:val="autotext"/>
      </w:docPartObj>
    </w:sdtPr>
    <w:sdtEndPr>
      <w:rPr>
        <w:rFonts w:hint="eastAsia" w:ascii="Times New Roman" w:hAnsi="Times New Roman" w:cs="Times New Roman" w:eastAsiaTheme="majorEastAsia"/>
        <w:sz w:val="21"/>
        <w:szCs w:val="21"/>
      </w:rPr>
    </w:sdtEndPr>
    <w:sdtContent>
      <w:p>
        <w:pPr>
          <w:pStyle w:val="7"/>
          <w:rPr>
            <w:rFonts w:hint="eastAsia" w:ascii="Times New Roman" w:hAnsi="Times New Roman" w:cs="Times New Roman" w:eastAsiaTheme="majorEastAsia"/>
            <w:sz w:val="21"/>
            <w:szCs w:val="21"/>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05"/>
    <w:rsid w:val="00043D3B"/>
    <w:rsid w:val="000A2184"/>
    <w:rsid w:val="000F570F"/>
    <w:rsid w:val="00157700"/>
    <w:rsid w:val="00192FFA"/>
    <w:rsid w:val="001B4573"/>
    <w:rsid w:val="0021794B"/>
    <w:rsid w:val="00263192"/>
    <w:rsid w:val="00287025"/>
    <w:rsid w:val="002C5355"/>
    <w:rsid w:val="002C5725"/>
    <w:rsid w:val="003021C2"/>
    <w:rsid w:val="00321380"/>
    <w:rsid w:val="00333319"/>
    <w:rsid w:val="00355E03"/>
    <w:rsid w:val="00384BE7"/>
    <w:rsid w:val="003B7B01"/>
    <w:rsid w:val="003C4FE2"/>
    <w:rsid w:val="003C57FB"/>
    <w:rsid w:val="003D3428"/>
    <w:rsid w:val="003E5447"/>
    <w:rsid w:val="004324A8"/>
    <w:rsid w:val="00432700"/>
    <w:rsid w:val="004824A5"/>
    <w:rsid w:val="004B3136"/>
    <w:rsid w:val="004E449D"/>
    <w:rsid w:val="004F24E1"/>
    <w:rsid w:val="00530E21"/>
    <w:rsid w:val="005311AC"/>
    <w:rsid w:val="00536BFB"/>
    <w:rsid w:val="00550870"/>
    <w:rsid w:val="0056602B"/>
    <w:rsid w:val="00597A50"/>
    <w:rsid w:val="005A35A4"/>
    <w:rsid w:val="005B2B43"/>
    <w:rsid w:val="005E4FB4"/>
    <w:rsid w:val="00614011"/>
    <w:rsid w:val="00634C84"/>
    <w:rsid w:val="00637BE8"/>
    <w:rsid w:val="00644B05"/>
    <w:rsid w:val="006475C9"/>
    <w:rsid w:val="006657C7"/>
    <w:rsid w:val="006B2502"/>
    <w:rsid w:val="006B6F67"/>
    <w:rsid w:val="006C08D6"/>
    <w:rsid w:val="006C1D2B"/>
    <w:rsid w:val="006D5768"/>
    <w:rsid w:val="006E0973"/>
    <w:rsid w:val="00701B95"/>
    <w:rsid w:val="0072784A"/>
    <w:rsid w:val="007324E8"/>
    <w:rsid w:val="00753E84"/>
    <w:rsid w:val="007613A0"/>
    <w:rsid w:val="00761E4E"/>
    <w:rsid w:val="007B56CC"/>
    <w:rsid w:val="007E135E"/>
    <w:rsid w:val="007E20DC"/>
    <w:rsid w:val="007E7E0E"/>
    <w:rsid w:val="00806C6A"/>
    <w:rsid w:val="00810AB4"/>
    <w:rsid w:val="00825970"/>
    <w:rsid w:val="008264E6"/>
    <w:rsid w:val="00840F41"/>
    <w:rsid w:val="00841274"/>
    <w:rsid w:val="0089092D"/>
    <w:rsid w:val="008B2274"/>
    <w:rsid w:val="008B5DC5"/>
    <w:rsid w:val="008B60B2"/>
    <w:rsid w:val="008D6805"/>
    <w:rsid w:val="008F619C"/>
    <w:rsid w:val="00994B62"/>
    <w:rsid w:val="009A1543"/>
    <w:rsid w:val="009B7C5C"/>
    <w:rsid w:val="009D7A91"/>
    <w:rsid w:val="009E3EFF"/>
    <w:rsid w:val="00A64C7D"/>
    <w:rsid w:val="00A9246C"/>
    <w:rsid w:val="00AA7180"/>
    <w:rsid w:val="00AF1F78"/>
    <w:rsid w:val="00B03778"/>
    <w:rsid w:val="00B457BC"/>
    <w:rsid w:val="00B46306"/>
    <w:rsid w:val="00B468D9"/>
    <w:rsid w:val="00B756C9"/>
    <w:rsid w:val="00BA0A72"/>
    <w:rsid w:val="00BA73D8"/>
    <w:rsid w:val="00BD4B32"/>
    <w:rsid w:val="00BF3068"/>
    <w:rsid w:val="00C641FC"/>
    <w:rsid w:val="00C90967"/>
    <w:rsid w:val="00C95470"/>
    <w:rsid w:val="00CA1464"/>
    <w:rsid w:val="00D06493"/>
    <w:rsid w:val="00D77C3C"/>
    <w:rsid w:val="00D93332"/>
    <w:rsid w:val="00DC7125"/>
    <w:rsid w:val="00E10F4F"/>
    <w:rsid w:val="00E12968"/>
    <w:rsid w:val="00E42A48"/>
    <w:rsid w:val="00E4418B"/>
    <w:rsid w:val="00E52F7F"/>
    <w:rsid w:val="00E835C1"/>
    <w:rsid w:val="00EB4513"/>
    <w:rsid w:val="00EC32E0"/>
    <w:rsid w:val="00ED6BC3"/>
    <w:rsid w:val="00F07247"/>
    <w:rsid w:val="00F74D2A"/>
    <w:rsid w:val="00FB0684"/>
    <w:rsid w:val="00FE5716"/>
    <w:rsid w:val="00FE67F7"/>
    <w:rsid w:val="00FF51EF"/>
    <w:rsid w:val="040022B0"/>
    <w:rsid w:val="071374C3"/>
    <w:rsid w:val="0AEF0AF3"/>
    <w:rsid w:val="0B23521E"/>
    <w:rsid w:val="1547460A"/>
    <w:rsid w:val="1AD618F5"/>
    <w:rsid w:val="23F27B43"/>
    <w:rsid w:val="30A6717D"/>
    <w:rsid w:val="30B54FC6"/>
    <w:rsid w:val="315A478B"/>
    <w:rsid w:val="46CE0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qFormat/>
    <w:uiPriority w:val="0"/>
    <w:pPr>
      <w:jc w:val="left"/>
      <w:outlineLvl w:val="1"/>
    </w:pPr>
    <w:rPr>
      <w:rFonts w:hint="eastAsia" w:eastAsia="黑体"/>
      <w:b/>
      <w:color w:val="505050"/>
      <w:kern w:val="0"/>
      <w:sz w:val="32"/>
      <w:szCs w:val="16"/>
    </w:rPr>
  </w:style>
  <w:style w:type="character" w:default="1" w:styleId="9">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Plain Text"/>
    <w:basedOn w:val="1"/>
    <w:link w:val="14"/>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alloon Text"/>
    <w:basedOn w:val="1"/>
    <w:link w:val="15"/>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000FF"/>
      <w:u w:val="single"/>
    </w:rPr>
  </w:style>
  <w:style w:type="character" w:customStyle="1" w:styleId="13">
    <w:name w:val="标题 1 字符"/>
    <w:basedOn w:val="9"/>
    <w:link w:val="3"/>
    <w:qFormat/>
    <w:uiPriority w:val="9"/>
    <w:rPr>
      <w:rFonts w:ascii="宋体" w:hAnsi="宋体" w:eastAsia="宋体" w:cs="宋体"/>
      <w:b/>
      <w:bCs/>
      <w:kern w:val="36"/>
      <w:sz w:val="48"/>
      <w:szCs w:val="48"/>
    </w:rPr>
  </w:style>
  <w:style w:type="character" w:customStyle="1" w:styleId="14">
    <w:name w:val="纯文本 字符"/>
    <w:basedOn w:val="9"/>
    <w:link w:val="5"/>
    <w:semiHidden/>
    <w:qFormat/>
    <w:uiPriority w:val="99"/>
    <w:rPr>
      <w:rFonts w:ascii="宋体" w:hAnsi="宋体" w:eastAsia="宋体" w:cs="宋体"/>
      <w:kern w:val="0"/>
      <w:sz w:val="24"/>
      <w:szCs w:val="24"/>
    </w:rPr>
  </w:style>
  <w:style w:type="character" w:customStyle="1" w:styleId="15">
    <w:name w:val="批注框文本 字符"/>
    <w:basedOn w:val="9"/>
    <w:link w:val="6"/>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页眉 字符"/>
    <w:basedOn w:val="9"/>
    <w:link w:val="8"/>
    <w:qFormat/>
    <w:uiPriority w:val="99"/>
    <w:rPr>
      <w:sz w:val="18"/>
      <w:szCs w:val="18"/>
    </w:rPr>
  </w:style>
  <w:style w:type="character" w:customStyle="1" w:styleId="18">
    <w:name w:val="页脚 字符"/>
    <w:basedOn w:val="9"/>
    <w:link w:val="7"/>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388</Words>
  <Characters>2216</Characters>
  <Lines>18</Lines>
  <Paragraphs>5</Paragraphs>
  <TotalTime>3</TotalTime>
  <ScaleCrop>false</ScaleCrop>
  <LinksUpToDate>false</LinksUpToDate>
  <CharactersWithSpaces>2599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2022-04-21T01:26:00Z</dcterms:created>
  <dc:creator>Lenovo</dc:creator>
  <cp:lastModifiedBy>重庆市生态环境局_办公室_发文秘书</cp:lastModifiedBy>
  <dcterms:modified xsi:type="dcterms:W3CDTF">2022-06-02T02:50:27Z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